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 A Modified Delphi Study Protocol</w:t>
      </w:r>
    </w:p>
    <w:p>
      <w:pPr>
        <w:pStyle w:val="Author"/>
      </w:pPr>
      <w:r>
        <w:t xml:space="preserve">Early-career Researchers Taskforce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 and interventions.</w:t>
      </w:r>
    </w:p>
    <w:p>
      <w:pPr>
        <w:pStyle w:val="Compact"/>
        <w:numPr>
          <w:ilvl w:val="0"/>
          <w:numId w:val="1010"/>
        </w:numPr>
      </w:pPr>
      <w:r>
        <w:rPr>
          <w:b/>
          <w:bCs/>
        </w:rPr>
        <w:t xml:space="preserve">Round 2:</w:t>
      </w:r>
      <w:r>
        <w:t xml:space="preserve"> </w:t>
      </w:r>
      <w:r>
        <w:t xml:space="preserve">re-rating of retained or revised items following anonymous group feedback.</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Participants will have to choose one group that best describes their role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 or</w:t>
      </w:r>
    </w:p>
    <w:p>
      <w:pPr>
        <w:pStyle w:val="Compact"/>
        <w:numPr>
          <w:ilvl w:val="0"/>
          <w:numId w:val="1012"/>
        </w:numPr>
      </w:pPr>
      <w:r>
        <w:t xml:space="preserve">have insufficient familiarity with medical research in Egypt to complete the Delphi questionnaire meaningfully.</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31"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Microsoft Forms. Data will be stored on secure password-protected system accessible only to study coordinators. Completion of each round is expected to require approximately 30 minutes. These estimates will be test-run and confirmed before recruitment. Participants will be informed of the expected time commitment in the invitation and information sheet.</w:t>
      </w:r>
    </w:p>
    <w:bookmarkStart w:id="27" w:name="delphi-round-1"/>
    <w:p>
      <w:pPr>
        <w:pStyle w:val="Heading2"/>
      </w:pPr>
      <w:r>
        <w:t xml:space="preserve">8.1 Delphi Round 1</w:t>
      </w:r>
    </w:p>
    <w:p>
      <w:pPr>
        <w:pStyle w:val="FirstParagraph"/>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candidate barrier items;</w:t>
      </w:r>
    </w:p>
    <w:p>
      <w:pPr>
        <w:pStyle w:val="Compact"/>
        <w:numPr>
          <w:ilvl w:val="0"/>
          <w:numId w:val="1014"/>
        </w:numPr>
      </w:pPr>
      <w:r>
        <w:t xml:space="preserve">candidate intervention items;</w:t>
      </w:r>
    </w:p>
    <w:p>
      <w:pPr>
        <w:pStyle w:val="Compact"/>
        <w:numPr>
          <w:ilvl w:val="0"/>
          <w:numId w:val="1014"/>
        </w:numPr>
      </w:pPr>
      <w:r>
        <w:t xml:space="preserve">importance and modifiability rating scales for barriers;</w:t>
      </w:r>
    </w:p>
    <w:p>
      <w:pPr>
        <w:pStyle w:val="Compact"/>
        <w:numPr>
          <w:ilvl w:val="0"/>
          <w:numId w:val="1014"/>
        </w:numPr>
      </w:pPr>
      <w:r>
        <w:t xml:space="preserve">importance/potential-impact and feasibility rating scales for interventions;</w:t>
      </w:r>
    </w:p>
    <w:p>
      <w:pPr>
        <w:pStyle w:val="Compact"/>
        <w:numPr>
          <w:ilvl w:val="0"/>
          <w:numId w:val="1014"/>
        </w:numPr>
      </w:pPr>
      <w:r>
        <w:t xml:space="preserve">a question on the primary implementation level for each intervention; and</w:t>
      </w:r>
    </w:p>
    <w:p>
      <w:pPr>
        <w:pStyle w:val="Compact"/>
        <w:numPr>
          <w:ilvl w:val="0"/>
          <w:numId w:val="1014"/>
        </w:numPr>
      </w:pPr>
      <w:r>
        <w:t xml:space="preserve">basic professional and background questions required for panel characterization.</w:t>
      </w:r>
    </w:p>
    <w:p>
      <w:pPr>
        <w:pStyle w:val="FirstParagraph"/>
      </w:pPr>
      <w:r>
        <w:t xml:space="preserve">Participants will be asked to rate each barrier according to:</w:t>
      </w:r>
    </w:p>
    <w:p>
      <w:pPr>
        <w:pStyle w:val="Compact"/>
        <w:numPr>
          <w:ilvl w:val="0"/>
          <w:numId w:val="1015"/>
        </w:numPr>
      </w:pPr>
      <w:r>
        <w:rPr>
          <w:b/>
          <w:bCs/>
        </w:rPr>
        <w:t xml:space="preserve">Importance:</w:t>
      </w:r>
      <w:r>
        <w:t xml:space="preserve"> </w:t>
      </w:r>
      <w:r>
        <w:t xml:space="preserve">the extent to which the barrier limits valid, relevant, and high-value medical research among early-career researchers in Egypt; and</w:t>
      </w:r>
    </w:p>
    <w:p>
      <w:pPr>
        <w:pStyle w:val="Compact"/>
        <w:numPr>
          <w:ilvl w:val="0"/>
          <w:numId w:val="1015"/>
        </w:numPr>
      </w:pPr>
      <w:r>
        <w:rPr>
          <w:b/>
          <w:bCs/>
        </w:rPr>
        <w:t xml:space="preserve">Modifiability:</w:t>
      </w:r>
      <w:r>
        <w:t xml:space="preserve"> </w:t>
      </w:r>
      <w:r>
        <w:t xml:space="preserve">the extent to which the barrier could realistically be changed or improved through action at the Researcher level, Supervision and mentorship level, Institutional/system level, or National research ecosystem level.</w:t>
      </w:r>
    </w:p>
    <w:p>
      <w:pPr>
        <w:pStyle w:val="FirstParagraph"/>
      </w:pPr>
      <w:r>
        <w:t xml:space="preserve">Participants will also be asked to rate each candidate intervention according to:</w:t>
      </w:r>
    </w:p>
    <w:p>
      <w:pPr>
        <w:pStyle w:val="Compact"/>
        <w:numPr>
          <w:ilvl w:val="0"/>
          <w:numId w:val="1016"/>
        </w:numPr>
      </w:pPr>
      <w:r>
        <w:rPr>
          <w:b/>
          <w:bCs/>
        </w:rPr>
        <w:t xml:space="preserve">Importance/potential impact:</w:t>
      </w:r>
      <w:r>
        <w:t xml:space="preserve"> </w:t>
      </w:r>
      <w:r>
        <w:t xml:space="preserve">the extent to which the intervention, if appropriately implemented, could meaningfully address important barriers and improve valid, relevant, and high-value research; and</w:t>
      </w:r>
    </w:p>
    <w:p>
      <w:pPr>
        <w:pStyle w:val="Compact"/>
        <w:numPr>
          <w:ilvl w:val="0"/>
          <w:numId w:val="1016"/>
        </w:numPr>
      </w:pPr>
      <w:r>
        <w:rPr>
          <w:b/>
          <w:bCs/>
        </w:rPr>
        <w:t xml:space="preserve">Feasibility in the Egyptian context:</w:t>
      </w:r>
      <w:r>
        <w:t xml:space="preserve"> </w:t>
      </w:r>
      <w:r>
        <w:t xml:space="preserve">the extent to which the intervention could realistically be implemented within a realistic timeframe and with realistic resources.</w:t>
      </w:r>
    </w:p>
    <w:p>
      <w:pPr>
        <w:pStyle w:val="FirstParagraph"/>
      </w:pPr>
      <w:r>
        <w:t xml:space="preserve">For each intervention, participants will also select the</w:t>
      </w:r>
      <w:r>
        <w:t xml:space="preserve"> </w:t>
      </w:r>
      <w:r>
        <w:rPr>
          <w:b/>
          <w:bCs/>
        </w:rPr>
        <w:t xml:space="preserve">primary implementation level</w:t>
      </w:r>
      <w:r>
        <w:t xml:space="preserve">: Researcher, Supervision and mentorship level, Institutional/system, or National research ecosystem, multiple levels equally required, or “cannot judge.”</w:t>
      </w:r>
    </w:p>
    <w:p>
      <w:pPr>
        <w:pStyle w:val="BodyText"/>
      </w:pPr>
      <w:r>
        <w:t xml:space="preserve">Participants will be encouraged to consider the Egyptian research system as a whole rather than assigning responsibility for barriers to individual researchers, departments, or institutions.</w:t>
      </w:r>
    </w:p>
    <w:p>
      <w:pPr>
        <w:pStyle w:val="BodyText"/>
      </w:pPr>
      <w:r>
        <w:t xml:space="preserve">Participants may select “Cannot judge / insufficient experience” for any barrier or intervention item for which they do not feel sufficiently informed to provide a rating.</w:t>
      </w:r>
    </w:p>
    <w:p>
      <w:pPr>
        <w:pStyle w:val="BodyText"/>
      </w:pPr>
      <w:r>
        <w:t xml:space="preserve">Round 1 will remain open for approximately 2–3 weeks, with one or two reminders.</w:t>
      </w:r>
    </w:p>
    <w:bookmarkEnd w:id="27"/>
    <w:bookmarkStart w:id="28" w:name="round-1-item-handling"/>
    <w:p>
      <w:pPr>
        <w:pStyle w:val="Heading2"/>
      </w:pPr>
      <w:r>
        <w:t xml:space="preserve">8.2 Round-1 Item Handling</w:t>
      </w:r>
    </w:p>
    <w:p>
      <w:pPr>
        <w:pStyle w:val="FirstParagraph"/>
      </w:pPr>
      <w:r>
        <w:t xml:space="preserve">Item handling will follow the rules below, using valid Round-1 ratings (excluding “Cannot judge”) from the whole panel. The advisory board will see only item-level aggregate statistics, and every decision will be recorded in the audit trail.</w:t>
      </w:r>
    </w:p>
    <w:p>
      <w:pPr>
        <w:pStyle w:val="BodyText"/>
      </w:pPr>
      <w:r>
        <w:rPr>
          <w:b/>
          <w:bCs/>
        </w:rPr>
        <w:t xml:space="preserve">Barrier items (judged on importance ratings)</w:t>
      </w:r>
    </w:p>
    <w:p>
      <w:pPr>
        <w:pStyle w:val="Compact"/>
        <w:numPr>
          <w:ilvl w:val="0"/>
          <w:numId w:val="1017"/>
        </w:numPr>
      </w:pPr>
      <w:r>
        <w:t xml:space="preserve">Retain: the median is ≥7 and ≥60% of valid ratings are 7–9. The item advances to Round 2 unchanged, apart from agreed wording corrections.</w:t>
      </w:r>
    </w:p>
    <w:p>
      <w:pPr>
        <w:pStyle w:val="Compact"/>
        <w:numPr>
          <w:ilvl w:val="0"/>
          <w:numId w:val="1017"/>
        </w:numPr>
      </w:pPr>
      <w:r>
        <w:t xml:space="preserve">Conditional zone: 40–59% of valid ratings are 7–9. The item advances to Round 2 and is never removed on rating alone. It is revised only if a documented wording problem exists (see below).</w:t>
      </w:r>
    </w:p>
    <w:p>
      <w:pPr>
        <w:pStyle w:val="Compact"/>
        <w:numPr>
          <w:ilvl w:val="0"/>
          <w:numId w:val="1017"/>
        </w:numPr>
      </w:pPr>
      <w:r>
        <w:t xml:space="preserve">Remove from Round 2: fewer than 40% of valid ratings are 7–9. The item is still reported in the results.</w:t>
      </w:r>
    </w:p>
    <w:p>
      <w:pPr>
        <w:pStyle w:val="FirstParagraph"/>
      </w:pPr>
      <w:r>
        <w:rPr>
          <w:b/>
          <w:bCs/>
        </w:rPr>
        <w:t xml:space="preserve">Intervention items (judged on importance/potential-impact ratings only)</w:t>
      </w:r>
    </w:p>
    <w:p>
      <w:pPr>
        <w:pStyle w:val="BodyText"/>
      </w:pPr>
      <w:r>
        <w:t xml:space="preserve">The same three thresholds apply. Feasibility ratings will not be used to remove an intervention in Round 1, so that important but difficult interventions remain available for classification as “high-impact but less feasible” in Round 2.</w:t>
      </w:r>
    </w:p>
    <w:p>
      <w:pPr>
        <w:pStyle w:val="BodyText"/>
      </w:pPr>
      <w:r>
        <w:rPr>
          <w:b/>
          <w:bCs/>
        </w:rPr>
        <w:t xml:space="preserve">Revision</w:t>
      </w:r>
      <w:r>
        <w:t xml:space="preserve">. An item may be revised before Round 2 only if at least one of the following applies, and the reason will be recorded: (a) more than 25% of respondents selected “Cannot judge” for the item; (b) at least three participants independently commented that the wording is unclear or overlapping with another item; or (c) the advisory board identifies a wording problem by a two-thirds majority and documents it. Revision may change wording only, never the underlying construct, and a revised item is rated afresh in Round 2.</w:t>
      </w:r>
    </w:p>
    <w:p>
      <w:pPr>
        <w:pStyle w:val="BodyText"/>
      </w:pPr>
      <w:r>
        <w:rPr>
          <w:b/>
          <w:bCs/>
        </w:rPr>
        <w:t xml:space="preserve">Non-rating removal</w:t>
      </w:r>
      <w:r>
        <w:t xml:space="preserve">. An item may also be removed if it duplicates another item, is outside the study scope, or represents a different construct. This requires a two-thirds majority of the advisory board and a documented reason.</w:t>
      </w:r>
    </w:p>
    <w:p>
      <w:pPr>
        <w:pStyle w:val="BodyText"/>
      </w:pPr>
      <w:r>
        <w:rPr>
          <w:b/>
          <w:bCs/>
        </w:rPr>
        <w:t xml:space="preserve">Protection for minority views.</w:t>
      </w:r>
      <w:r>
        <w:t xml:space="preserve"> </w:t>
      </w:r>
      <w:r>
        <w:t xml:space="preserve">An item will not be removed under the numeric rule if at least 75% of valid ratings from any single stakeholder group (with ≥5 valid ratings) fall in 7–9.</w:t>
      </w:r>
    </w:p>
    <w:bookmarkEnd w:id="28"/>
    <w:bookmarkStart w:id="29" w:name="delphi-round-2"/>
    <w:p>
      <w:pPr>
        <w:pStyle w:val="Heading2"/>
      </w:pPr>
      <w:r>
        <w:t xml:space="preserve">8.3 Delphi Round 2</w:t>
      </w:r>
    </w:p>
    <w:p>
      <w:pPr>
        <w:pStyle w:val="FirstParagraph"/>
      </w:pPr>
      <w:r>
        <w:t xml:space="preserve">Round 2 will include retained and revised barrier and intervention items.</w:t>
      </w:r>
    </w:p>
    <w:p>
      <w:pPr>
        <w:pStyle w:val="BodyText"/>
      </w:pPr>
      <w:r>
        <w:t xml:space="preserve">Participants will receive anonymized group-level feedback from Round 1 for each retained or revised item, including:</w:t>
      </w:r>
    </w:p>
    <w:p>
      <w:pPr>
        <w:pStyle w:val="Compact"/>
        <w:numPr>
          <w:ilvl w:val="0"/>
          <w:numId w:val="1018"/>
        </w:numPr>
      </w:pPr>
      <w:r>
        <w:t xml:space="preserve">the number of valid responses;</w:t>
      </w:r>
    </w:p>
    <w:p>
      <w:pPr>
        <w:pStyle w:val="Compact"/>
        <w:numPr>
          <w:ilvl w:val="0"/>
          <w:numId w:val="1018"/>
        </w:numPr>
      </w:pPr>
      <w:r>
        <w:t xml:space="preserve">the median rating;</w:t>
      </w:r>
    </w:p>
    <w:p>
      <w:pPr>
        <w:pStyle w:val="Compact"/>
        <w:numPr>
          <w:ilvl w:val="0"/>
          <w:numId w:val="1018"/>
        </w:numPr>
      </w:pPr>
      <w:r>
        <w:t xml:space="preserve">the interquartile range; and</w:t>
      </w:r>
    </w:p>
    <w:p>
      <w:pPr>
        <w:pStyle w:val="Compact"/>
        <w:numPr>
          <w:ilvl w:val="0"/>
          <w:numId w:val="1018"/>
        </w:numPr>
      </w:pPr>
      <w:r>
        <w:t xml:space="preserve">the percentage of ratings in the predefined high-rating range.</w:t>
      </w:r>
    </w:p>
    <w:p>
      <w:pPr>
        <w:pStyle w:val="FirstParagraph"/>
      </w:pPr>
      <w:r>
        <w:t xml:space="preserve">For barriers, feedback will be presented separately for importance and modifiability.</w:t>
      </w:r>
    </w:p>
    <w:p>
      <w:pPr>
        <w:pStyle w:val="BodyText"/>
      </w:pPr>
      <w:r>
        <w:t xml:space="preserve">For interventions, feedback will be presented separately for importance/potential impact and feasibility.</w:t>
      </w:r>
    </w:p>
    <w:p>
      <w:pPr>
        <w:pStyle w:val="BodyText"/>
      </w:pPr>
      <w:r>
        <w:t xml:space="preserve">Individual participant responses will not be identified. Where technically appropriate and secure, participants may be shown their own previous Round-1 ratings to assist reconsideration; these responses will not be visible to other participants.</w:t>
      </w:r>
    </w:p>
    <w:p>
      <w:pPr>
        <w:pStyle w:val="BodyText"/>
      </w:pPr>
      <w:r>
        <w:t xml:space="preserve">Participants will be asked to re-rate:</w:t>
      </w:r>
    </w:p>
    <w:p>
      <w:pPr>
        <w:pStyle w:val="Compact"/>
        <w:numPr>
          <w:ilvl w:val="0"/>
          <w:numId w:val="1019"/>
        </w:numPr>
      </w:pPr>
      <w:r>
        <w:t xml:space="preserve">the importance and modifiability of retained or revised barriers; and</w:t>
      </w:r>
    </w:p>
    <w:p>
      <w:pPr>
        <w:pStyle w:val="Compact"/>
        <w:numPr>
          <w:ilvl w:val="0"/>
          <w:numId w:val="1019"/>
        </w:numPr>
      </w:pPr>
      <w:r>
        <w:t xml:space="preserve">the importance/potential impact and feasibility of retained or revised interventions.</w:t>
      </w:r>
    </w:p>
    <w:p>
      <w:pPr>
        <w:pStyle w:val="FirstParagraph"/>
      </w:pPr>
      <w:r>
        <w:t xml:space="preserve">For revised intervention items, participants will also be asked to reselect the primary implementation level.</w:t>
      </w:r>
    </w:p>
    <w:p>
      <w:pPr>
        <w:pStyle w:val="BodyText"/>
      </w:pPr>
      <w:r>
        <w:t xml:space="preserve">Round 2 will ask participants to select up to five barriers that they consider most important in limiting valid, relevant, and high-value medical research among early-career researchers in Egypt. The list will contain all barriers retained or revised for Round 2, shown in randomized order. Round 2 will also ask participants to identify up to three interventions that should be prioritized first because they are both important and feasible in the Egyptian context.</w:t>
      </w:r>
    </w:p>
    <w:p>
      <w:pPr>
        <w:pStyle w:val="BodyText"/>
      </w:pPr>
      <w:r>
        <w:t xml:space="preserve">The Round-2 questionnaire will remain open for approximately 2–3 weeks, with one or two reminders.</w:t>
      </w:r>
    </w:p>
    <w:bookmarkEnd w:id="29"/>
    <w:bookmarkStart w:id="30" w:name="consensus-and-prioritization-criteria"/>
    <w:p>
      <w:pPr>
        <w:pStyle w:val="Heading2"/>
      </w:pPr>
      <w:r>
        <w:t xml:space="preserve">8.4 Consensus and prioritization criteria</w:t>
      </w:r>
    </w:p>
    <w:p>
      <w:pPr>
        <w:pStyle w:val="FirstParagraph"/>
      </w:pPr>
      <w:r>
        <w:rPr>
          <w:b/>
          <w:bCs/>
        </w:rPr>
        <w:t xml:space="preserve">Consensus criteria</w:t>
      </w:r>
    </w:p>
    <w:p>
      <w:pPr>
        <w:pStyle w:val="BodyText"/>
      </w:pPr>
      <w:r>
        <w:t xml:space="preserve">Consensus criteria are specified before Round-1 launch and will not be changed in response to the observed results.</w:t>
      </w:r>
    </w:p>
    <w:p>
      <w:pPr>
        <w:pStyle w:val="BodyText"/>
      </w:pPr>
      <w:r>
        <w:t xml:space="preserve">All classifications will be based on valid ratings collected in Round 2. “Valid ratings” exclude responses of “Cannot judge / insufficient experience.” Round-1 results will be used to determine which items are retained, revised, or removed before Round 2, and will be reported descriptively.</w:t>
      </w:r>
    </w:p>
    <w:p>
      <w:pPr>
        <w:pStyle w:val="BodyText"/>
      </w:pPr>
      <w:r>
        <w:t xml:space="preserve">For each item and rating dimension, the study will report the number of valid responses, median, interquartile range (IQR), percentage of ratings in the 7–9 range, and percentage of ratings in the 1–3 range.</w:t>
      </w:r>
    </w:p>
    <w:p>
      <w:pPr>
        <w:pStyle w:val="BodyText"/>
      </w:pPr>
      <w:r>
        <w:rPr>
          <w:b/>
          <w:bCs/>
        </w:rPr>
        <w:t xml:space="preserve">Barrier classifications</w:t>
      </w:r>
    </w:p>
    <w:p>
      <w:pPr>
        <w:numPr>
          <w:ilvl w:val="0"/>
          <w:numId w:val="1020"/>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criteria are met:</w:t>
      </w:r>
    </w:p>
    <w:p>
      <w:pPr>
        <w:pStyle w:val="Compact"/>
        <w:numPr>
          <w:ilvl w:val="1"/>
          <w:numId w:val="1021"/>
        </w:numPr>
      </w:pPr>
      <w:r>
        <w:t xml:space="preserve">Median importance rating ≥7;</w:t>
      </w:r>
    </w:p>
    <w:p>
      <w:pPr>
        <w:pStyle w:val="Compact"/>
        <w:numPr>
          <w:ilvl w:val="1"/>
          <w:numId w:val="1021"/>
        </w:numPr>
      </w:pPr>
      <w:r>
        <w:t xml:space="preserve">IQR ≤2; and</w:t>
      </w:r>
    </w:p>
    <w:p>
      <w:pPr>
        <w:pStyle w:val="Compact"/>
        <w:numPr>
          <w:ilvl w:val="1"/>
          <w:numId w:val="1021"/>
        </w:numPr>
      </w:pPr>
      <w:r>
        <w:t xml:space="preserve">≥75% of valid importance ratings are 7–9.</w:t>
      </w:r>
    </w:p>
    <w:p>
      <w:pPr>
        <w:numPr>
          <w:ilvl w:val="0"/>
          <w:numId w:val="1020"/>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 all of the following criteria are met:</w:t>
      </w:r>
    </w:p>
    <w:p>
      <w:pPr>
        <w:pStyle w:val="Compact"/>
        <w:numPr>
          <w:ilvl w:val="1"/>
          <w:numId w:val="1022"/>
        </w:numPr>
      </w:pPr>
      <w:r>
        <w:t xml:space="preserve">Median modifiability rating ≥7;</w:t>
      </w:r>
    </w:p>
    <w:p>
      <w:pPr>
        <w:pStyle w:val="Compact"/>
        <w:numPr>
          <w:ilvl w:val="1"/>
          <w:numId w:val="1022"/>
        </w:numPr>
      </w:pPr>
      <w:r>
        <w:t xml:space="preserve">IQR ≤2; and</w:t>
      </w:r>
    </w:p>
    <w:p>
      <w:pPr>
        <w:pStyle w:val="Compact"/>
        <w:numPr>
          <w:ilvl w:val="1"/>
          <w:numId w:val="1022"/>
        </w:numPr>
      </w:pPr>
      <w:r>
        <w:t xml:space="preserve">≥75% of valid modifiability ratings are 7–9.</w:t>
      </w:r>
    </w:p>
    <w:p>
      <w:pPr>
        <w:numPr>
          <w:ilvl w:val="0"/>
          <w:numId w:val="1020"/>
        </w:numPr>
      </w:pPr>
      <w:r>
        <w:rPr>
          <w:b/>
          <w:bCs/>
        </w:rPr>
        <w:t xml:space="preserve">Priority barrier for action:</w:t>
      </w:r>
      <w:r>
        <w:t xml:space="preserve"> </w:t>
      </w:r>
      <w:r>
        <w:t xml:space="preserve">A barrier will be classified as a</w:t>
      </w:r>
      <w:r>
        <w:t xml:space="preserve"> </w:t>
      </w:r>
      <w:r>
        <w:rPr>
          <w:b/>
          <w:bCs/>
        </w:rPr>
        <w:t xml:space="preserve">priority barrier for action</w:t>
      </w:r>
      <w:r>
        <w:t xml:space="preserve"> </w:t>
      </w:r>
      <w:r>
        <w:t xml:space="preserve">when it meets the criteria for both an</w:t>
      </w:r>
      <w:r>
        <w:t xml:space="preserve"> </w:t>
      </w:r>
      <w:r>
        <w:rPr>
          <w:b/>
          <w:bCs/>
        </w:rPr>
        <w:t xml:space="preserve">important barrier</w:t>
      </w:r>
      <w:r>
        <w:t xml:space="preserve"> </w:t>
      </w:r>
      <w:r>
        <w:t xml:space="preserve">and a</w:t>
      </w:r>
      <w:r>
        <w:t xml:space="preserve"> </w:t>
      </w:r>
      <w:r>
        <w:rPr>
          <w:b/>
          <w:bCs/>
        </w:rPr>
        <w:t xml:space="preserve">highly modifiable barrier</w:t>
      </w:r>
      <w:r>
        <w:t xml:space="preserve">.</w:t>
      </w:r>
    </w:p>
    <w:p>
      <w:pPr>
        <w:numPr>
          <w:ilvl w:val="0"/>
          <w:numId w:val="1020"/>
        </w:numPr>
      </w:pPr>
      <w:r>
        <w:rPr>
          <w:b/>
          <w:bCs/>
        </w:rPr>
        <w:t xml:space="preserve">Important but less modifiable barrier:</w:t>
      </w:r>
      <w:r>
        <w:t xml:space="preserve"> </w:t>
      </w:r>
      <w:r>
        <w:t xml:space="preserve">A barrier meeting the criteria for an</w:t>
      </w:r>
      <w:r>
        <w:t xml:space="preserve"> </w:t>
      </w:r>
      <w:r>
        <w:rPr>
          <w:b/>
          <w:bCs/>
        </w:rPr>
        <w:t xml:space="preserve">important barrier</w:t>
      </w:r>
      <w:r>
        <w:t xml:space="preserve"> </w:t>
      </w:r>
      <w:r>
        <w:t xml:space="preserve">but not for a</w:t>
      </w:r>
      <w:r>
        <w:t xml:space="preserve"> </w:t>
      </w:r>
      <w:r>
        <w:rPr>
          <w:b/>
          <w:bCs/>
        </w:rPr>
        <w:t xml:space="preserve">highly modifiable barrier</w:t>
      </w:r>
      <w:r>
        <w:t xml:space="preserve"> </w:t>
      </w:r>
      <w:r>
        <w:t xml:space="preserve">will be classified as</w:t>
      </w:r>
      <w:r>
        <w:t xml:space="preserve"> </w:t>
      </w:r>
      <w:r>
        <w:rPr>
          <w:b/>
          <w:bCs/>
        </w:rPr>
        <w:t xml:space="preserve">important but less modifiable</w:t>
      </w:r>
      <w:r>
        <w:t xml:space="preserve">. These barriers will still be reported because they may require longer-term, multilevel, or system-level action.</w:t>
      </w:r>
    </w:p>
    <w:p>
      <w:pPr>
        <w:numPr>
          <w:ilvl w:val="0"/>
          <w:numId w:val="1020"/>
        </w:numPr>
      </w:pPr>
      <w:r>
        <w:rPr>
          <w:b/>
          <w:bCs/>
        </w:rPr>
        <w:t xml:space="preserve">Consensus that a barrier is not important:</w:t>
      </w:r>
      <w:r>
        <w:t xml:space="preserve"> </w:t>
      </w:r>
      <w:r>
        <w:t xml:space="preserve">A barrier will be classified as having consensus that it is</w:t>
      </w:r>
      <w:r>
        <w:t xml:space="preserve"> </w:t>
      </w:r>
      <w:r>
        <w:rPr>
          <w:b/>
          <w:bCs/>
        </w:rPr>
        <w:t xml:space="preserve">not important</w:t>
      </w:r>
      <w:r>
        <w:t xml:space="preserve"> </w:t>
      </w:r>
      <w:r>
        <w:t xml:space="preserve">when:</w:t>
      </w:r>
    </w:p>
    <w:p>
      <w:pPr>
        <w:pStyle w:val="Compact"/>
        <w:numPr>
          <w:ilvl w:val="1"/>
          <w:numId w:val="1023"/>
        </w:numPr>
      </w:pPr>
      <w:r>
        <w:t xml:space="preserve">Median importance rating ≤3; and</w:t>
      </w:r>
    </w:p>
    <w:p>
      <w:pPr>
        <w:pStyle w:val="Compact"/>
        <w:numPr>
          <w:ilvl w:val="1"/>
          <w:numId w:val="1023"/>
        </w:numPr>
      </w:pPr>
      <w:r>
        <w:t xml:space="preserve">≥75% of valid importance ratings are 1–3.</w:t>
      </w:r>
    </w:p>
    <w:p>
      <w:pPr>
        <w:pStyle w:val="FirstParagraph"/>
      </w:pPr>
      <w:r>
        <w:rPr>
          <w:b/>
          <w:bCs/>
        </w:rPr>
        <w:t xml:space="preserve">Intervention classifications</w:t>
      </w:r>
    </w:p>
    <w:p>
      <w:pPr>
        <w:numPr>
          <w:ilvl w:val="0"/>
          <w:numId w:val="1024"/>
        </w:numPr>
      </w:pPr>
      <w:r>
        <w:rPr>
          <w:b/>
          <w:bCs/>
        </w:rPr>
        <w:t xml:space="preserve">High-impact intervention:</w:t>
      </w:r>
      <w:r>
        <w:t xml:space="preserve"> </w:t>
      </w:r>
      <w:r>
        <w:t xml:space="preserve">An intervention will be classified as having consensus as a</w:t>
      </w:r>
      <w:r>
        <w:t xml:space="preserve"> </w:t>
      </w:r>
      <w:r>
        <w:rPr>
          <w:b/>
          <w:bCs/>
        </w:rPr>
        <w:t xml:space="preserve">high-impact intervention</w:t>
      </w:r>
      <w:r>
        <w:t xml:space="preserve"> </w:t>
      </w:r>
      <w:r>
        <w:t xml:space="preserve">when all of the following criteria are met:</w:t>
      </w:r>
    </w:p>
    <w:p>
      <w:pPr>
        <w:pStyle w:val="Compact"/>
        <w:numPr>
          <w:ilvl w:val="1"/>
          <w:numId w:val="1025"/>
        </w:numPr>
      </w:pPr>
      <w:r>
        <w:t xml:space="preserve">Median importance/potential-impact rating ≥7;</w:t>
      </w:r>
    </w:p>
    <w:p>
      <w:pPr>
        <w:pStyle w:val="Compact"/>
        <w:numPr>
          <w:ilvl w:val="1"/>
          <w:numId w:val="1025"/>
        </w:numPr>
      </w:pPr>
      <w:r>
        <w:t xml:space="preserve">IQR ≤2; and</w:t>
      </w:r>
    </w:p>
    <w:p>
      <w:pPr>
        <w:pStyle w:val="Compact"/>
        <w:numPr>
          <w:ilvl w:val="1"/>
          <w:numId w:val="1025"/>
        </w:numPr>
      </w:pPr>
      <w:r>
        <w:t xml:space="preserve">≥75% of valid importance/potential-impact ratings are 7–9.</w:t>
      </w:r>
    </w:p>
    <w:p>
      <w:pPr>
        <w:numPr>
          <w:ilvl w:val="0"/>
          <w:numId w:val="1024"/>
        </w:numPr>
      </w:pPr>
      <w:r>
        <w:rPr>
          <w:b/>
          <w:bCs/>
        </w:rPr>
        <w:t xml:space="preserve">Feasible intervention:</w:t>
      </w:r>
      <w:r>
        <w:t xml:space="preserve"> </w:t>
      </w:r>
      <w:r>
        <w:t xml:space="preserve">An intervention will be classified as having consensus as</w:t>
      </w:r>
      <w:r>
        <w:t xml:space="preserve"> </w:t>
      </w:r>
      <w:r>
        <w:rPr>
          <w:b/>
          <w:bCs/>
        </w:rPr>
        <w:t xml:space="preserve">feasible in the Egyptian context</w:t>
      </w:r>
      <w:r>
        <w:t xml:space="preserve"> </w:t>
      </w:r>
      <w:r>
        <w:t xml:space="preserve">when:</w:t>
      </w:r>
    </w:p>
    <w:p>
      <w:pPr>
        <w:pStyle w:val="Compact"/>
        <w:numPr>
          <w:ilvl w:val="1"/>
          <w:numId w:val="1026"/>
        </w:numPr>
      </w:pPr>
      <w:r>
        <w:t xml:space="preserve">Median feasibility rating ≥7;</w:t>
      </w:r>
    </w:p>
    <w:p>
      <w:pPr>
        <w:pStyle w:val="Compact"/>
        <w:numPr>
          <w:ilvl w:val="1"/>
          <w:numId w:val="1026"/>
        </w:numPr>
      </w:pPr>
      <w:r>
        <w:t xml:space="preserve">IQR ≤2; and</w:t>
      </w:r>
    </w:p>
    <w:p>
      <w:pPr>
        <w:pStyle w:val="Compact"/>
        <w:numPr>
          <w:ilvl w:val="1"/>
          <w:numId w:val="1026"/>
        </w:numPr>
      </w:pPr>
      <w:r>
        <w:t xml:space="preserve">≥75% of valid feasibility ratings are 7–9.</w:t>
      </w:r>
    </w:p>
    <w:p>
      <w:pPr>
        <w:numPr>
          <w:ilvl w:val="0"/>
          <w:numId w:val="1024"/>
        </w:numPr>
      </w:pPr>
      <w:r>
        <w:rPr>
          <w:b/>
          <w:bCs/>
        </w:rPr>
        <w:t xml:space="preserve">High-priority feasible intervention:</w:t>
      </w:r>
      <w:r>
        <w:t xml:space="preserve"> </w:t>
      </w:r>
      <w:r>
        <w:t xml:space="preserve">An intervention will be classified as a</w:t>
      </w:r>
      <w:r>
        <w:t xml:space="preserve"> </w:t>
      </w:r>
      <w:r>
        <w:rPr>
          <w:b/>
          <w:bCs/>
        </w:rPr>
        <w:t xml:space="preserve">high-priority feasible intervention</w:t>
      </w:r>
      <w:r>
        <w:t xml:space="preserve"> </w:t>
      </w:r>
      <w:r>
        <w:t xml:space="preserve">when it meets the criteria for both a</w:t>
      </w:r>
      <w:r>
        <w:t xml:space="preserve"> </w:t>
      </w:r>
      <w:r>
        <w:rPr>
          <w:b/>
          <w:bCs/>
        </w:rPr>
        <w:t xml:space="preserve">high-impact intervention</w:t>
      </w:r>
      <w:r>
        <w:t xml:space="preserve"> </w:t>
      </w:r>
      <w:r>
        <w:t xml:space="preserve">and a</w:t>
      </w:r>
      <w:r>
        <w:t xml:space="preserve"> </w:t>
      </w:r>
      <w:r>
        <w:rPr>
          <w:b/>
          <w:bCs/>
        </w:rPr>
        <w:t xml:space="preserve">feasible intervention</w:t>
      </w:r>
      <w:r>
        <w:t xml:space="preserve">.</w:t>
      </w:r>
    </w:p>
    <w:p>
      <w:pPr>
        <w:numPr>
          <w:ilvl w:val="0"/>
          <w:numId w:val="1024"/>
        </w:numPr>
      </w:pPr>
      <w:r>
        <w:rPr>
          <w:b/>
          <w:bCs/>
        </w:rPr>
        <w:t xml:space="preserve">High-impact but less feasible intervention:</w:t>
      </w:r>
      <w:r>
        <w:t xml:space="preserve"> </w:t>
      </w:r>
      <w:r>
        <w:t xml:space="preserve">An intervention meeting the criteria for a</w:t>
      </w:r>
      <w:r>
        <w:t xml:space="preserve"> </w:t>
      </w:r>
      <w:r>
        <w:rPr>
          <w:b/>
          <w:bCs/>
        </w:rPr>
        <w:t xml:space="preserve">high-impact intervention</w:t>
      </w:r>
      <w:r>
        <w:t xml:space="preserve"> </w:t>
      </w:r>
      <w:r>
        <w:t xml:space="preserve">but not for a</w:t>
      </w:r>
      <w:r>
        <w:t xml:space="preserve"> </w:t>
      </w:r>
      <w:r>
        <w:rPr>
          <w:b/>
          <w:bCs/>
        </w:rPr>
        <w:t xml:space="preserve">feasible intervention</w:t>
      </w:r>
      <w:r>
        <w:t xml:space="preserve"> </w:t>
      </w:r>
      <w:r>
        <w:t xml:space="preserve">will be classified as</w:t>
      </w:r>
      <w:r>
        <w:t xml:space="preserve"> </w:t>
      </w:r>
      <w:r>
        <w:rPr>
          <w:b/>
          <w:bCs/>
        </w:rPr>
        <w:t xml:space="preserve">high-impact but less feasible</w:t>
      </w:r>
      <w:r>
        <w:t xml:space="preserve">. These interventions may still be reported as important longer-term priorities, while acknowledging implementation challenges.</w:t>
      </w:r>
    </w:p>
    <w:p>
      <w:pPr>
        <w:pStyle w:val="FirstParagraph"/>
      </w:pPr>
      <w:r>
        <w:rPr>
          <w:b/>
          <w:bCs/>
        </w:rPr>
        <w:t xml:space="preserve">Non-consensus and disagreement</w:t>
      </w:r>
    </w:p>
    <w:p>
      <w:pPr>
        <w:pStyle w:val="BodyText"/>
      </w:pPr>
      <w:r>
        <w:t xml:space="preserve">Items failing to meet the relevant consensus criteria after Round 2 will be classified as</w:t>
      </w:r>
      <w:r>
        <w:t xml:space="preserve"> </w:t>
      </w:r>
      <w:r>
        <w:rPr>
          <w:b/>
          <w:bCs/>
        </w:rPr>
        <w:t xml:space="preserve">no consensus</w:t>
      </w:r>
      <w:r>
        <w:t xml:space="preserve"> </w:t>
      </w:r>
      <w:r>
        <w:t xml:space="preserve">rather than being forced into a priority category.</w:t>
      </w:r>
    </w:p>
    <w:p>
      <w:pPr>
        <w:pStyle w:val="BodyText"/>
      </w:pPr>
      <w:r>
        <w:t xml:space="preserve">Where the distribution of ratings suggests meaningful polarization—for example, a wide IQR or materially different rating patterns across prespecified stakeholder groups—this will be reported as</w:t>
      </w:r>
      <w:r>
        <w:t xml:space="preserve"> </w:t>
      </w:r>
      <w:r>
        <w:rPr>
          <w:b/>
          <w:bCs/>
        </w:rPr>
        <w:t xml:space="preserve">stakeholder disagreement</w:t>
      </w:r>
      <w:r>
        <w:t xml:space="preserve"> </w:t>
      </w:r>
      <w:r>
        <w:t xml:space="preserve">rather than treated as study failure. Stakeholder-group analyses will be exploratory and will be interpreted cautiously, particularly where subgroup sample sizes are small.</w:t>
      </w:r>
    </w:p>
    <w:p>
      <w:pPr>
        <w:pStyle w:val="BodyText"/>
      </w:pPr>
      <w:r>
        <w:rPr>
          <w:b/>
          <w:bCs/>
        </w:rPr>
        <w:t xml:space="preserve">Final intervention priorities.</w:t>
      </w:r>
    </w:p>
    <w:p>
      <w:pPr>
        <w:pStyle w:val="BodyText"/>
      </w:pPr>
      <w:r>
        <w:t xml:space="preserve">Final priorities will be determined by the following rules, using Round-2 data only.</w:t>
      </w:r>
    </w:p>
    <w:p>
      <w:pPr>
        <w:pStyle w:val="Compact"/>
        <w:numPr>
          <w:ilvl w:val="0"/>
          <w:numId w:val="1027"/>
        </w:numPr>
      </w:pPr>
      <w:r>
        <w:t xml:space="preserve">Only interventions classified as high-priority feasible are eligible.</w:t>
      </w:r>
    </w:p>
    <w:p>
      <w:pPr>
        <w:pStyle w:val="Compact"/>
        <w:numPr>
          <w:ilvl w:val="0"/>
          <w:numId w:val="1027"/>
        </w:numPr>
      </w:pPr>
      <w:r>
        <w:t xml:space="preserve">Eligible interventions will be ranked by the percentage of participants who nominated them in the “top three” question. Ties will be broken by the percentage rating importance 7–9, then by the percentage rating feasibility 6–9.</w:t>
      </w:r>
    </w:p>
    <w:p>
      <w:pPr>
        <w:pStyle w:val="Compact"/>
        <w:numPr>
          <w:ilvl w:val="0"/>
          <w:numId w:val="1027"/>
        </w:numPr>
      </w:pPr>
      <w:r>
        <w:t xml:space="preserve">The top [10] ranked interventions will be reported as the consensus priorities, with their nomination percentages, rating distributions, and most frequently selected implementation level. High-impact but less feasible interventions will be reported separately as longer-term priorities, and interventions with no consensus will be listed without ranking.</w:t>
      </w:r>
    </w:p>
    <w:p>
      <w:pPr>
        <w:pStyle w:val="Compact"/>
        <w:numPr>
          <w:ilvl w:val="0"/>
          <w:numId w:val="1027"/>
        </w:numPr>
      </w:pPr>
      <w:r>
        <w:t xml:space="preserve">Nomination percentages will also be reported by stakeholder group (where at least five participants responded).</w:t>
      </w:r>
    </w:p>
    <w:p>
      <w:pPr>
        <w:pStyle w:val="Compact"/>
        <w:numPr>
          <w:ilvl w:val="0"/>
          <w:numId w:val="1027"/>
        </w:numPr>
      </w:pPr>
      <w:r>
        <w:t xml:space="preserve">The advisory board will review the final list for clarity, redundancy, and interpretability only. It may not add, remove, re-rank, or reclassify any intervention.</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8"/>
        </w:numPr>
      </w:pPr>
      <w:r>
        <w:t xml:space="preserve">invited participants;</w:t>
      </w:r>
    </w:p>
    <w:p>
      <w:pPr>
        <w:pStyle w:val="Compact"/>
        <w:numPr>
          <w:ilvl w:val="0"/>
          <w:numId w:val="1028"/>
        </w:numPr>
      </w:pPr>
      <w:r>
        <w:t xml:space="preserve">participants who completed the questionnaire; and</w:t>
      </w:r>
    </w:p>
    <w:p>
      <w:pPr>
        <w:pStyle w:val="Compact"/>
        <w:numPr>
          <w:ilvl w:val="0"/>
          <w:numId w:val="1028"/>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30"/>
    <w:bookmarkEnd w:id="31"/>
    <w:bookmarkStart w:id="32"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IP addresses and other technical metadata will not be used for participant identification.</w:t>
      </w:r>
    </w:p>
    <w:p>
      <w:pPr>
        <w:pStyle w:val="BodyText"/>
      </w:pPr>
      <w:r>
        <w:t xml:space="preserve">Data-quality procedures will include documenting incomplete questionnaires. Participants who submit partially completed questionnaires will be included for items that contain valid responses. Item-level denominators will therefore vary where missing data occur.</w:t>
      </w:r>
    </w:p>
    <w:p>
      <w:pPr>
        <w:pStyle w:val="BodyText"/>
      </w:pPr>
      <w:r>
        <w:t xml:space="preserve">We will maintain a data-cleaning log and preserve an analysis-ready dataset and a locked copy of the raw dataset.</w:t>
      </w:r>
    </w:p>
    <w:p>
      <w:pPr>
        <w:pStyle w:val="BodyText"/>
      </w:pPr>
      <w:r>
        <w:t xml:space="preserve">Data will be retained for seven years after study completion in accordance with institutional policy.</w:t>
      </w:r>
    </w:p>
    <w:bookmarkEnd w:id="32"/>
    <w:bookmarkStart w:id="33"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29"/>
        </w:numPr>
      </w:pPr>
      <w:r>
        <w:t xml:space="preserve">number of valid responses;</w:t>
      </w:r>
    </w:p>
    <w:p>
      <w:pPr>
        <w:pStyle w:val="Compact"/>
        <w:numPr>
          <w:ilvl w:val="0"/>
          <w:numId w:val="1029"/>
        </w:numPr>
      </w:pPr>
      <w:r>
        <w:t xml:space="preserve">median;</w:t>
      </w:r>
    </w:p>
    <w:p>
      <w:pPr>
        <w:pStyle w:val="Compact"/>
        <w:numPr>
          <w:ilvl w:val="0"/>
          <w:numId w:val="1029"/>
        </w:numPr>
      </w:pPr>
      <w:r>
        <w:t xml:space="preserve">IQR;</w:t>
      </w:r>
    </w:p>
    <w:p>
      <w:pPr>
        <w:pStyle w:val="Compact"/>
        <w:numPr>
          <w:ilvl w:val="0"/>
          <w:numId w:val="1029"/>
        </w:numPr>
      </w:pPr>
      <w:r>
        <w:t xml:space="preserve">full response distribution;</w:t>
      </w:r>
    </w:p>
    <w:p>
      <w:pPr>
        <w:pStyle w:val="Compact"/>
        <w:numPr>
          <w:ilvl w:val="0"/>
          <w:numId w:val="1029"/>
        </w:numPr>
      </w:pPr>
      <w:r>
        <w:t xml:space="preserve">percentage rating 7–9;</w:t>
      </w:r>
    </w:p>
    <w:p>
      <w:pPr>
        <w:pStyle w:val="Compact"/>
        <w:numPr>
          <w:ilvl w:val="0"/>
          <w:numId w:val="1029"/>
        </w:numPr>
      </w:pPr>
      <w:r>
        <w:t xml:space="preserve">consensus classification; and</w:t>
      </w:r>
    </w:p>
    <w:p>
      <w:pPr>
        <w:pStyle w:val="Compact"/>
        <w:numPr>
          <w:ilvl w:val="0"/>
          <w:numId w:val="1029"/>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30"/>
        </w:numPr>
      </w:pPr>
      <w:r>
        <w:t xml:space="preserve">early-career researchers;</w:t>
      </w:r>
    </w:p>
    <w:p>
      <w:pPr>
        <w:pStyle w:val="Compact"/>
        <w:numPr>
          <w:ilvl w:val="0"/>
          <w:numId w:val="1030"/>
        </w:numPr>
      </w:pPr>
      <w:r>
        <w:t xml:space="preserve">supervisors;</w:t>
      </w:r>
    </w:p>
    <w:p>
      <w:pPr>
        <w:pStyle w:val="Compact"/>
        <w:numPr>
          <w:ilvl w:val="0"/>
          <w:numId w:val="1030"/>
        </w:numPr>
      </w:pPr>
      <w:r>
        <w:t xml:space="preserve">methodologists/biostatisticians; and</w:t>
      </w:r>
    </w:p>
    <w:p>
      <w:pPr>
        <w:pStyle w:val="Compact"/>
        <w:numPr>
          <w:ilvl w:val="0"/>
          <w:numId w:val="1030"/>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33"/>
    <w:bookmarkStart w:id="34" w:name="bias-and-mitigation-strategies"/>
    <w:p>
      <w:pPr>
        <w:pStyle w:val="Heading1"/>
      </w:pPr>
      <w:r>
        <w:t xml:space="preserve">11. Bias and Mitigation Strategies</w:t>
      </w:r>
    </w:p>
    <w:p>
      <w:pPr>
        <w:numPr>
          <w:ilvl w:val="0"/>
          <w:numId w:val="1031"/>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31"/>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31"/>
        </w:numPr>
      </w:pPr>
      <w:r>
        <w:t xml:space="preserve">Attrition bias: Loss of participants between rounds may alter the final consensus. Attrition will therefore be reported by stakeholder group and considered when interpreting the findings.</w:t>
      </w:r>
    </w:p>
    <w:bookmarkEnd w:id="34"/>
    <w:bookmarkStart w:id="35"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 the purpose of the study; what participation involves; the expected time commitment; the voluntary nature of participation; the right to withdraw without penalty; the right to request removal of data; confidentiality and anonymity procedures; foreseeable risks and benefits; how data will be used and stored; and contact information for the research team and ethics committee.</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32"/>
        </w:numPr>
      </w:pPr>
      <w:r>
        <w:t xml:space="preserve">invitations will be sent directly to potential participants;</w:t>
      </w:r>
    </w:p>
    <w:p>
      <w:pPr>
        <w:pStyle w:val="Compact"/>
        <w:numPr>
          <w:ilvl w:val="0"/>
          <w:numId w:val="1032"/>
        </w:numPr>
      </w:pPr>
      <w:r>
        <w:t xml:space="preserve">participation will not be arranged through a direct supervisor;</w:t>
      </w:r>
    </w:p>
    <w:p>
      <w:pPr>
        <w:pStyle w:val="Compact"/>
        <w:numPr>
          <w:ilvl w:val="0"/>
          <w:numId w:val="1032"/>
        </w:numPr>
      </w:pPr>
      <w:r>
        <w:t xml:space="preserve">supervisors will not know whether a specific junior researcher participated;</w:t>
      </w:r>
    </w:p>
    <w:p>
      <w:pPr>
        <w:pStyle w:val="Compact"/>
        <w:numPr>
          <w:ilvl w:val="0"/>
          <w:numId w:val="1032"/>
        </w:numPr>
      </w:pPr>
      <w:r>
        <w:t xml:space="preserve">reminders will be automated and sent by research staff who are not in a direct supervisory relationship with potential participants;</w:t>
      </w:r>
    </w:p>
    <w:p>
      <w:pPr>
        <w:pStyle w:val="Compact"/>
        <w:numPr>
          <w:ilvl w:val="0"/>
          <w:numId w:val="1032"/>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 Potential conflicts that could affect item generation, panel recruitment, interpretation, or dissemination will be documented and managed before the Delphi process begins.</w:t>
      </w:r>
    </w:p>
    <w:bookmarkEnd w:id="35"/>
    <w:bookmarkStart w:id="36"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3"/>
        </w:numPr>
      </w:pPr>
      <w:r>
        <w:t xml:space="preserve">important and modifiable barriers to valid, relevant, and high-value medical research among early-career researchers in Egypt; and</w:t>
      </w:r>
    </w:p>
    <w:p>
      <w:pPr>
        <w:numPr>
          <w:ilvl w:val="0"/>
          <w:numId w:val="1033"/>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6"/>
    <w:bookmarkStart w:id="37"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p>
      <w:pPr>
        <w:pStyle w:val="BodyText"/>
      </w:pPr>
      <w:r>
        <w:t xml:space="preserve">The analysis codebook, derived variables, and final statistical analysis scripts will be archived alongside the dataset where permitted by ethics approval and institutional policy.</w:t>
      </w:r>
    </w:p>
    <w:bookmarkEnd w:id="37"/>
    <w:bookmarkStart w:id="38"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8"/>
    <w:bookmarkStart w:id="39" w:name="dissemination"/>
    <w:p>
      <w:pPr>
        <w:pStyle w:val="Heading1"/>
      </w:pPr>
      <w:r>
        <w:t xml:space="preserve">16. Dissemination</w:t>
      </w:r>
    </w:p>
    <w:p>
      <w:pPr>
        <w:pStyle w:val="FirstParagraph"/>
      </w:pPr>
      <w:r>
        <w:t xml:space="preserve">Findings will be disseminated through peer-reviewed scientific publication and a policy brief.</w:t>
      </w:r>
    </w:p>
    <w:p>
      <w:pPr>
        <w:pStyle w:val="BodyText"/>
      </w:pPr>
      <w:r>
        <w:t xml:space="preserve">Dissemination materials will distinguish between:</w:t>
      </w:r>
    </w:p>
    <w:p>
      <w:pPr>
        <w:pStyle w:val="Compact"/>
        <w:numPr>
          <w:ilvl w:val="0"/>
          <w:numId w:val="1034"/>
        </w:numPr>
      </w:pPr>
      <w:r>
        <w:t xml:space="preserve">barriers that achieved consensus;</w:t>
      </w:r>
    </w:p>
    <w:p>
      <w:pPr>
        <w:pStyle w:val="Compact"/>
        <w:numPr>
          <w:ilvl w:val="0"/>
          <w:numId w:val="1034"/>
        </w:numPr>
      </w:pPr>
      <w:r>
        <w:t xml:space="preserve">interventions that achieved consensus as important and feasible;</w:t>
      </w:r>
    </w:p>
    <w:p>
      <w:pPr>
        <w:pStyle w:val="Compact"/>
        <w:numPr>
          <w:ilvl w:val="0"/>
          <w:numId w:val="1034"/>
        </w:numPr>
      </w:pPr>
      <w:r>
        <w:t xml:space="preserve">areas of persistent disagreement; and</w:t>
      </w:r>
    </w:p>
    <w:p>
      <w:pPr>
        <w:pStyle w:val="Compact"/>
        <w:numPr>
          <w:ilvl w:val="0"/>
          <w:numId w:val="1034"/>
        </w:numPr>
      </w:pPr>
      <w:r>
        <w:t xml:space="preserve">recommendations that require subsequent empirical evaluation.</w:t>
      </w:r>
    </w:p>
    <w:bookmarkEnd w:id="39"/>
    <w:bookmarkStart w:id="40"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40"/>
    <w:bookmarkStart w:id="48" w:name="appendices"/>
    <w:p>
      <w:pPr>
        <w:pStyle w:val="Heading1"/>
      </w:pPr>
      <w:r>
        <w:t xml:space="preserve">18. Appendices</w:t>
      </w:r>
    </w:p>
    <w:bookmarkStart w:id="41" w:name="appendix-1.-study-investigators"/>
    <w:p>
      <w:pPr>
        <w:pStyle w:val="Heading2"/>
      </w:pPr>
      <w:r>
        <w:t xml:space="preserve">18.1 Appendix 1. Study Investigators</w:t>
      </w:r>
    </w:p>
    <w:p>
      <w:pPr>
        <w:pStyle w:val="Compact"/>
        <w:numPr>
          <w:ilvl w:val="0"/>
          <w:numId w:val="1035"/>
        </w:numPr>
      </w:pPr>
      <w:r>
        <w:rPr>
          <w:b/>
          <w:bCs/>
        </w:rPr>
        <w:t xml:space="preserve">Principal Investigator:</w:t>
      </w:r>
      <w:r>
        <w:t xml:space="preserve"> </w:t>
      </w:r>
      <w:r>
        <w:t xml:space="preserve">Prof. Ashraf Nabhan (Faculty of Medicine, MTI University).</w:t>
      </w:r>
    </w:p>
    <w:p>
      <w:pPr>
        <w:pStyle w:val="Compact"/>
        <w:numPr>
          <w:ilvl w:val="0"/>
          <w:numId w:val="1035"/>
        </w:numPr>
      </w:pPr>
      <w:r>
        <w:rPr>
          <w:b/>
          <w:bCs/>
        </w:rPr>
        <w:t xml:space="preserve">Co-Investigators:</w:t>
      </w:r>
      <w:r>
        <w:t xml:space="preserve"> </w:t>
      </w:r>
      <w:r>
        <w:t xml:space="preserve">Dr Nabila Raouf (Faculty of Medicine, MTI University).</w:t>
      </w:r>
    </w:p>
    <w:p>
      <w:pPr>
        <w:pStyle w:val="Compact"/>
        <w:numPr>
          <w:ilvl w:val="0"/>
          <w:numId w:val="1035"/>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5"/>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and research-methodology experts. The advisory board will consist of 5 members. The group will oversee protocol development, item generation, interpretation of Delphi findings, and preparation of the final priority framework.</w:t>
      </w:r>
    </w:p>
    <w:bookmarkEnd w:id="41"/>
    <w:bookmarkStart w:id="42" w:name="appendix-2.-proposed-barrier-domains"/>
    <w:p>
      <w:pPr>
        <w:pStyle w:val="Heading2"/>
      </w:pPr>
      <w:r>
        <w:t xml:space="preserve">18.2 Appendix 2. Proposed barrier domains</w:t>
      </w:r>
    </w:p>
    <w:p>
      <w:pPr>
        <w:pStyle w:val="Compact"/>
        <w:numPr>
          <w:ilvl w:val="0"/>
          <w:numId w:val="1036"/>
        </w:numPr>
      </w:pPr>
      <w:r>
        <w:t xml:space="preserve">Research question selection and prioritization</w:t>
      </w:r>
    </w:p>
    <w:p>
      <w:pPr>
        <w:pStyle w:val="Compact"/>
        <w:numPr>
          <w:ilvl w:val="0"/>
          <w:numId w:val="1036"/>
        </w:numPr>
      </w:pPr>
      <w:r>
        <w:t xml:space="preserve">Evidence searching and synthesis</w:t>
      </w:r>
    </w:p>
    <w:p>
      <w:pPr>
        <w:pStyle w:val="Compact"/>
        <w:numPr>
          <w:ilvl w:val="0"/>
          <w:numId w:val="1036"/>
        </w:numPr>
      </w:pPr>
      <w:r>
        <w:t xml:space="preserve">Research methodology knowledge</w:t>
      </w:r>
    </w:p>
    <w:p>
      <w:pPr>
        <w:pStyle w:val="Compact"/>
        <w:numPr>
          <w:ilvl w:val="0"/>
          <w:numId w:val="1036"/>
        </w:numPr>
      </w:pPr>
      <w:r>
        <w:t xml:space="preserve">Biostatistics and data analysis</w:t>
      </w:r>
    </w:p>
    <w:p>
      <w:pPr>
        <w:pStyle w:val="Compact"/>
        <w:numPr>
          <w:ilvl w:val="0"/>
          <w:numId w:val="1036"/>
        </w:numPr>
      </w:pPr>
      <w:r>
        <w:t xml:space="preserve">Scientific writing and reporting</w:t>
      </w:r>
    </w:p>
    <w:p>
      <w:pPr>
        <w:pStyle w:val="Compact"/>
        <w:numPr>
          <w:ilvl w:val="0"/>
          <w:numId w:val="1036"/>
        </w:numPr>
      </w:pPr>
      <w:r>
        <w:t xml:space="preserve">Research supervision and mentorship</w:t>
      </w:r>
    </w:p>
    <w:p>
      <w:pPr>
        <w:pStyle w:val="Compact"/>
        <w:numPr>
          <w:ilvl w:val="0"/>
          <w:numId w:val="1036"/>
        </w:numPr>
      </w:pPr>
      <w:r>
        <w:t xml:space="preserve">Protected research time</w:t>
      </w:r>
    </w:p>
    <w:p>
      <w:pPr>
        <w:pStyle w:val="Compact"/>
        <w:numPr>
          <w:ilvl w:val="0"/>
          <w:numId w:val="1036"/>
        </w:numPr>
      </w:pPr>
      <w:r>
        <w:t xml:space="preserve">Funding and financial resources</w:t>
      </w:r>
    </w:p>
    <w:p>
      <w:pPr>
        <w:pStyle w:val="Compact"/>
        <w:numPr>
          <w:ilvl w:val="0"/>
          <w:numId w:val="1036"/>
        </w:numPr>
      </w:pPr>
      <w:r>
        <w:t xml:space="preserve">Data availability and access</w:t>
      </w:r>
    </w:p>
    <w:p>
      <w:pPr>
        <w:pStyle w:val="Compact"/>
        <w:numPr>
          <w:ilvl w:val="0"/>
          <w:numId w:val="1036"/>
        </w:numPr>
      </w:pPr>
      <w:r>
        <w:t xml:space="preserve">Laboratory and technical infrastructure</w:t>
      </w:r>
    </w:p>
    <w:p>
      <w:pPr>
        <w:pStyle w:val="Compact"/>
        <w:numPr>
          <w:ilvl w:val="0"/>
          <w:numId w:val="1036"/>
        </w:numPr>
      </w:pPr>
      <w:r>
        <w:t xml:space="preserve">Research ethics and administrative processes</w:t>
      </w:r>
    </w:p>
    <w:p>
      <w:pPr>
        <w:pStyle w:val="Compact"/>
        <w:numPr>
          <w:ilvl w:val="0"/>
          <w:numId w:val="1036"/>
        </w:numPr>
      </w:pPr>
      <w:r>
        <w:t xml:space="preserve">Collaboration and multidisciplinary research</w:t>
      </w:r>
    </w:p>
    <w:p>
      <w:pPr>
        <w:pStyle w:val="Compact"/>
        <w:numPr>
          <w:ilvl w:val="0"/>
          <w:numId w:val="1036"/>
        </w:numPr>
      </w:pPr>
      <w:r>
        <w:t xml:space="preserve">Institutional research culture</w:t>
      </w:r>
    </w:p>
    <w:p>
      <w:pPr>
        <w:pStyle w:val="Compact"/>
        <w:numPr>
          <w:ilvl w:val="0"/>
          <w:numId w:val="1036"/>
        </w:numPr>
      </w:pPr>
      <w:r>
        <w:t xml:space="preserve">Academic promotion and incentive structures</w:t>
      </w:r>
    </w:p>
    <w:p>
      <w:pPr>
        <w:pStyle w:val="Compact"/>
        <w:numPr>
          <w:ilvl w:val="0"/>
          <w:numId w:val="1036"/>
        </w:numPr>
      </w:pPr>
      <w:r>
        <w:t xml:space="preserve">Publication and dissemination</w:t>
      </w:r>
    </w:p>
    <w:p>
      <w:pPr>
        <w:pStyle w:val="Compact"/>
        <w:numPr>
          <w:ilvl w:val="0"/>
          <w:numId w:val="1036"/>
        </w:numPr>
      </w:pPr>
      <w:r>
        <w:t xml:space="preserve">Research governance and integrity</w:t>
      </w:r>
    </w:p>
    <w:p>
      <w:pPr>
        <w:pStyle w:val="Compact"/>
        <w:numPr>
          <w:ilvl w:val="0"/>
          <w:numId w:val="1036"/>
        </w:numPr>
      </w:pPr>
      <w:r>
        <w:t xml:space="preserve">National research policy and infrastructure</w:t>
      </w:r>
    </w:p>
    <w:bookmarkEnd w:id="42"/>
    <w:bookmarkStart w:id="43" w:name="Xbad515ac281b62739dfb411df580324f52669ee"/>
    <w:p>
      <w:pPr>
        <w:pStyle w:val="Heading2"/>
      </w:pPr>
      <w:r>
        <w:t xml:space="preserve">18.3 Appendix 3. Proposed intervention domains</w:t>
      </w:r>
    </w:p>
    <w:p>
      <w:pPr>
        <w:pStyle w:val="Compact"/>
        <w:numPr>
          <w:ilvl w:val="0"/>
          <w:numId w:val="1037"/>
        </w:numPr>
      </w:pPr>
      <w:r>
        <w:t xml:space="preserve">Structured research-methodology curricula</w:t>
      </w:r>
    </w:p>
    <w:p>
      <w:pPr>
        <w:pStyle w:val="Compact"/>
        <w:numPr>
          <w:ilvl w:val="0"/>
          <w:numId w:val="1037"/>
        </w:numPr>
      </w:pPr>
      <w:r>
        <w:t xml:space="preserve">Supervisor-development programs</w:t>
      </w:r>
    </w:p>
    <w:p>
      <w:pPr>
        <w:pStyle w:val="Compact"/>
        <w:numPr>
          <w:ilvl w:val="0"/>
          <w:numId w:val="1037"/>
        </w:numPr>
      </w:pPr>
      <w:r>
        <w:t xml:space="preserve">Formal mentorship systems</w:t>
      </w:r>
    </w:p>
    <w:p>
      <w:pPr>
        <w:pStyle w:val="Compact"/>
        <w:numPr>
          <w:ilvl w:val="0"/>
          <w:numId w:val="1037"/>
        </w:numPr>
      </w:pPr>
      <w:r>
        <w:t xml:space="preserve">Institutional statistical/methodological consultation</w:t>
      </w:r>
    </w:p>
    <w:p>
      <w:pPr>
        <w:pStyle w:val="Compact"/>
        <w:numPr>
          <w:ilvl w:val="0"/>
          <w:numId w:val="1037"/>
        </w:numPr>
      </w:pPr>
      <w:r>
        <w:t xml:space="preserve">Enforce a protected research time</w:t>
      </w:r>
    </w:p>
    <w:p>
      <w:pPr>
        <w:pStyle w:val="Compact"/>
        <w:numPr>
          <w:ilvl w:val="0"/>
          <w:numId w:val="1037"/>
        </w:numPr>
      </w:pPr>
      <w:r>
        <w:t xml:space="preserve">Small-grant mechanisms</w:t>
      </w:r>
    </w:p>
    <w:p>
      <w:pPr>
        <w:pStyle w:val="Compact"/>
        <w:numPr>
          <w:ilvl w:val="0"/>
          <w:numId w:val="1037"/>
        </w:numPr>
      </w:pPr>
      <w:r>
        <w:t xml:space="preserve">Shared research infrastructure</w:t>
      </w:r>
    </w:p>
    <w:p>
      <w:pPr>
        <w:pStyle w:val="Compact"/>
        <w:numPr>
          <w:ilvl w:val="0"/>
          <w:numId w:val="1037"/>
        </w:numPr>
      </w:pPr>
      <w:r>
        <w:t xml:space="preserve">Research-support offices</w:t>
      </w:r>
    </w:p>
    <w:p>
      <w:pPr>
        <w:pStyle w:val="Compact"/>
        <w:numPr>
          <w:ilvl w:val="0"/>
          <w:numId w:val="1037"/>
        </w:numPr>
      </w:pPr>
      <w:r>
        <w:t xml:space="preserve">Data-access systems</w:t>
      </w:r>
    </w:p>
    <w:p>
      <w:pPr>
        <w:pStyle w:val="Compact"/>
        <w:numPr>
          <w:ilvl w:val="0"/>
          <w:numId w:val="1037"/>
        </w:numPr>
      </w:pPr>
      <w:r>
        <w:t xml:space="preserve">Research collaboration networks</w:t>
      </w:r>
    </w:p>
    <w:p>
      <w:pPr>
        <w:pStyle w:val="Compact"/>
        <w:numPr>
          <w:ilvl w:val="0"/>
          <w:numId w:val="1037"/>
        </w:numPr>
      </w:pPr>
      <w:r>
        <w:t xml:space="preserve">Research-integrity and reporting training</w:t>
      </w:r>
    </w:p>
    <w:p>
      <w:pPr>
        <w:pStyle w:val="Compact"/>
        <w:numPr>
          <w:ilvl w:val="0"/>
          <w:numId w:val="1037"/>
        </w:numPr>
      </w:pPr>
      <w:r>
        <w:t xml:space="preserve">Incentive and promotion reform</w:t>
      </w:r>
    </w:p>
    <w:p>
      <w:pPr>
        <w:pStyle w:val="Compact"/>
        <w:numPr>
          <w:ilvl w:val="0"/>
          <w:numId w:val="1037"/>
        </w:numPr>
      </w:pPr>
      <w:r>
        <w:t xml:space="preserve">Research-priority setting</w:t>
      </w:r>
    </w:p>
    <w:p>
      <w:pPr>
        <w:pStyle w:val="Compact"/>
        <w:numPr>
          <w:ilvl w:val="0"/>
          <w:numId w:val="1037"/>
        </w:numPr>
      </w:pPr>
      <w:r>
        <w:t xml:space="preserve">National research-capacity programs</w:t>
      </w:r>
    </w:p>
    <w:p>
      <w:pPr>
        <w:pStyle w:val="Compact"/>
        <w:numPr>
          <w:ilvl w:val="0"/>
          <w:numId w:val="1037"/>
        </w:numPr>
      </w:pPr>
      <w:r>
        <w:t xml:space="preserve">Mechanisms for dissemination and uptake of research findings</w:t>
      </w:r>
    </w:p>
    <w:bookmarkEnd w:id="43"/>
    <w:bookmarkStart w:id="44"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38"/>
        </w:numPr>
      </w:pPr>
      <w:r>
        <w:t xml:space="preserve">protocol version;</w:t>
      </w:r>
    </w:p>
    <w:p>
      <w:pPr>
        <w:pStyle w:val="Compact"/>
        <w:numPr>
          <w:ilvl w:val="0"/>
          <w:numId w:val="1038"/>
        </w:numPr>
      </w:pPr>
      <w:r>
        <w:t xml:space="preserve">item wording and revisions;</w:t>
      </w:r>
    </w:p>
    <w:p>
      <w:pPr>
        <w:pStyle w:val="Compact"/>
        <w:numPr>
          <w:ilvl w:val="0"/>
          <w:numId w:val="1038"/>
        </w:numPr>
      </w:pPr>
      <w:r>
        <w:t xml:space="preserve">reason for each material item change;</w:t>
      </w:r>
    </w:p>
    <w:p>
      <w:pPr>
        <w:pStyle w:val="Compact"/>
        <w:numPr>
          <w:ilvl w:val="0"/>
          <w:numId w:val="1038"/>
        </w:numPr>
      </w:pPr>
      <w:r>
        <w:t xml:space="preserve">participant recruitment numbers;</w:t>
      </w:r>
    </w:p>
    <w:p>
      <w:pPr>
        <w:pStyle w:val="Compact"/>
        <w:numPr>
          <w:ilvl w:val="0"/>
          <w:numId w:val="1038"/>
        </w:numPr>
      </w:pPr>
      <w:r>
        <w:t xml:space="preserve">stakeholder category;</w:t>
      </w:r>
    </w:p>
    <w:p>
      <w:pPr>
        <w:pStyle w:val="Compact"/>
        <w:numPr>
          <w:ilvl w:val="0"/>
          <w:numId w:val="1038"/>
        </w:numPr>
      </w:pPr>
      <w:r>
        <w:t xml:space="preserve">round-specific response rates;</w:t>
      </w:r>
    </w:p>
    <w:p>
      <w:pPr>
        <w:pStyle w:val="Compact"/>
        <w:numPr>
          <w:ilvl w:val="0"/>
          <w:numId w:val="1038"/>
        </w:numPr>
      </w:pPr>
      <w:r>
        <w:t xml:space="preserve">item-level response distributions;</w:t>
      </w:r>
    </w:p>
    <w:p>
      <w:pPr>
        <w:pStyle w:val="Compact"/>
        <w:numPr>
          <w:ilvl w:val="0"/>
          <w:numId w:val="1038"/>
        </w:numPr>
      </w:pPr>
      <w:r>
        <w:t xml:space="preserve">median and IQR;</w:t>
      </w:r>
    </w:p>
    <w:p>
      <w:pPr>
        <w:pStyle w:val="Compact"/>
        <w:numPr>
          <w:ilvl w:val="0"/>
          <w:numId w:val="1038"/>
        </w:numPr>
      </w:pPr>
      <w:r>
        <w:t xml:space="preserve">consensus classification;</w:t>
      </w:r>
    </w:p>
    <w:p>
      <w:pPr>
        <w:pStyle w:val="Compact"/>
        <w:numPr>
          <w:ilvl w:val="0"/>
          <w:numId w:val="1038"/>
        </w:numPr>
      </w:pPr>
      <w:r>
        <w:t xml:space="preserve">subgroup findings; and</w:t>
      </w:r>
    </w:p>
    <w:p>
      <w:pPr>
        <w:pStyle w:val="Compact"/>
        <w:numPr>
          <w:ilvl w:val="0"/>
          <w:numId w:val="1038"/>
        </w:numPr>
      </w:pPr>
      <w:r>
        <w:t xml:space="preserve">documented protocol deviations.</w:t>
      </w:r>
    </w:p>
    <w:bookmarkEnd w:id="44"/>
    <w:bookmarkStart w:id="46"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39"/>
        </w:numPr>
      </w:pPr>
      <w:r>
        <w:t xml:space="preserve">The barriers considered most important in limiting valid, relevant, and high-value medical research among early-career researchers in Egypt.</w:t>
      </w:r>
    </w:p>
    <w:p>
      <w:pPr>
        <w:pStyle w:val="Compact"/>
        <w:numPr>
          <w:ilvl w:val="0"/>
          <w:numId w:val="1039"/>
        </w:numPr>
      </w:pPr>
      <w:r>
        <w:t xml:space="preserve">Which barriers are considered modifiable.</w:t>
      </w:r>
    </w:p>
    <w:p>
      <w:pPr>
        <w:pStyle w:val="Compact"/>
        <w:numPr>
          <w:ilvl w:val="0"/>
          <w:numId w:val="1039"/>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include:</w:t>
      </w:r>
    </w:p>
    <w:p>
      <w:pPr>
        <w:pStyle w:val="Compact"/>
        <w:numPr>
          <w:ilvl w:val="0"/>
          <w:numId w:val="1040"/>
        </w:numPr>
      </w:pPr>
      <w:r>
        <w:t xml:space="preserve">Medical students, house officers, residents, teaching assistants, assistant lecturers, or equivalent early-career medical researchers.</w:t>
      </w:r>
    </w:p>
    <w:p>
      <w:pPr>
        <w:pStyle w:val="Compact"/>
        <w:numPr>
          <w:ilvl w:val="0"/>
          <w:numId w:val="1040"/>
        </w:numPr>
      </w:pPr>
      <w:r>
        <w:t xml:space="preserve">Research supervisors.</w:t>
      </w:r>
    </w:p>
    <w:p>
      <w:pPr>
        <w:pStyle w:val="Compact"/>
        <w:numPr>
          <w:ilvl w:val="0"/>
          <w:numId w:val="1040"/>
        </w:numPr>
      </w:pPr>
      <w:r>
        <w:t xml:space="preserve">Biostatisticians or research methodologists.</w:t>
      </w:r>
    </w:p>
    <w:p>
      <w:pPr>
        <w:pStyle w:val="Compact"/>
        <w:numPr>
          <w:ilvl w:val="0"/>
          <w:numId w:val="1040"/>
        </w:numPr>
      </w:pPr>
      <w:r>
        <w:t xml:space="preserve">Members of ethics committees or research-governance structures.</w:t>
      </w:r>
    </w:p>
    <w:p>
      <w:pPr>
        <w:pStyle w:val="FirstParagraph"/>
      </w:pPr>
      <w:r>
        <w:rPr>
          <w:b/>
          <w:bCs/>
        </w:rPr>
        <w:t xml:space="preserve">What will happen if I take part?</w:t>
      </w:r>
    </w:p>
    <w:p>
      <w:pPr>
        <w:pStyle w:val="BodyText"/>
      </w:pPr>
      <w:r>
        <w:rPr>
          <w:b/>
          <w:bCs/>
        </w:rPr>
        <w:t xml:space="preserve">Round 1</w:t>
      </w:r>
    </w:p>
    <w:p>
      <w:pPr>
        <w:pStyle w:val="BodyText"/>
      </w:pPr>
      <w:r>
        <w:t xml:space="preserve">If you agree to participate, you will complete an electronic consent form and a questionnaire that includes:</w:t>
      </w:r>
    </w:p>
    <w:p>
      <w:pPr>
        <w:pStyle w:val="Compact"/>
        <w:numPr>
          <w:ilvl w:val="0"/>
          <w:numId w:val="1041"/>
        </w:numPr>
      </w:pPr>
      <w:r>
        <w:t xml:space="preserve">A small number of background questions.</w:t>
      </w:r>
    </w:p>
    <w:p>
      <w:pPr>
        <w:pStyle w:val="Compact"/>
        <w:numPr>
          <w:ilvl w:val="0"/>
          <w:numId w:val="1041"/>
        </w:numPr>
      </w:pPr>
      <w:r>
        <w:t xml:space="preserve">Ratings of candidate</w:t>
      </w:r>
      <w:r>
        <w:t xml:space="preserve"> </w:t>
      </w:r>
      <w:r>
        <w:rPr>
          <w:b/>
          <w:bCs/>
        </w:rPr>
        <w:t xml:space="preserve">barriers</w:t>
      </w:r>
      <w:r>
        <w:t xml:space="preserve"> </w:t>
      </w:r>
      <w:r>
        <w:t xml:space="preserve">to valid, relevant, and high-value medical research among early-career researchers in Egypt, using:</w:t>
      </w:r>
    </w:p>
    <w:p>
      <w:pPr>
        <w:pStyle w:val="Compact"/>
        <w:numPr>
          <w:ilvl w:val="1"/>
          <w:numId w:val="1042"/>
        </w:numPr>
      </w:pPr>
      <w:r>
        <w:rPr>
          <w:b/>
          <w:bCs/>
        </w:rPr>
        <w:t xml:space="preserve">Importance:</w:t>
      </w:r>
      <w:r>
        <w:t xml:space="preserve"> </w:t>
      </w:r>
      <w:r>
        <w:t xml:space="preserve">1 = not important at all to 9 = extremely important.</w:t>
      </w:r>
    </w:p>
    <w:p>
      <w:pPr>
        <w:pStyle w:val="Compact"/>
        <w:numPr>
          <w:ilvl w:val="1"/>
          <w:numId w:val="1042"/>
        </w:numPr>
      </w:pPr>
      <w:r>
        <w:rPr>
          <w:b/>
          <w:bCs/>
        </w:rPr>
        <w:t xml:space="preserve">Modifiability:</w:t>
      </w:r>
      <w:r>
        <w:t xml:space="preserve"> </w:t>
      </w:r>
      <w:r>
        <w:t xml:space="preserve">1 = not modifiable at all to 9 = highly modifiable.</w:t>
      </w:r>
    </w:p>
    <w:p>
      <w:pPr>
        <w:pStyle w:val="Compact"/>
        <w:numPr>
          <w:ilvl w:val="0"/>
          <w:numId w:val="1041"/>
        </w:numPr>
      </w:pPr>
      <w:r>
        <w:t xml:space="preserve">Ratings of candidate</w:t>
      </w:r>
      <w:r>
        <w:t xml:space="preserve"> </w:t>
      </w:r>
      <w:r>
        <w:rPr>
          <w:b/>
          <w:bCs/>
        </w:rPr>
        <w:t xml:space="preserve">interventions</w:t>
      </w:r>
      <w:r>
        <w:t xml:space="preserve"> </w:t>
      </w:r>
      <w:r>
        <w:t xml:space="preserve">to address these barriers, using:</w:t>
      </w:r>
    </w:p>
    <w:p>
      <w:pPr>
        <w:pStyle w:val="Compact"/>
        <w:numPr>
          <w:ilvl w:val="1"/>
          <w:numId w:val="1043"/>
        </w:numPr>
      </w:pPr>
      <w:r>
        <w:rPr>
          <w:b/>
          <w:bCs/>
        </w:rPr>
        <w:t xml:space="preserve">Importance/potential impact:</w:t>
      </w:r>
      <w:r>
        <w:t xml:space="preserve"> </w:t>
      </w:r>
      <w:r>
        <w:t xml:space="preserve">1 = not important/no meaningful impact to 9 = extremely important/very high potential impact.</w:t>
      </w:r>
    </w:p>
    <w:p>
      <w:pPr>
        <w:pStyle w:val="Compact"/>
        <w:numPr>
          <w:ilvl w:val="1"/>
          <w:numId w:val="1043"/>
        </w:numPr>
      </w:pPr>
      <w:r>
        <w:rPr>
          <w:b/>
          <w:bCs/>
        </w:rPr>
        <w:t xml:space="preserve">Feasibility in the Egyptian context:</w:t>
      </w:r>
      <w:r>
        <w:t xml:space="preserve"> </w:t>
      </w:r>
      <w:r>
        <w:t xml:space="preserve">1 = not feasible to 9 = highly feasible.</w:t>
      </w:r>
    </w:p>
    <w:p>
      <w:pPr>
        <w:pStyle w:val="Compact"/>
        <w:numPr>
          <w:ilvl w:val="0"/>
          <w:numId w:val="1041"/>
        </w:numPr>
      </w:pPr>
      <w:r>
        <w:t xml:space="preserve">For each intervention, a question on the main level at which it should be implemented.</w:t>
      </w:r>
    </w:p>
    <w:p>
      <w:pPr>
        <w:pStyle w:val="FirstParagraph"/>
      </w:pPr>
      <w:r>
        <w:t xml:space="preserve">You may select</w:t>
      </w:r>
      <w:r>
        <w:t xml:space="preserve"> </w:t>
      </w:r>
      <w:r>
        <w:rPr>
          <w:b/>
          <w:bCs/>
        </w:rPr>
        <w:t xml:space="preserve">“Cannot judge / insufficient experience”</w:t>
      </w:r>
      <w:r>
        <w:t xml:space="preserve"> </w:t>
      </w:r>
      <w:r>
        <w:t xml:space="preserve">for any item you do not feel able to rate.</w:t>
      </w:r>
    </w:p>
    <w:p>
      <w:pPr>
        <w:pStyle w:val="BodyText"/>
      </w:pPr>
      <w:r>
        <w:t xml:space="preserve">You will be asked to consider the Egyptian research system as a whole, rather than any particular person, department, university, hospital, or organization.</w:t>
      </w:r>
    </w:p>
    <w:p>
      <w:pPr>
        <w:pStyle w:val="BodyText"/>
      </w:pPr>
      <w:r>
        <w:t xml:space="preserve">Round 1 is expected to take approximately</w:t>
      </w:r>
      <w:r>
        <w:t xml:space="preserve"> </w:t>
      </w:r>
      <w:r>
        <w:rPr>
          <w:b/>
          <w:bCs/>
        </w:rPr>
        <w:t xml:space="preserve">30minutes</w:t>
      </w:r>
      <w:r>
        <w:t xml:space="preserve">.</w:t>
      </w:r>
    </w:p>
    <w:p>
      <w:pPr>
        <w:pStyle w:val="BodyText"/>
      </w:pPr>
      <w:r>
        <w:rPr>
          <w:b/>
          <w:bCs/>
        </w:rPr>
        <w:t xml:space="preserve">Round 2</w:t>
      </w:r>
    </w:p>
    <w:p>
      <w:pPr>
        <w:pStyle w:val="BodyText"/>
      </w:pPr>
      <w:r>
        <w:t xml:space="preserve">Participants who complete Round 1 may be invited to Round 2. You will receive anonymized group-level feedback from Round 1 and will be asked to reconsider and re-rate retained or revised barrier and intervention items.</w:t>
      </w:r>
    </w:p>
    <w:p>
      <w:pPr>
        <w:pStyle w:val="BodyText"/>
      </w:pPr>
      <w:r>
        <w:t xml:space="preserve">You will also be asked to identify up to three interventions that should be prioritized first because they are both important and feasible in the Egyptian context.</w:t>
      </w:r>
    </w:p>
    <w:p>
      <w:pPr>
        <w:pStyle w:val="BodyText"/>
      </w:pPr>
      <w:r>
        <w:t xml:space="preserve">Round 2 is expected to take approximately</w:t>
      </w:r>
      <w:r>
        <w:t xml:space="preserve"> </w:t>
      </w:r>
      <w:r>
        <w:rPr>
          <w:b/>
          <w:bCs/>
        </w:rPr>
        <w:t xml:space="preserve">30minutes</w:t>
      </w:r>
      <w:r>
        <w:t xml:space="preserve">.</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4"/>
        </w:numPr>
      </w:pPr>
      <w:r>
        <w:t xml:space="preserve">Names of colleagues, supervisors, students, institutions, departments, hospitals, or organizations.</w:t>
      </w:r>
    </w:p>
    <w:p>
      <w:pPr>
        <w:pStyle w:val="Compact"/>
        <w:numPr>
          <w:ilvl w:val="0"/>
          <w:numId w:val="1044"/>
        </w:numPr>
      </w:pPr>
      <w:r>
        <w:t xml:space="preserve">Confidential organizational information.</w:t>
      </w:r>
    </w:p>
    <w:p>
      <w:pPr>
        <w:pStyle w:val="Compact"/>
        <w:numPr>
          <w:ilvl w:val="0"/>
          <w:numId w:val="1044"/>
        </w:numPr>
      </w:pPr>
      <w:r>
        <w:t xml:space="preserve">Allegations about named individuals.</w:t>
      </w:r>
    </w:p>
    <w:p>
      <w:pPr>
        <w:pStyle w:val="Compact"/>
        <w:numPr>
          <w:ilvl w:val="0"/>
          <w:numId w:val="1044"/>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w:t>
      </w:r>
      <w:r>
        <w:t xml:space="preserve"> </w:t>
      </w:r>
      <w:hyperlink r:id="rId45">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5"/>
        </w:numPr>
      </w:pPr>
      <w:r>
        <w:t xml:space="preserve">Minimal discomfort when considering barriers related to supervision, institutional support, research governance, or research culture.</w:t>
      </w:r>
    </w:p>
    <w:p>
      <w:pPr>
        <w:pStyle w:val="Compact"/>
        <w:numPr>
          <w:ilvl w:val="0"/>
          <w:numId w:val="1045"/>
        </w:numPr>
      </w:pPr>
      <w:r>
        <w:t xml:space="preserve">Concern that professional or institutional views could be recognized.</w:t>
      </w:r>
    </w:p>
    <w:p>
      <w:pPr>
        <w:pStyle w:val="FirstParagraph"/>
      </w:pPr>
      <w:r>
        <w:t xml:space="preserve">To reduce these risks:</w:t>
      </w:r>
    </w:p>
    <w:p>
      <w:pPr>
        <w:pStyle w:val="Compact"/>
        <w:numPr>
          <w:ilvl w:val="0"/>
          <w:numId w:val="1046"/>
        </w:numPr>
      </w:pPr>
      <w:r>
        <w:t xml:space="preserve">Participation will occur through an electronic survey rather than a group discussion.</w:t>
      </w:r>
    </w:p>
    <w:p>
      <w:pPr>
        <w:pStyle w:val="Compact"/>
        <w:numPr>
          <w:ilvl w:val="0"/>
          <w:numId w:val="1046"/>
        </w:numPr>
      </w:pPr>
      <w:r>
        <w:t xml:space="preserve">Individual ratings will not be shown to other participants.</w:t>
      </w:r>
    </w:p>
    <w:p>
      <w:pPr>
        <w:pStyle w:val="Compact"/>
        <w:numPr>
          <w:ilvl w:val="0"/>
          <w:numId w:val="1046"/>
        </w:numPr>
      </w:pPr>
      <w:r>
        <w:t xml:space="preserve">Feedback between rounds will be presented only in aggregate form.</w:t>
      </w:r>
    </w:p>
    <w:p>
      <w:pPr>
        <w:pStyle w:val="Compact"/>
        <w:numPr>
          <w:ilvl w:val="0"/>
          <w:numId w:val="1046"/>
        </w:numPr>
      </w:pPr>
      <w:r>
        <w:t xml:space="preserve">Identifying contact information will be stored separately from survey responses.</w:t>
      </w:r>
    </w:p>
    <w:p>
      <w:pPr>
        <w:pStyle w:val="Compact"/>
        <w:numPr>
          <w:ilvl w:val="0"/>
          <w:numId w:val="1046"/>
        </w:numPr>
      </w:pPr>
      <w:r>
        <w:t xml:space="preserve">The analysis dataset will use a study identifier rather than your name or email address.</w:t>
      </w:r>
    </w:p>
    <w:p>
      <w:pPr>
        <w:pStyle w:val="Compact"/>
        <w:numPr>
          <w:ilvl w:val="0"/>
          <w:numId w:val="1046"/>
        </w:numPr>
      </w:pPr>
      <w:r>
        <w:t xml:space="preserve">Reports will present aggregated findings and will avoid reporting small cells or details that could identify an individual or institution.</w:t>
      </w:r>
    </w:p>
    <w:p>
      <w:pPr>
        <w:pStyle w:val="Compact"/>
        <w:numPr>
          <w:ilvl w:val="0"/>
          <w:numId w:val="1046"/>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Individual ratings and comments will not be shared with other participants, supervisors, institutional leaders, or advisory board members in identifiable form.</w:t>
      </w:r>
    </w:p>
    <w:p>
      <w:pPr>
        <w:pStyle w:val="BodyText"/>
      </w:pPr>
      <w:r>
        <w:t xml:space="preserve">Survey data will use Microsoft Forms and be stored on Microsoft Sharepoint site of the study. This is a secure, password-protected, access-controlled institutional storage.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t xml:space="preserve">There will be no face-to-face group discussion, and you will not interact with other participants. Your individual responses will not be shared with other participants.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and policy briefs.</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7"/>
        </w:numPr>
      </w:pPr>
      <w:r>
        <w:t xml:space="preserve">Aggregated study findings.</w:t>
      </w:r>
    </w:p>
    <w:p>
      <w:pPr>
        <w:pStyle w:val="Compact"/>
        <w:numPr>
          <w:ilvl w:val="0"/>
          <w:numId w:val="1047"/>
        </w:numPr>
      </w:pPr>
      <w:r>
        <w:t xml:space="preserve">The final questionnaire.</w:t>
      </w:r>
    </w:p>
    <w:p>
      <w:pPr>
        <w:pStyle w:val="Compact"/>
        <w:numPr>
          <w:ilvl w:val="0"/>
          <w:numId w:val="1047"/>
        </w:numPr>
      </w:pPr>
      <w:r>
        <w:t xml:space="preserve">Item-development documentation.</w:t>
      </w:r>
    </w:p>
    <w:p>
      <w:pPr>
        <w:pStyle w:val="Compact"/>
        <w:numPr>
          <w:ilvl w:val="0"/>
          <w:numId w:val="1047"/>
        </w:numPr>
      </w:pPr>
      <w:r>
        <w:t xml:space="preserve">De-identified numerical data.</w:t>
      </w:r>
    </w:p>
    <w:p>
      <w:pPr>
        <w:pStyle w:val="Compact"/>
        <w:numPr>
          <w:ilvl w:val="0"/>
          <w:numId w:val="1047"/>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48"/>
        </w:numPr>
      </w:pPr>
      <w:r>
        <w:t xml:space="preserve">Names, email addresses, and contact information.</w:t>
      </w:r>
    </w:p>
    <w:p>
      <w:pPr>
        <w:pStyle w:val="Compact"/>
        <w:numPr>
          <w:ilvl w:val="0"/>
          <w:numId w:val="1048"/>
        </w:numPr>
      </w:pPr>
      <w:r>
        <w:t xml:space="preserve">Consent records.</w:t>
      </w:r>
    </w:p>
    <w:p>
      <w:pPr>
        <w:pStyle w:val="Compact"/>
        <w:numPr>
          <w:ilvl w:val="0"/>
          <w:numId w:val="1048"/>
        </w:numPr>
      </w:pPr>
      <w:r>
        <w:t xml:space="preserve">The linkage file.</w:t>
      </w:r>
    </w:p>
    <w:p>
      <w:pPr>
        <w:pStyle w:val="Compact"/>
        <w:numPr>
          <w:ilvl w:val="0"/>
          <w:numId w:val="1048"/>
        </w:numPr>
      </w:pPr>
      <w:r>
        <w:t xml:space="preserve">Raw identifiable comments.</w:t>
      </w:r>
    </w:p>
    <w:p>
      <w:pPr>
        <w:pStyle w:val="Compact"/>
        <w:numPr>
          <w:ilvl w:val="0"/>
          <w:numId w:val="1048"/>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will be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5">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6"/>
    <w:bookmarkStart w:id="47"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BodyText"/>
      </w:pPr>
      <w:r>
        <w:t xml:space="preserve">Please confirm that all of the following statements are true:</w:t>
      </w:r>
    </w:p>
    <w:p>
      <w:pPr>
        <w:pStyle w:val="Compact"/>
        <w:numPr>
          <w:ilvl w:val="0"/>
          <w:numId w:val="1049"/>
        </w:numPr>
      </w:pPr>
      <w:r>
        <w:t xml:space="preserve">I am aged 18 years or older.</w:t>
      </w:r>
    </w:p>
    <w:p>
      <w:pPr>
        <w:pStyle w:val="Compact"/>
        <w:numPr>
          <w:ilvl w:val="0"/>
          <w:numId w:val="1049"/>
        </w:numPr>
      </w:pPr>
      <w:r>
        <w:t xml:space="preserve">I have sufficient familiarity with the Egyptian medical research environment to provide informed judgments.</w:t>
      </w:r>
    </w:p>
    <w:p>
      <w:pPr>
        <w:pStyle w:val="Compact"/>
        <w:numPr>
          <w:ilvl w:val="0"/>
          <w:numId w:val="1049"/>
        </w:numPr>
      </w:pPr>
      <w:r>
        <w:t xml:space="preserve">I am an early career researcher, a research supervisor, a biostatistician, a research methodologist, a member of an ethics committee, or a member of research-governance structures.</w:t>
      </w:r>
    </w:p>
    <w:p>
      <w:pPr>
        <w:pStyle w:val="Compact"/>
        <w:numPr>
          <w:ilvl w:val="0"/>
          <w:numId w:val="1049"/>
        </w:numPr>
      </w:pPr>
      <w:r>
        <w:t xml:space="preserve">I can complete the questionnaire in the language provided.</w:t>
      </w:r>
    </w:p>
    <w:p>
      <w:pPr>
        <w:pStyle w:val="FirstParagraph"/>
      </w:pPr>
      <w:r>
        <w:t xml:space="preserve">☐ I confirm that all of the above statements are true and that I am eligible to participate.</w:t>
      </w:r>
    </w:p>
    <w:p>
      <w:pPr>
        <w:pStyle w:val="BodyText"/>
      </w:pPr>
      <w:r>
        <w:t xml:space="preserve">If this box is not selected, the survey will end and you will not be able to continue.</w:t>
      </w:r>
    </w:p>
    <w:p>
      <w:pPr>
        <w:pStyle w:val="BodyText"/>
      </w:pPr>
      <w:r>
        <w:rPr>
          <w:b/>
          <w:bCs/>
        </w:rPr>
        <w:t xml:space="preserve">Consent statements</w:t>
      </w:r>
    </w:p>
    <w:p>
      <w:pPr>
        <w:pStyle w:val="BodyText"/>
      </w:pPr>
      <w:r>
        <w:t xml:space="preserve">I understand that</w:t>
      </w:r>
    </w:p>
    <w:p>
      <w:pPr>
        <w:pStyle w:val="Compact"/>
        <w:numPr>
          <w:ilvl w:val="0"/>
          <w:numId w:val="1050"/>
        </w:numPr>
      </w:pPr>
      <w:r>
        <w:t xml:space="preserve">My participation is voluntary.</w:t>
      </w:r>
    </w:p>
    <w:p>
      <w:pPr>
        <w:pStyle w:val="Compact"/>
        <w:numPr>
          <w:ilvl w:val="0"/>
          <w:numId w:val="1050"/>
        </w:numPr>
      </w:pPr>
      <w:r>
        <w:t xml:space="preserve">I may stop the survey at any time before submission without penalty.</w:t>
      </w:r>
    </w:p>
    <w:p>
      <w:pPr>
        <w:pStyle w:val="Compact"/>
        <w:numPr>
          <w:ilvl w:val="0"/>
          <w:numId w:val="1050"/>
        </w:numPr>
      </w:pPr>
      <w:r>
        <w:t xml:space="preserve">I may request withdrawal of submitted identifiable data within one week of submission.</w:t>
      </w:r>
    </w:p>
    <w:p>
      <w:pPr>
        <w:pStyle w:val="Compact"/>
        <w:numPr>
          <w:ilvl w:val="0"/>
          <w:numId w:val="1050"/>
        </w:numPr>
      </w:pPr>
      <w:r>
        <w:t xml:space="preserve">The study involves a Round-1 Delphi questionnaire and, if eligible and willing, a possible invitation to Round 2.</w:t>
      </w:r>
    </w:p>
    <w:p>
      <w:pPr>
        <w:pStyle w:val="Compact"/>
        <w:numPr>
          <w:ilvl w:val="0"/>
          <w:numId w:val="1050"/>
        </w:numPr>
      </w:pPr>
      <w:r>
        <w:t xml:space="preserve">Round 2 will include anonymized group feedback and a second round of ratings.</w:t>
      </w:r>
    </w:p>
    <w:p>
      <w:pPr>
        <w:pStyle w:val="Compact"/>
        <w:numPr>
          <w:ilvl w:val="0"/>
          <w:numId w:val="1050"/>
        </w:numPr>
      </w:pPr>
      <w:r>
        <w:t xml:space="preserve">My survey responses will be treated confidentially and reported in aggregate form.</w:t>
      </w:r>
    </w:p>
    <w:p>
      <w:pPr>
        <w:pStyle w:val="Compact"/>
        <w:numPr>
          <w:ilvl w:val="0"/>
          <w:numId w:val="1050"/>
        </w:numPr>
      </w:pPr>
      <w:r>
        <w:t xml:space="preserve">My individual responses will not be shared in identifiable form with other participants, supervisors, institutional leaders, or advisory board members.</w:t>
      </w:r>
    </w:p>
    <w:p>
      <w:pPr>
        <w:pStyle w:val="Compact"/>
        <w:numPr>
          <w:ilvl w:val="0"/>
          <w:numId w:val="1050"/>
        </w:numPr>
      </w:pPr>
      <w:r>
        <w:t xml:space="preserve">The research team will retain my contact details separately from survey responses to facilitate study administration and possible Round-2 participation.</w:t>
      </w:r>
    </w:p>
    <w:p>
      <w:pPr>
        <w:pStyle w:val="FirstParagraph"/>
      </w:pPr>
      <w:r>
        <w:t xml:space="preserve">By selecting “I agree” below, I confirm that I voluntarily consent to participate in this study.</w:t>
      </w:r>
    </w:p>
    <w:p>
      <w:pPr>
        <w:pStyle w:val="Compact"/>
        <w:numPr>
          <w:ilvl w:val="0"/>
          <w:numId w:val="1051"/>
        </w:numPr>
      </w:pPr>
      <w:r>
        <w:t xml:space="preserve">I agree and wish to continue to the Round-1 questionnaire.</w:t>
      </w:r>
    </w:p>
    <w:p>
      <w:pPr>
        <w:pStyle w:val="Compact"/>
        <w:numPr>
          <w:ilvl w:val="0"/>
          <w:numId w:val="1051"/>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5">
        <w:r>
          <w:rPr>
            <w:rStyle w:val="Hyperlink"/>
          </w:rPr>
          <w:t xml:space="preserve">ecr@med.asu.edu.eg</w:t>
        </w:r>
      </w:hyperlink>
      <w:r>
        <w:t xml:space="preserve">.</w:t>
      </w:r>
    </w:p>
    <w:bookmarkEnd w:id="47"/>
    <w:bookmarkEnd w:id="48"/>
    <w:bookmarkStart w:id="70" w:name="references"/>
    <w:p>
      <w:pPr>
        <w:pStyle w:val="Heading1"/>
      </w:pPr>
      <w:r>
        <w:t xml:space="preserve">19. References</w:t>
      </w:r>
    </w:p>
    <w:bookmarkStart w:id="69" w:name="refs"/>
    <w:bookmarkStart w:id="50" w:name="ref-chalmers2009"/>
    <w:p>
      <w:pPr>
        <w:pStyle w:val="Bibliography"/>
      </w:pPr>
      <w:r>
        <w:t xml:space="preserve">1. Chalmers I, Glasziou P.</w:t>
      </w:r>
      <w:r>
        <w:t xml:space="preserve"> </w:t>
      </w:r>
      <w:hyperlink r:id="rId49">
        <w:r>
          <w:rPr>
            <w:rStyle w:val="Hyperlink"/>
          </w:rPr>
          <w:t xml:space="preserve">Avoidable waste in the production and reporting of research evidence</w:t>
        </w:r>
      </w:hyperlink>
      <w:r>
        <w:t xml:space="preserve">. The Lancet. 2009;374:86–9.</w:t>
      </w:r>
    </w:p>
    <w:bookmarkEnd w:id="50"/>
    <w:bookmarkStart w:id="52" w:name="ref-glaziou2018"/>
    <w:p>
      <w:pPr>
        <w:pStyle w:val="Bibliography"/>
      </w:pPr>
      <w:r>
        <w:t xml:space="preserve">2. Glasziou P, Chalmers I.</w:t>
      </w:r>
      <w:r>
        <w:t xml:space="preserve"> </w:t>
      </w:r>
      <w:hyperlink r:id="rId51">
        <w:r>
          <w:rPr>
            <w:rStyle w:val="Hyperlink"/>
          </w:rPr>
          <w:t xml:space="preserve">Research waste is still a scandal–an essay by paul glasziou and iain chalmers</w:t>
        </w:r>
      </w:hyperlink>
      <w:r>
        <w:t xml:space="preserve">. BMJ. 2018;363:k4645.</w:t>
      </w:r>
    </w:p>
    <w:bookmarkEnd w:id="52"/>
    <w:bookmarkStart w:id="54" w:name="ref-moher2016"/>
    <w:p>
      <w:pPr>
        <w:pStyle w:val="Bibliography"/>
      </w:pPr>
      <w:r>
        <w:t xml:space="preserve">3. Moher D, Glasziou P, Chalmers I, Nasser M, Bossuyt PMM, Korevaar DA, et al.</w:t>
      </w:r>
      <w:r>
        <w:t xml:space="preserve"> </w:t>
      </w:r>
      <w:hyperlink r:id="rId53">
        <w:r>
          <w:rPr>
            <w:rStyle w:val="Hyperlink"/>
          </w:rPr>
          <w:t xml:space="preserve">Increasing value and reducing waste in biomedical research: Who’s listening?</w:t>
        </w:r>
      </w:hyperlink>
      <w:r>
        <w:t xml:space="preserve"> The Lancet. 2016;387:1573–86.</w:t>
      </w:r>
    </w:p>
    <w:bookmarkEnd w:id="54"/>
    <w:bookmarkStart w:id="56"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5">
        <w:r>
          <w:rPr>
            <w:rStyle w:val="Hyperlink"/>
          </w:rPr>
          <w:t xml:space="preserve">http://dx.doi.org/10.1016/S0140-6736(13)62229-1</w:t>
        </w:r>
      </w:hyperlink>
    </w:p>
    <w:bookmarkEnd w:id="56"/>
    <w:bookmarkStart w:id="58"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7">
        <w:r>
          <w:rPr>
            <w:rStyle w:val="Hyperlink"/>
          </w:rPr>
          <w:t xml:space="preserve">http://dx.doi.org/10.1016/S0140-6736(13)62227-8</w:t>
        </w:r>
      </w:hyperlink>
    </w:p>
    <w:bookmarkEnd w:id="58"/>
    <w:bookmarkStart w:id="60"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9">
        <w:r>
          <w:rPr>
            <w:rStyle w:val="Hyperlink"/>
          </w:rPr>
          <w:t xml:space="preserve">http://dx.doi.org/10.1016/S0140-6736(13)62297-7</w:t>
        </w:r>
      </w:hyperlink>
    </w:p>
    <w:bookmarkEnd w:id="60"/>
    <w:bookmarkStart w:id="62" w:name="ref-jorm2025"/>
    <w:p>
      <w:pPr>
        <w:pStyle w:val="Bibliography"/>
      </w:pPr>
      <w:r>
        <w:t xml:space="preserve">7. Jorm A. Using the delphi method to establish expert consensus [Internet]. Springer Nature Singapore; 2025. Available from:</w:t>
      </w:r>
      <w:r>
        <w:t xml:space="preserve"> </w:t>
      </w:r>
      <w:hyperlink r:id="rId61">
        <w:r>
          <w:rPr>
            <w:rStyle w:val="Hyperlink"/>
          </w:rPr>
          <w:t xml:space="preserve">http://dx.doi.org/10.1007/978-981-96-8357-4</w:t>
        </w:r>
      </w:hyperlink>
    </w:p>
    <w:bookmarkEnd w:id="62"/>
    <w:bookmarkStart w:id="64"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63">
        <w:r>
          <w:rPr>
            <w:rStyle w:val="Hyperlink"/>
          </w:rPr>
          <w:t xml:space="preserve">https://www.R-project.org/</w:t>
        </w:r>
      </w:hyperlink>
    </w:p>
    <w:bookmarkEnd w:id="64"/>
    <w:bookmarkStart w:id="66" w:name="ref-RStudio2026"/>
    <w:p>
      <w:pPr>
        <w:pStyle w:val="Bibliography"/>
      </w:pPr>
      <w:r>
        <w:t xml:space="preserve">9. Posit Software, PBC. RStudio: Integrated development environment for r [Internet]. Boston, MA: Posit Software, PBC; 2026. Available from:</w:t>
      </w:r>
      <w:r>
        <w:t xml:space="preserve"> </w:t>
      </w:r>
      <w:hyperlink r:id="rId65">
        <w:r>
          <w:rPr>
            <w:rStyle w:val="Hyperlink"/>
          </w:rPr>
          <w:t xml:space="preserve">https://posit.co/products/open-source/rstudio/</w:t>
        </w:r>
      </w:hyperlink>
    </w:p>
    <w:bookmarkEnd w:id="66"/>
    <w:bookmarkStart w:id="68" w:name="ref-gattrell2024"/>
    <w:p>
      <w:pPr>
        <w:pStyle w:val="Bibliography"/>
      </w:pPr>
      <w:r>
        <w:t xml:space="preserve">10. Gattrell WT, Logullo P, Zuuren EJ van, Price A, Hughes EL, Blazey P, et al.</w:t>
      </w:r>
      <w:r>
        <w:t xml:space="preserve"> </w:t>
      </w:r>
      <w:hyperlink r:id="rId67">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8"/>
    <w:bookmarkEnd w:id="69"/>
    <w:bookmarkEnd w:id="70"/>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 A Modified Delphi Study Protocol</dc:title>
  <dc:creator>Early-career Researchers Taskforce</dc:creator>
  <dc:subject>Study Protocol</dc:subject>
  <cp:keywords/>
  <dcterms:created xsi:type="dcterms:W3CDTF">2026-10-10T10:45:56Z</dcterms:created>
  <dcterms:modified xsi:type="dcterms:W3CDTF">2026-10-10T10:45:56Z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