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1. Protocol summary</w:t>
      </w:r>
    </w:p>
    <w:p>
      <w:pPr>
        <w:numPr>
          <w:ilvl w:val="0"/>
          <w:numId w:val="1001"/>
        </w:numPr>
      </w:pPr>
      <w:r>
        <w:t xml:space="preserve">Study title: Barriers to Valid Medical Research Among Early-Career Researchers in Egypt, A Modified Delphi Study Protocol</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2. 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and-objectives"/>
    <w:p>
      <w:pPr>
        <w:pStyle w:val="Heading1"/>
      </w:pPr>
      <w:r>
        <w:t xml:space="preserve">3. Research Question and Objectives</w:t>
      </w:r>
    </w:p>
    <w:p>
      <w:pPr>
        <w:pStyle w:val="FirstParagraph"/>
      </w:pPr>
      <w:r>
        <w:rPr>
          <w:b/>
          <w:bCs/>
        </w:rPr>
        <w:t xml:space="preserve">Research Question:</w:t>
      </w:r>
      <w:r>
        <w:t xml:space="preserve"> </w:t>
      </w:r>
      <w:r>
        <w:t xml:space="preserve">Among stakeholders involved in medical research in Egypt, which barriers are perceived as most important in limiting the ability of early-career medical researchers to conduct valid, relevant, and high-value research; which barriers are considered most modifiable; and which interventions are considered sufficiently important and feasible to prioritize?</w:t>
      </w:r>
    </w:p>
    <w:p>
      <w:pPr>
        <w:pStyle w:val="BodyText"/>
      </w:pPr>
      <w:r>
        <w:rPr>
          <w:b/>
          <w:bCs/>
        </w:rPr>
        <w:t xml:space="preserve">Objectives</w:t>
      </w:r>
    </w:p>
    <w:p>
      <w:pPr>
        <w:numPr>
          <w:ilvl w:val="0"/>
          <w:numId w:val="1002"/>
        </w:numPr>
      </w:pPr>
      <w:r>
        <w:rPr>
          <w:b/>
          <w:bCs/>
        </w:rPr>
        <w:t xml:space="preserve">Primary objective:</w:t>
      </w:r>
      <w:r>
        <w:t xml:space="preserve"> </w:t>
      </w:r>
      <w:r>
        <w:t xml:space="preserve">To achieve consensus on the principal barriers perceived to limit early-career medical researchers’ ability to conduct valid, relevant, and high-value research in Egypt.</w:t>
      </w:r>
    </w:p>
    <w:p>
      <w:pPr>
        <w:numPr>
          <w:ilvl w:val="0"/>
          <w:numId w:val="1002"/>
        </w:numPr>
      </w:pPr>
      <w:r>
        <w:rPr>
          <w:b/>
          <w:bCs/>
        </w:rPr>
        <w:t xml:space="preserve">Secondary objectives</w:t>
      </w:r>
    </w:p>
    <w:p>
      <w:pPr>
        <w:pStyle w:val="Compact"/>
        <w:numPr>
          <w:ilvl w:val="1"/>
          <w:numId w:val="1003"/>
        </w:numPr>
      </w:pPr>
      <w:r>
        <w:t xml:space="preserve">To identify barriers that stakeholders consider highly modifiable.</w:t>
      </w:r>
    </w:p>
    <w:p>
      <w:pPr>
        <w:pStyle w:val="Compact"/>
        <w:numPr>
          <w:ilvl w:val="1"/>
          <w:numId w:val="1003"/>
        </w:numPr>
      </w:pPr>
      <w:r>
        <w:t xml:space="preserve">To identify and prioritize interventions that could improve research validity and reduce avoidable research waste.</w:t>
      </w:r>
    </w:p>
    <w:p>
      <w:pPr>
        <w:pStyle w:val="Compact"/>
        <w:numPr>
          <w:ilvl w:val="1"/>
          <w:numId w:val="1003"/>
        </w:numPr>
      </w:pPr>
      <w:r>
        <w:t xml:space="preserve">To assess the perceived feasibility of interventions at individual, supervisory, institutional, and national levels.</w:t>
      </w:r>
    </w:p>
    <w:p>
      <w:pPr>
        <w:pStyle w:val="Compact"/>
        <w:numPr>
          <w:ilvl w:val="1"/>
          <w:numId w:val="1003"/>
        </w:numPr>
      </w:pPr>
      <w:r>
        <w:t xml:space="preserve">To examine areas of agreement and disagreement across predefined stakeholder groups.</w:t>
      </w:r>
    </w:p>
    <w:p>
      <w:pPr>
        <w:pStyle w:val="Compact"/>
        <w:numPr>
          <w:ilvl w:val="1"/>
          <w:numId w:val="1003"/>
        </w:numPr>
      </w:pPr>
      <w:r>
        <w:t xml:space="preserve">To develop a consensus-based priority framework that summarizes important and modifiable barriers, priority interventions, and areas of stakeholder agreement or disagreement.</w:t>
      </w:r>
    </w:p>
    <w:bookmarkEnd w:id="22"/>
    <w:bookmarkStart w:id="23" w:name="conceptual-framework-and-key-definitions"/>
    <w:p>
      <w:pPr>
        <w:pStyle w:val="Heading1"/>
      </w:pPr>
      <w:r>
        <w:t xml:space="preserve">4. Conceptual Framework and Key Definitions</w:t>
      </w:r>
    </w:p>
    <w:p>
      <w:pPr>
        <w:pStyle w:val="FirstParagraph"/>
      </w:pPr>
      <w:r>
        <w:rPr>
          <w:b/>
          <w:bCs/>
        </w:rPr>
        <w:t xml:space="preserve">Conceptual Framework:</w:t>
      </w:r>
    </w:p>
    <w:p>
      <w:pPr>
        <w:pStyle w:val="BodyText"/>
      </w:pPr>
      <w:r>
        <w:t xml:space="preserve">The study will conceptualize barriers across four interacting levels:</w:t>
      </w:r>
    </w:p>
    <w:p>
      <w:pPr>
        <w:pStyle w:val="Compact"/>
        <w:numPr>
          <w:ilvl w:val="0"/>
          <w:numId w:val="1004"/>
        </w:numPr>
      </w:pPr>
      <w:r>
        <w:rPr>
          <w:b/>
          <w:bCs/>
        </w:rPr>
        <w:t xml:space="preserve">Researcher level</w:t>
      </w:r>
    </w:p>
    <w:p>
      <w:pPr>
        <w:pStyle w:val="Compact"/>
        <w:numPr>
          <w:ilvl w:val="1"/>
          <w:numId w:val="1005"/>
        </w:numPr>
      </w:pPr>
      <w:r>
        <w:t xml:space="preserve">Research-methodology knowledge and skills</w:t>
      </w:r>
    </w:p>
    <w:p>
      <w:pPr>
        <w:pStyle w:val="Compact"/>
        <w:numPr>
          <w:ilvl w:val="1"/>
          <w:numId w:val="1005"/>
        </w:numPr>
      </w:pPr>
      <w:r>
        <w:t xml:space="preserve">Statistical literacy and data-analysis skills</w:t>
      </w:r>
    </w:p>
    <w:p>
      <w:pPr>
        <w:pStyle w:val="Compact"/>
        <w:numPr>
          <w:ilvl w:val="1"/>
          <w:numId w:val="1005"/>
        </w:numPr>
      </w:pPr>
      <w:r>
        <w:t xml:space="preserve">Scientific writing and reporting skills</w:t>
      </w:r>
    </w:p>
    <w:p>
      <w:pPr>
        <w:pStyle w:val="Compact"/>
        <w:numPr>
          <w:ilvl w:val="1"/>
          <w:numId w:val="1005"/>
        </w:numPr>
      </w:pPr>
      <w:r>
        <w:t xml:space="preserve">Ability to identify researchable and relevant questions</w:t>
      </w:r>
    </w:p>
    <w:p>
      <w:pPr>
        <w:pStyle w:val="Compact"/>
        <w:numPr>
          <w:ilvl w:val="1"/>
          <w:numId w:val="1005"/>
        </w:numPr>
      </w:pPr>
      <w:r>
        <w:t xml:space="preserve">Time management and competing clinical and/or academic responsibilities</w:t>
      </w:r>
    </w:p>
    <w:p>
      <w:pPr>
        <w:pStyle w:val="Compact"/>
        <w:numPr>
          <w:ilvl w:val="1"/>
          <w:numId w:val="1005"/>
        </w:numPr>
      </w:pPr>
      <w:r>
        <w:t xml:space="preserve">Motivation, confidence, and research self-efficacy</w:t>
      </w:r>
    </w:p>
    <w:p>
      <w:pPr>
        <w:pStyle w:val="Compact"/>
        <w:numPr>
          <w:ilvl w:val="0"/>
          <w:numId w:val="1004"/>
        </w:numPr>
      </w:pPr>
      <w:r>
        <w:rPr>
          <w:b/>
          <w:bCs/>
        </w:rPr>
        <w:t xml:space="preserve">Supervision and mentorship level</w:t>
      </w:r>
    </w:p>
    <w:p>
      <w:pPr>
        <w:pStyle w:val="Compact"/>
        <w:numPr>
          <w:ilvl w:val="1"/>
          <w:numId w:val="1006"/>
        </w:numPr>
      </w:pPr>
      <w:r>
        <w:t xml:space="preserve">Availability of supervisors</w:t>
      </w:r>
    </w:p>
    <w:p>
      <w:pPr>
        <w:pStyle w:val="Compact"/>
        <w:numPr>
          <w:ilvl w:val="1"/>
          <w:numId w:val="1006"/>
        </w:numPr>
      </w:pPr>
      <w:r>
        <w:t xml:space="preserve">Supervisor methodological competence</w:t>
      </w:r>
    </w:p>
    <w:p>
      <w:pPr>
        <w:pStyle w:val="Compact"/>
        <w:numPr>
          <w:ilvl w:val="1"/>
          <w:numId w:val="1006"/>
        </w:numPr>
      </w:pPr>
      <w:r>
        <w:t xml:space="preserve">Accessibility and continuity of supervision</w:t>
      </w:r>
    </w:p>
    <w:p>
      <w:pPr>
        <w:pStyle w:val="Compact"/>
        <w:numPr>
          <w:ilvl w:val="1"/>
          <w:numId w:val="1006"/>
        </w:numPr>
      </w:pPr>
      <w:r>
        <w:t xml:space="preserve">Quality of feedback</w:t>
      </w:r>
    </w:p>
    <w:p>
      <w:pPr>
        <w:pStyle w:val="Compact"/>
        <w:numPr>
          <w:ilvl w:val="1"/>
          <w:numId w:val="1006"/>
        </w:numPr>
      </w:pPr>
      <w:r>
        <w:t xml:space="preserve">Alignment between supervisor expertise and the research question</w:t>
      </w:r>
    </w:p>
    <w:p>
      <w:pPr>
        <w:pStyle w:val="Compact"/>
        <w:numPr>
          <w:ilvl w:val="1"/>
          <w:numId w:val="1006"/>
        </w:numPr>
      </w:pPr>
      <w:r>
        <w:t xml:space="preserve">Authorship and academic-credit practices</w:t>
      </w:r>
    </w:p>
    <w:p>
      <w:pPr>
        <w:pStyle w:val="Compact"/>
        <w:numPr>
          <w:ilvl w:val="1"/>
          <w:numId w:val="1006"/>
        </w:numPr>
      </w:pPr>
      <w:r>
        <w:t xml:space="preserve">Mentorship and research-network access</w:t>
      </w:r>
    </w:p>
    <w:p>
      <w:pPr>
        <w:pStyle w:val="Compact"/>
        <w:numPr>
          <w:ilvl w:val="0"/>
          <w:numId w:val="1004"/>
        </w:numPr>
      </w:pPr>
      <w:r>
        <w:rPr>
          <w:b/>
          <w:bCs/>
        </w:rPr>
        <w:t xml:space="preserve">Institutional/system level</w:t>
      </w:r>
    </w:p>
    <w:p>
      <w:pPr>
        <w:pStyle w:val="Compact"/>
        <w:numPr>
          <w:ilvl w:val="1"/>
          <w:numId w:val="1007"/>
        </w:numPr>
      </w:pPr>
      <w:r>
        <w:t xml:space="preserve">Protected research time</w:t>
      </w:r>
    </w:p>
    <w:p>
      <w:pPr>
        <w:pStyle w:val="Compact"/>
        <w:numPr>
          <w:ilvl w:val="1"/>
          <w:numId w:val="1007"/>
        </w:numPr>
      </w:pPr>
      <w:r>
        <w:t xml:space="preserve">Research infrastructure</w:t>
      </w:r>
    </w:p>
    <w:p>
      <w:pPr>
        <w:pStyle w:val="Compact"/>
        <w:numPr>
          <w:ilvl w:val="1"/>
          <w:numId w:val="1007"/>
        </w:numPr>
      </w:pPr>
      <w:r>
        <w:t xml:space="preserve">Statistical and methodological support</w:t>
      </w:r>
    </w:p>
    <w:p>
      <w:pPr>
        <w:pStyle w:val="Compact"/>
        <w:numPr>
          <w:ilvl w:val="1"/>
          <w:numId w:val="1007"/>
        </w:numPr>
      </w:pPr>
      <w:r>
        <w:t xml:space="preserve">Data access and information systems</w:t>
      </w:r>
    </w:p>
    <w:p>
      <w:pPr>
        <w:pStyle w:val="Compact"/>
        <w:numPr>
          <w:ilvl w:val="1"/>
          <w:numId w:val="1007"/>
        </w:numPr>
      </w:pPr>
      <w:r>
        <w:t xml:space="preserve">Laboratory and technical resources</w:t>
      </w:r>
    </w:p>
    <w:p>
      <w:pPr>
        <w:pStyle w:val="Compact"/>
        <w:numPr>
          <w:ilvl w:val="1"/>
          <w:numId w:val="1007"/>
        </w:numPr>
      </w:pPr>
      <w:r>
        <w:t xml:space="preserve">Ethics and administrative processes</w:t>
      </w:r>
    </w:p>
    <w:p>
      <w:pPr>
        <w:pStyle w:val="Compact"/>
        <w:numPr>
          <w:ilvl w:val="1"/>
          <w:numId w:val="1007"/>
        </w:numPr>
      </w:pPr>
      <w:r>
        <w:t xml:space="preserve">Institutional research support offices</w:t>
      </w:r>
    </w:p>
    <w:p>
      <w:pPr>
        <w:pStyle w:val="Compact"/>
        <w:numPr>
          <w:ilvl w:val="1"/>
          <w:numId w:val="1007"/>
        </w:numPr>
      </w:pPr>
      <w:r>
        <w:t xml:space="preserve">Collaboration and multidisciplinary research structures</w:t>
      </w:r>
    </w:p>
    <w:p>
      <w:pPr>
        <w:pStyle w:val="Compact"/>
        <w:numPr>
          <w:ilvl w:val="1"/>
          <w:numId w:val="1007"/>
        </w:numPr>
      </w:pPr>
      <w:r>
        <w:t xml:space="preserve">Research culture and incentives</w:t>
      </w:r>
    </w:p>
    <w:p>
      <w:pPr>
        <w:pStyle w:val="Compact"/>
        <w:numPr>
          <w:ilvl w:val="0"/>
          <w:numId w:val="1004"/>
        </w:numPr>
      </w:pPr>
      <w:r>
        <w:rPr>
          <w:b/>
          <w:bCs/>
        </w:rPr>
        <w:t xml:space="preserve">National research ecosystem level</w:t>
      </w:r>
    </w:p>
    <w:p>
      <w:pPr>
        <w:pStyle w:val="Compact"/>
        <w:numPr>
          <w:ilvl w:val="1"/>
          <w:numId w:val="1008"/>
        </w:numPr>
      </w:pPr>
      <w:r>
        <w:t xml:space="preserve">Availability and accessibility of research funding</w:t>
      </w:r>
    </w:p>
    <w:p>
      <w:pPr>
        <w:pStyle w:val="Compact"/>
        <w:numPr>
          <w:ilvl w:val="1"/>
          <w:numId w:val="1008"/>
        </w:numPr>
      </w:pPr>
      <w:r>
        <w:t xml:space="preserve">Funding mechanisms and administrative requirements</w:t>
      </w:r>
    </w:p>
    <w:p>
      <w:pPr>
        <w:pStyle w:val="Compact"/>
        <w:numPr>
          <w:ilvl w:val="1"/>
          <w:numId w:val="1008"/>
        </w:numPr>
      </w:pPr>
      <w:r>
        <w:t xml:space="preserve">Research regulation and governance</w:t>
      </w:r>
    </w:p>
    <w:p>
      <w:pPr>
        <w:pStyle w:val="Compact"/>
        <w:numPr>
          <w:ilvl w:val="1"/>
          <w:numId w:val="1008"/>
        </w:numPr>
      </w:pPr>
      <w:r>
        <w:t xml:space="preserve">Career and promotion incentives</w:t>
      </w:r>
    </w:p>
    <w:p>
      <w:pPr>
        <w:pStyle w:val="Compact"/>
        <w:numPr>
          <w:ilvl w:val="1"/>
          <w:numId w:val="1008"/>
        </w:numPr>
      </w:pPr>
      <w:r>
        <w:t xml:space="preserve">National research infrastructure</w:t>
      </w:r>
    </w:p>
    <w:p>
      <w:pPr>
        <w:pStyle w:val="Compact"/>
        <w:numPr>
          <w:ilvl w:val="1"/>
          <w:numId w:val="1008"/>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p>
      <w:pPr>
        <w:pStyle w:val="BodyText"/>
      </w:pPr>
      <w:r>
        <w:rPr>
          <w:b/>
          <w:bCs/>
        </w:rPr>
        <w:t xml:space="preserve">Key Definitions</w:t>
      </w:r>
    </w:p>
    <w:p>
      <w:pPr>
        <w:numPr>
          <w:ilvl w:val="0"/>
          <w:numId w:val="1009"/>
        </w:numPr>
      </w:pPr>
      <w:r>
        <w:t xml:space="preserve">Valid research: Research that uses methods appropriate to its question and design and is conducted, analyzed, and reported sufficiently well to support credible interpretation.</w:t>
      </w:r>
      <w:r>
        <w:t xml:space="preserve"> </w:t>
      </w:r>
      <w:r>
        <w:t xml:space="preserve">[1–6]</w:t>
      </w:r>
    </w:p>
    <w:p>
      <w:pPr>
        <w:numPr>
          <w:ilvl w:val="0"/>
          <w:numId w:val="1009"/>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r>
        <w:t xml:space="preserve"> </w:t>
      </w:r>
      <w:r>
        <w:t xml:space="preserve">[1–6]</w:t>
      </w:r>
    </w:p>
    <w:p>
      <w:pPr>
        <w:numPr>
          <w:ilvl w:val="0"/>
          <w:numId w:val="1009"/>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9"/>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3"/>
    <w:bookmarkStart w:id="24" w:name="study-design-and-setting"/>
    <w:p>
      <w:pPr>
        <w:pStyle w:val="Heading1"/>
      </w:pPr>
      <w:r>
        <w:t xml:space="preserve">5. Study Design and Setting</w:t>
      </w:r>
    </w:p>
    <w:p>
      <w:pPr>
        <w:pStyle w:val="FirstParagraph"/>
      </w:pPr>
      <w:r>
        <w:rPr>
          <w:b/>
          <w:bCs/>
        </w:rPr>
        <w:t xml:space="preserve">Design</w:t>
      </w:r>
      <w:r>
        <w:t xml:space="preserve">:</w:t>
      </w:r>
    </w:p>
    <w:p>
      <w:pPr>
        <w:pStyle w:val="BodyText"/>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development of the consensus-based priority framework.</w:t>
      </w:r>
    </w:p>
    <w:p>
      <w:pPr>
        <w:pStyle w:val="FirstParagraph"/>
      </w:pPr>
      <w:r>
        <w:t xml:space="preserve">No individual participant will be shown another participant’s identity or individual responses.</w:t>
      </w:r>
    </w:p>
    <w:p>
      <w:pPr>
        <w:pStyle w:val="BodyText"/>
      </w:pPr>
      <w:r>
        <w:rPr>
          <w:b/>
          <w:bCs/>
        </w:rPr>
        <w:t xml:space="preserve">Setting</w:t>
      </w:r>
    </w:p>
    <w:p>
      <w:pPr>
        <w:pStyle w:val="BodyText"/>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4"/>
    <w:bookmarkStart w:id="25" w:name="participants-eligibility-and-sampling"/>
    <w:p>
      <w:pPr>
        <w:pStyle w:val="Heading1"/>
      </w:pPr>
      <w:r>
        <w:t xml:space="preserve">6. Participants, Eligibility, and Sampling</w:t>
      </w:r>
    </w:p>
    <w:p>
      <w:pPr>
        <w:pStyle w:val="FirstParagraph"/>
      </w:pPr>
      <w:r>
        <w:rPr>
          <w:b/>
          <w:bCs/>
        </w:rPr>
        <w:t xml:space="preserve">Inclusion criteria</w:t>
      </w:r>
    </w:p>
    <w:p>
      <w:pPr>
        <w:pStyle w:val="BodyText"/>
      </w:pPr>
      <w:r>
        <w:t xml:space="preserve">Participants must meet at least one of the following criteria:</w:t>
      </w:r>
    </w:p>
    <w:p>
      <w:pPr>
        <w:numPr>
          <w:ilvl w:val="0"/>
          <w:numId w:val="1011"/>
        </w:numPr>
      </w:pPr>
      <w:r>
        <w:t xml:space="preserve">Early-career researchers: be a medical student, house officer, resident, teaching assistant, assistant lecturer, or equivalent early-career medical researcher in Egypt; and have participated in, planned, conducted, analyzed, or written at least one research project.</w:t>
      </w:r>
    </w:p>
    <w:p>
      <w:pPr>
        <w:numPr>
          <w:ilvl w:val="0"/>
          <w:numId w:val="1011"/>
        </w:numPr>
      </w:pPr>
      <w:r>
        <w:t xml:space="preserve">Research supervisors: be a lecturer, associate professor, professor, or equivalent researcher who has supervised medical research involving early-career researchers; and have current or recent experience in research supervision.</w:t>
      </w:r>
    </w:p>
    <w:p>
      <w:pPr>
        <w:numPr>
          <w:ilvl w:val="0"/>
          <w:numId w:val="1011"/>
        </w:numPr>
      </w:pPr>
      <w:r>
        <w:t xml:space="preserve">Research methodologists/biostatisticians: have formal or substantial professional experience in epidemiology, biostatistics, research methodology, evidence synthesis, qualitative research, or related methodological disciplines; and have experience supporting or conducting health research.</w:t>
      </w:r>
    </w:p>
    <w:p>
      <w:pPr>
        <w:numPr>
          <w:ilvl w:val="0"/>
          <w:numId w:val="1011"/>
        </w:numPr>
      </w:pPr>
      <w:r>
        <w:t xml:space="preserve">Ethics/research governance participants: be a member or former member of a research ethics committee, research governance body, or comparable institutional structure.</w:t>
      </w:r>
    </w:p>
    <w:p>
      <w:pPr>
        <w:pStyle w:val="FirstParagraph"/>
      </w:pPr>
      <w:r>
        <w:t xml:space="preserve">Where a participant meets criteria for more than one group, participants are asked to choose their own group for the purpose of panel characterization and subgroup analysis.</w:t>
      </w:r>
    </w:p>
    <w:p>
      <w:pPr>
        <w:pStyle w:val="BodyText"/>
      </w:pPr>
      <w:r>
        <w:rPr>
          <w:b/>
          <w:bCs/>
        </w:rPr>
        <w:t xml:space="preserve">Exclusion criteria</w:t>
      </w:r>
    </w:p>
    <w:p>
      <w:pPr>
        <w:pStyle w:val="BodyText"/>
      </w:pPr>
      <w:r>
        <w:t xml:space="preserve">Participants will be excluded if they:</w:t>
      </w:r>
    </w:p>
    <w:p>
      <w:pPr>
        <w:pStyle w:val="Compact"/>
        <w:numPr>
          <w:ilvl w:val="0"/>
          <w:numId w:val="1012"/>
        </w:numPr>
      </w:pPr>
      <w:r>
        <w:t xml:space="preserve">cannot provide informed consent; or</w:t>
      </w:r>
    </w:p>
    <w:p>
      <w:pPr>
        <w:pStyle w:val="Compact"/>
        <w:numPr>
          <w:ilvl w:val="0"/>
          <w:numId w:val="1012"/>
        </w:numPr>
      </w:pPr>
      <w:r>
        <w:t xml:space="preserve">have insufficient familiarity with medical research in Egypt to complete the Delphi questionnaire meaningfully.</w:t>
      </w:r>
    </w:p>
    <w:p>
      <w:pPr>
        <w:pStyle w:val="FirstParagraph"/>
      </w:pPr>
      <w:r>
        <w:rPr>
          <w:b/>
          <w:bCs/>
        </w:rPr>
        <w:t xml:space="preserve">Panel Composition and Sampling</w:t>
      </w:r>
    </w:p>
    <w:p>
      <w:pPr>
        <w:pStyle w:val="BodyText"/>
      </w:pPr>
      <w:r>
        <w:t xml:space="preserve">A purposive maximum-variation sampling strategy will be used.</w:t>
      </w:r>
    </w:p>
    <w:p>
      <w:pPr>
        <w:pStyle w:val="BodyText"/>
      </w:pPr>
      <w:r>
        <w:t xml:space="preserve">Stakeholders are grouped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and institutional/governance stakeholders provide perspectives on ethics and regulatory processes.</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70 invited participants, with at least 50 completing Round 1 and 40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p>
      <w:pPr>
        <w:pStyle w:val="BodyText"/>
      </w:pPr>
      <w:r>
        <w:rPr>
          <w:b/>
          <w:bCs/>
        </w:rPr>
        <w:t xml:space="preserve">Recruitment procedures</w:t>
      </w:r>
    </w:p>
    <w:p>
      <w:pPr>
        <w:pStyle w:val="BodyText"/>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p>
      <w:pPr>
        <w:pStyle w:val="BodyText"/>
      </w:pPr>
      <w:r>
        <w:t xml:space="preserve">The advisory board, PI, co-investigators and coordinators are excluded from the panel.</w:t>
      </w:r>
    </w:p>
    <w:bookmarkEnd w:id="25"/>
    <w:bookmarkStart w:id="26" w:name="item-generation"/>
    <w:p>
      <w:pPr>
        <w:pStyle w:val="Heading1"/>
      </w:pPr>
      <w:r>
        <w:t xml:space="preserve">7. Item Generation</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p>
      <w:pPr>
        <w:pStyle w:val="BodyText"/>
      </w:pPr>
      <w:r>
        <w:t xml:space="preserve">Evidence-review findings will be converted into concise, single-concept statements.</w:t>
      </w:r>
    </w:p>
    <w:p>
      <w:pPr>
        <w:pStyle w:val="BodyText"/>
      </w:pPr>
      <w:r>
        <w:t xml:space="preserve">Where possible, each item will:</w:t>
      </w:r>
    </w:p>
    <w:p>
      <w:pPr>
        <w:pStyle w:val="Compact"/>
        <w:numPr>
          <w:ilvl w:val="0"/>
          <w:numId w:val="1013"/>
        </w:numPr>
      </w:pPr>
      <w:r>
        <w:t xml:space="preserve">describe one barrier or intervention;</w:t>
      </w:r>
    </w:p>
    <w:p>
      <w:pPr>
        <w:pStyle w:val="Compact"/>
        <w:numPr>
          <w:ilvl w:val="0"/>
          <w:numId w:val="1013"/>
        </w:numPr>
      </w:pPr>
      <w:r>
        <w:t xml:space="preserve">use neutral, non-accusatory wording;</w:t>
      </w:r>
    </w:p>
    <w:p>
      <w:pPr>
        <w:pStyle w:val="Compact"/>
        <w:numPr>
          <w:ilvl w:val="0"/>
          <w:numId w:val="1013"/>
        </w:numPr>
      </w:pPr>
      <w:r>
        <w:t xml:space="preserve">avoid double-barrelled concepts;</w:t>
      </w:r>
    </w:p>
    <w:p>
      <w:pPr>
        <w:pStyle w:val="Compact"/>
        <w:numPr>
          <w:ilvl w:val="0"/>
          <w:numId w:val="1013"/>
        </w:numPr>
      </w:pPr>
      <w:r>
        <w:t xml:space="preserve">be understandable to participants from different professional backgrounds; and</w:t>
      </w:r>
    </w:p>
    <w:p>
      <w:pPr>
        <w:pStyle w:val="Compact"/>
        <w:numPr>
          <w:ilvl w:val="0"/>
          <w:numId w:val="1013"/>
        </w:numPr>
      </w:pPr>
      <w:r>
        <w:t xml:space="preserve">identify the level or research-stage at which the barrier operates.</w:t>
      </w:r>
    </w:p>
    <w:p>
      <w:pPr>
        <w:pStyle w:val="FirstParagraph"/>
      </w:pPr>
      <w:r>
        <w:t xml:space="preserve">The advisory board will review the initial item pool for conceptual overlap, redundancy, ambiguity, and comprehensiveness. A record of major item additions, deletions, mergers, and wording changes will be maintained.</w:t>
      </w:r>
    </w:p>
    <w:bookmarkEnd w:id="26"/>
    <w:bookmarkStart w:id="31" w:name="delphi-questionnaire-and-procedures"/>
    <w:p>
      <w:pPr>
        <w:pStyle w:val="Heading1"/>
      </w:pPr>
      <w:r>
        <w:t xml:space="preserve">8. Delphi Questionnaire and Procedures</w:t>
      </w:r>
    </w:p>
    <w:p>
      <w:pPr>
        <w:pStyle w:val="FirstParagraph"/>
      </w:pPr>
      <w:r>
        <w:rPr>
          <w:b/>
          <w:bCs/>
        </w:rPr>
        <w:t xml:space="preserve">Questionnaire administration and participant burden</w:t>
      </w:r>
    </w:p>
    <w:p>
      <w:pPr>
        <w:pStyle w:val="BodyText"/>
      </w:pPr>
      <w:r>
        <w:t xml:space="preserve">The survey will be administered using the University’s online survey platform. Data will be stored on secure password-protected system accessible only to authorized study personnel. Completion of the Round-1 questionnaire is expected to require approximately 20 minutes and Round-2 approximately 20 minutes. These estimates will be test-run and confirmed before recruitment. Participants will be informed of the expected time commitment in the invitation and information sheet.</w:t>
      </w:r>
    </w:p>
    <w:p>
      <w:pPr>
        <w:pStyle w:val="BodyText"/>
      </w:pPr>
      <w:r>
        <w:rPr>
          <w:b/>
          <w:bCs/>
        </w:rPr>
        <w:t xml:space="preserve">Barrier ratings</w:t>
      </w:r>
    </w:p>
    <w:p>
      <w:pPr>
        <w:pStyle w:val="BodyText"/>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bookmarkStart w:id="27" w:name="delphi-round-1"/>
    <w:p>
      <w:pPr>
        <w:pStyle w:val="Heading2"/>
      </w:pPr>
      <w:r>
        <w:t xml:space="preserve">8.1 Delphi Round 1</w:t>
      </w:r>
    </w:p>
    <w:p>
      <w:pPr>
        <w:pStyle w:val="FirstParagraph"/>
      </w:pPr>
      <w:r>
        <w:t xml:space="preserve">Participants will receive:</w:t>
      </w:r>
    </w:p>
    <w:p>
      <w:pPr>
        <w:pStyle w:val="Compact"/>
        <w:numPr>
          <w:ilvl w:val="0"/>
          <w:numId w:val="1014"/>
        </w:numPr>
      </w:pPr>
      <w:r>
        <w:t xml:space="preserve">an information sheet and electronic consent form;</w:t>
      </w:r>
    </w:p>
    <w:p>
      <w:pPr>
        <w:pStyle w:val="Compact"/>
        <w:numPr>
          <w:ilvl w:val="0"/>
          <w:numId w:val="1014"/>
        </w:numPr>
      </w:pPr>
      <w:r>
        <w:t xml:space="preserve">brief instructions explaining the Delphi process;</w:t>
      </w:r>
    </w:p>
    <w:p>
      <w:pPr>
        <w:pStyle w:val="Compact"/>
        <w:numPr>
          <w:ilvl w:val="0"/>
          <w:numId w:val="1014"/>
        </w:numPr>
      </w:pPr>
      <w:r>
        <w:t xml:space="preserve">candidate barrier items;</w:t>
      </w:r>
    </w:p>
    <w:p>
      <w:pPr>
        <w:pStyle w:val="Compact"/>
        <w:numPr>
          <w:ilvl w:val="0"/>
          <w:numId w:val="1014"/>
        </w:numPr>
      </w:pPr>
      <w:r>
        <w:t xml:space="preserve">candidate intervention items;</w:t>
      </w:r>
    </w:p>
    <w:p>
      <w:pPr>
        <w:pStyle w:val="Compact"/>
        <w:numPr>
          <w:ilvl w:val="0"/>
          <w:numId w:val="1014"/>
        </w:numPr>
      </w:pPr>
      <w:r>
        <w:t xml:space="preserve">importance and modifiability rating scales for barriers;</w:t>
      </w:r>
    </w:p>
    <w:p>
      <w:pPr>
        <w:pStyle w:val="Compact"/>
        <w:numPr>
          <w:ilvl w:val="0"/>
          <w:numId w:val="1014"/>
        </w:numPr>
      </w:pPr>
      <w:r>
        <w:t xml:space="preserve">importance/potential-impact and feasibility rating scales for interventions;</w:t>
      </w:r>
    </w:p>
    <w:p>
      <w:pPr>
        <w:pStyle w:val="Compact"/>
        <w:numPr>
          <w:ilvl w:val="0"/>
          <w:numId w:val="1014"/>
        </w:numPr>
      </w:pPr>
      <w:r>
        <w:t xml:space="preserve">a question on the primary implementation level for each intervention; and</w:t>
      </w:r>
    </w:p>
    <w:p>
      <w:pPr>
        <w:pStyle w:val="Compact"/>
        <w:numPr>
          <w:ilvl w:val="0"/>
          <w:numId w:val="1014"/>
        </w:numPr>
      </w:pPr>
      <w:r>
        <w:t xml:space="preserve">basic professional and background questions required for panel characterization.</w:t>
      </w:r>
    </w:p>
    <w:p>
      <w:pPr>
        <w:pStyle w:val="FirstParagraph"/>
      </w:pPr>
      <w:r>
        <w:t xml:space="preserve">Participants will be asked to rate each barrier according to:</w:t>
      </w:r>
    </w:p>
    <w:p>
      <w:pPr>
        <w:pStyle w:val="Compact"/>
        <w:numPr>
          <w:ilvl w:val="0"/>
          <w:numId w:val="1015"/>
        </w:numPr>
      </w:pPr>
      <w:r>
        <w:rPr>
          <w:b/>
          <w:bCs/>
        </w:rPr>
        <w:t xml:space="preserve">Importance:</w:t>
      </w:r>
      <w:r>
        <w:t xml:space="preserve"> </w:t>
      </w:r>
      <w:r>
        <w:t xml:space="preserve">the extent to which the barrier limits valid, relevant, and high-value medical research among early-career researchers in Egypt; and</w:t>
      </w:r>
    </w:p>
    <w:p>
      <w:pPr>
        <w:pStyle w:val="Compact"/>
        <w:numPr>
          <w:ilvl w:val="0"/>
          <w:numId w:val="1015"/>
        </w:numPr>
      </w:pPr>
      <w:r>
        <w:rPr>
          <w:b/>
          <w:bCs/>
        </w:rPr>
        <w:t xml:space="preserve">Modifiability:</w:t>
      </w:r>
      <w:r>
        <w:t xml:space="preserve"> </w:t>
      </w:r>
      <w:r>
        <w:t xml:space="preserve">the extent to which the barrier could realistically be changed or improved through action at the individual, supervisory, institutional, university, health-system, or national level.</w:t>
      </w:r>
    </w:p>
    <w:p>
      <w:pPr>
        <w:pStyle w:val="FirstParagraph"/>
      </w:pPr>
      <w:r>
        <w:t xml:space="preserve">Participants will also be asked to rate each candidate intervention according to:</w:t>
      </w:r>
    </w:p>
    <w:p>
      <w:pPr>
        <w:pStyle w:val="Compact"/>
        <w:numPr>
          <w:ilvl w:val="0"/>
          <w:numId w:val="1016"/>
        </w:numPr>
      </w:pPr>
      <w:r>
        <w:rPr>
          <w:b/>
          <w:bCs/>
        </w:rPr>
        <w:t xml:space="preserve">Importance/potential impact:</w:t>
      </w:r>
      <w:r>
        <w:t xml:space="preserve"> </w:t>
      </w:r>
      <w:r>
        <w:t xml:space="preserve">the extent to which the intervention, if appropriately implemented, could meaningfully address important barriers and improve valid, relevant, and high-value research; and</w:t>
      </w:r>
    </w:p>
    <w:p>
      <w:pPr>
        <w:pStyle w:val="Compact"/>
        <w:numPr>
          <w:ilvl w:val="0"/>
          <w:numId w:val="1016"/>
        </w:numPr>
      </w:pPr>
      <w:r>
        <w:rPr>
          <w:b/>
          <w:bCs/>
        </w:rPr>
        <w:t xml:space="preserve">Feasibility in the Egyptian context:</w:t>
      </w:r>
      <w:r>
        <w:t xml:space="preserve"> </w:t>
      </w:r>
      <w:r>
        <w:t xml:space="preserve">the extent to which the intervention could realistically be implemented within a realistic timeframe and with realistic resources.</w:t>
      </w:r>
    </w:p>
    <w:p>
      <w:pPr>
        <w:pStyle w:val="FirstParagraph"/>
      </w:pPr>
      <w:r>
        <w:t xml:space="preserve">For each intervention, participants will also select the</w:t>
      </w:r>
      <w:r>
        <w:t xml:space="preserve"> </w:t>
      </w:r>
      <w:r>
        <w:rPr>
          <w:b/>
          <w:bCs/>
        </w:rPr>
        <w:t xml:space="preserve">primary implementation level</w:t>
      </w:r>
      <w:r>
        <w:t xml:space="preserve">: individual researcher, supervisor or mentor, department or institution, university or teaching hospital, national system, multiple levels equally required, or “cannot judge.”</w:t>
      </w:r>
    </w:p>
    <w:p>
      <w:pPr>
        <w:pStyle w:val="BodyText"/>
      </w:pPr>
      <w:r>
        <w:t xml:space="preserve">Participants will be encouraged to consider the Egyptian research system as a whole rather than assigning responsibility for barriers to individual researchers, departments, or institutions.</w:t>
      </w:r>
    </w:p>
    <w:p>
      <w:pPr>
        <w:pStyle w:val="BodyText"/>
      </w:pPr>
      <w:r>
        <w:t xml:space="preserve">Participants may select “Cannot judge / insufficient experience” for any barrier or intervention item for which they do not feel sufficiently informed to provide a rating.</w:t>
      </w:r>
    </w:p>
    <w:p>
      <w:pPr>
        <w:pStyle w:val="BodyText"/>
      </w:pPr>
      <w:r>
        <w:t xml:space="preserve">Round 1 will remain open for approximately 2–3 weeks, with one or two reminders.</w:t>
      </w:r>
    </w:p>
    <w:bookmarkEnd w:id="27"/>
    <w:bookmarkStart w:id="28" w:name="round-1-item-handling"/>
    <w:p>
      <w:pPr>
        <w:pStyle w:val="Heading2"/>
      </w:pPr>
      <w:r>
        <w:t xml:space="preserve">8.2 Round-1 Item Handling</w:t>
      </w:r>
    </w:p>
    <w:p>
      <w:pPr>
        <w:pStyle w:val="FirstParagraph"/>
      </w:pPr>
      <w:r>
        <w:t xml:space="preserve">Separate item-handling procedures will be applied to barrier items and intervention items before Round 2.</w:t>
      </w:r>
    </w:p>
    <w:p>
      <w:pPr>
        <w:pStyle w:val="BodyText"/>
      </w:pPr>
      <w:r>
        <w:rPr>
          <w:b/>
          <w:bCs/>
        </w:rPr>
        <w:t xml:space="preserve">Barrier items</w:t>
      </w:r>
    </w:p>
    <w:p>
      <w:pPr>
        <w:pStyle w:val="BodyText"/>
      </w:pPr>
      <w:r>
        <w:t xml:space="preserve">The following rules will be applied:</w:t>
      </w:r>
    </w:p>
    <w:p>
      <w:pPr>
        <w:pStyle w:val="Compact"/>
        <w:numPr>
          <w:ilvl w:val="0"/>
          <w:numId w:val="1017"/>
        </w:numPr>
      </w:pPr>
      <w:r>
        <w:rPr>
          <w:b/>
          <w:bCs/>
        </w:rPr>
        <w:t xml:space="preserve">Retain:</w:t>
      </w:r>
      <w:r>
        <w:t xml:space="preserve"> </w:t>
      </w:r>
      <w:r>
        <w:t xml:space="preserve">Barrier items meeting the predefined importance-consensus criterion will be retained for Round 2.</w:t>
      </w:r>
    </w:p>
    <w:p>
      <w:pPr>
        <w:pStyle w:val="Compact"/>
        <w:numPr>
          <w:ilvl w:val="0"/>
          <w:numId w:val="1017"/>
        </w:numPr>
      </w:pPr>
      <w:r>
        <w:rPr>
          <w:b/>
          <w:bCs/>
        </w:rPr>
        <w:t xml:space="preserve">Revise:</w:t>
      </w:r>
      <w:r>
        <w:t xml:space="preserve"> </w:t>
      </w:r>
      <w:r>
        <w:t xml:space="preserve">Barrier items that do not reach consensus but are potentially important, ambiguous, or substantially improved following panel comments may be revised and presented in Round 2. Material wording changes will be documented.</w:t>
      </w:r>
    </w:p>
    <w:p>
      <w:pPr>
        <w:pStyle w:val="Compact"/>
        <w:numPr>
          <w:ilvl w:val="0"/>
          <w:numId w:val="1017"/>
        </w:numPr>
      </w:pPr>
      <w:r>
        <w:rPr>
          <w:b/>
          <w:bCs/>
        </w:rPr>
        <w:t xml:space="preserve">Remove:</w:t>
      </w:r>
      <w:r>
        <w:t xml:space="preserve"> </w:t>
      </w:r>
      <w:r>
        <w:t xml:space="preserve">Barrier items may be removed if they are clearly redundant, outside the study scope, poorly understood, or judged by the advisory board to represent a different construct. Removal decisions will be documented and will not be based solely on an unfavorable rating.</w:t>
      </w:r>
    </w:p>
    <w:p>
      <w:pPr>
        <w:pStyle w:val="FirstParagraph"/>
      </w:pPr>
      <w:r>
        <w:rPr>
          <w:b/>
          <w:bCs/>
        </w:rPr>
        <w:t xml:space="preserve">Intervention items</w:t>
      </w:r>
    </w:p>
    <w:p>
      <w:pPr>
        <w:pStyle w:val="BodyText"/>
      </w:pPr>
      <w:r>
        <w:t xml:space="preserve">The following rules will be applied:</w:t>
      </w:r>
    </w:p>
    <w:p>
      <w:pPr>
        <w:pStyle w:val="Compact"/>
        <w:numPr>
          <w:ilvl w:val="0"/>
          <w:numId w:val="1018"/>
        </w:numPr>
      </w:pPr>
      <w:r>
        <w:rPr>
          <w:b/>
          <w:bCs/>
        </w:rPr>
        <w:t xml:space="preserve">Retain:</w:t>
      </w:r>
      <w:r>
        <w:t xml:space="preserve"> </w:t>
      </w:r>
      <w:r>
        <w:t xml:space="preserve">Intervention items meeting the predefined criteria for importance/potential impact and feasibility will be retained for Round 2.</w:t>
      </w:r>
    </w:p>
    <w:p>
      <w:pPr>
        <w:pStyle w:val="Compact"/>
        <w:numPr>
          <w:ilvl w:val="0"/>
          <w:numId w:val="1018"/>
        </w:numPr>
      </w:pPr>
      <w:r>
        <w:rPr>
          <w:b/>
          <w:bCs/>
        </w:rPr>
        <w:t xml:space="preserve">Revise:</w:t>
      </w:r>
      <w:r>
        <w:t xml:space="preserve"> </w:t>
      </w:r>
      <w:r>
        <w:t xml:space="preserve">Intervention items that are potentially important but unclear, overly broad, insufficiently feasible as worded, or substantially improved by panel comments may be revised and presented in Round 2. Material wording changes will be documented.</w:t>
      </w:r>
    </w:p>
    <w:p>
      <w:pPr>
        <w:pStyle w:val="Compact"/>
        <w:numPr>
          <w:ilvl w:val="0"/>
          <w:numId w:val="1018"/>
        </w:numPr>
      </w:pPr>
      <w:r>
        <w:rPr>
          <w:b/>
          <w:bCs/>
        </w:rPr>
        <w:t xml:space="preserve">Remove:</w:t>
      </w:r>
      <w:r>
        <w:t xml:space="preserve"> </w:t>
      </w:r>
      <w:r>
        <w:t xml:space="preserve">Intervention items may be removed if they are redundant with another item, outside the study scope, poorly understood, not applicable to the Egyptian context, or judged by the advisory board to represent a different construct. Removal decisions will be documented and will not be based solely on an unfavorable feasibility rating.</w:t>
      </w:r>
    </w:p>
    <w:p>
      <w:pPr>
        <w:pStyle w:val="Compact"/>
        <w:numPr>
          <w:ilvl w:val="0"/>
          <w:numId w:val="1018"/>
        </w:numPr>
      </w:pPr>
      <w:r>
        <w:rPr>
          <w:b/>
          <w:bCs/>
        </w:rPr>
        <w:t xml:space="preserve">New items:</w:t>
      </w:r>
      <w:r>
        <w:t xml:space="preserve"> </w:t>
      </w:r>
      <w:r>
        <w:t xml:space="preserve">Additional barriers or interventions suggested in Round-1 free-text responses may be considered for inclusion in Round 2 only if they are within the prespecified conceptual framework, are not redundant, are clearly worded, and are approved by the advisory board before the Round-2 questionnaire is distributed.</w:t>
      </w:r>
    </w:p>
    <w:p>
      <w:pPr>
        <w:pStyle w:val="FirstParagraph"/>
      </w:pPr>
      <w:r>
        <w:t xml:space="preserve">The advisory board will not create or remove items after seeing Round-2 results.</w:t>
      </w:r>
    </w:p>
    <w:bookmarkEnd w:id="28"/>
    <w:bookmarkStart w:id="29" w:name="delphi-round-2"/>
    <w:p>
      <w:pPr>
        <w:pStyle w:val="Heading2"/>
      </w:pPr>
      <w:r>
        <w:t xml:space="preserve">8.3 Delphi Round 2</w:t>
      </w:r>
    </w:p>
    <w:p>
      <w:pPr>
        <w:pStyle w:val="FirstParagraph"/>
      </w:pPr>
      <w:r>
        <w:t xml:space="preserve">Round 2 will include retained and revised barrier and intervention items.</w:t>
      </w:r>
    </w:p>
    <w:p>
      <w:pPr>
        <w:pStyle w:val="BodyText"/>
      </w:pPr>
      <w:r>
        <w:t xml:space="preserve">Participants will receive anonymized group-level feedback from Round 1 for each retained or revised item, including:</w:t>
      </w:r>
    </w:p>
    <w:p>
      <w:pPr>
        <w:pStyle w:val="Compact"/>
        <w:numPr>
          <w:ilvl w:val="0"/>
          <w:numId w:val="1019"/>
        </w:numPr>
      </w:pPr>
      <w:r>
        <w:t xml:space="preserve">the number of valid responses;</w:t>
      </w:r>
    </w:p>
    <w:p>
      <w:pPr>
        <w:pStyle w:val="Compact"/>
        <w:numPr>
          <w:ilvl w:val="0"/>
          <w:numId w:val="1019"/>
        </w:numPr>
      </w:pPr>
      <w:r>
        <w:t xml:space="preserve">the median rating;</w:t>
      </w:r>
    </w:p>
    <w:p>
      <w:pPr>
        <w:pStyle w:val="Compact"/>
        <w:numPr>
          <w:ilvl w:val="0"/>
          <w:numId w:val="1019"/>
        </w:numPr>
      </w:pPr>
      <w:r>
        <w:t xml:space="preserve">the interquartile range; and</w:t>
      </w:r>
    </w:p>
    <w:p>
      <w:pPr>
        <w:pStyle w:val="Compact"/>
        <w:numPr>
          <w:ilvl w:val="0"/>
          <w:numId w:val="1019"/>
        </w:numPr>
      </w:pPr>
      <w:r>
        <w:t xml:space="preserve">the percentage of ratings in the predefined high-rating range.</w:t>
      </w:r>
    </w:p>
    <w:p>
      <w:pPr>
        <w:pStyle w:val="FirstParagraph"/>
      </w:pPr>
      <w:r>
        <w:t xml:space="preserve">For barriers, feedback will be presented separately for importance and modifiability.</w:t>
      </w:r>
    </w:p>
    <w:p>
      <w:pPr>
        <w:pStyle w:val="BodyText"/>
      </w:pPr>
      <w:r>
        <w:t xml:space="preserve">For interventions, feedback will be presented separately for importance/potential impact and feasibility.</w:t>
      </w:r>
    </w:p>
    <w:p>
      <w:pPr>
        <w:pStyle w:val="BodyText"/>
      </w:pPr>
      <w:r>
        <w:t xml:space="preserve">Individual participant responses will not be identified. Where technically appropriate and secure, participants may be shown their own previous Round-1 ratings to assist reconsideration; these responses will not be visible to other participants.</w:t>
      </w:r>
    </w:p>
    <w:p>
      <w:pPr>
        <w:pStyle w:val="BodyText"/>
      </w:pPr>
      <w:r>
        <w:t xml:space="preserve">Participants will be asked to re-rate:</w:t>
      </w:r>
    </w:p>
    <w:p>
      <w:pPr>
        <w:pStyle w:val="Compact"/>
        <w:numPr>
          <w:ilvl w:val="0"/>
          <w:numId w:val="1020"/>
        </w:numPr>
      </w:pPr>
      <w:r>
        <w:t xml:space="preserve">the importance and modifiability of retained or revised barriers; and</w:t>
      </w:r>
    </w:p>
    <w:p>
      <w:pPr>
        <w:pStyle w:val="Compact"/>
        <w:numPr>
          <w:ilvl w:val="0"/>
          <w:numId w:val="1020"/>
        </w:numPr>
      </w:pPr>
      <w:r>
        <w:t xml:space="preserve">the importance/potential impact and feasibility of retained or revised interventions.</w:t>
      </w:r>
    </w:p>
    <w:p>
      <w:pPr>
        <w:pStyle w:val="FirstParagraph"/>
      </w:pPr>
      <w:r>
        <w:t xml:space="preserve">For revised intervention items, participants will also be asked to reselect the primary implementation level.</w:t>
      </w:r>
    </w:p>
    <w:p>
      <w:pPr>
        <w:pStyle w:val="BodyText"/>
      </w:pPr>
      <w:r>
        <w:t xml:space="preserve">Round 2 will also ask participants to identify up to three interventions that should be prioritized first because they are both important and feasible in the Egyptian context. Participants may provide a brief optional explanation without naming individuals, departments, institutions, hospitals, or organizations.</w:t>
      </w:r>
    </w:p>
    <w:p>
      <w:pPr>
        <w:pStyle w:val="BodyText"/>
      </w:pPr>
      <w:r>
        <w:t xml:space="preserve">The Round-2 questionnaire will remain open for approximately 2–3 weeks, with one or two reminders.</w:t>
      </w:r>
    </w:p>
    <w:bookmarkEnd w:id="29"/>
    <w:bookmarkStart w:id="30" w:name="consensus-and-prioritization-criteria"/>
    <w:p>
      <w:pPr>
        <w:pStyle w:val="Heading2"/>
      </w:pPr>
      <w:r>
        <w:t xml:space="preserve">8.4 Consensus and prioritization criteria</w:t>
      </w:r>
    </w:p>
    <w:p>
      <w:pPr>
        <w:pStyle w:val="FirstParagraph"/>
      </w:pPr>
      <w:r>
        <w:rPr>
          <w:b/>
          <w:bCs/>
        </w:rPr>
        <w:t xml:space="preserve">Consensus criteria</w:t>
      </w:r>
    </w:p>
    <w:p>
      <w:pPr>
        <w:pStyle w:val="BodyText"/>
      </w:pPr>
      <w:r>
        <w:t xml:space="preserve">Consensus criteria are specified before Round-1 data analysis and will not be changed in response to the observed results.</w:t>
      </w:r>
    </w:p>
    <w:p>
      <w:pPr>
        <w:pStyle w:val="BodyText"/>
      </w:pPr>
      <w:r>
        <w:t xml:space="preserve">All classifications will be based on valid ratings collected in Round 2. “Valid ratings” exclude responses of “Cannot judge / insufficient experience.” Round-1 results will be used to determine which items are retained, revised, or removed before Round 2, and will be reported descriptively.</w:t>
      </w:r>
    </w:p>
    <w:p>
      <w:pPr>
        <w:pStyle w:val="BodyText"/>
      </w:pPr>
      <w:r>
        <w:t xml:space="preserve">For each item and rating dimension, the study will report the number of valid responses, median, interquartile range (IQR), percentage of ratings in the 7–9 range, and percentage of ratings in the 1–3 range.</w:t>
      </w:r>
    </w:p>
    <w:p>
      <w:pPr>
        <w:pStyle w:val="BodyText"/>
      </w:pPr>
      <w:r>
        <w:rPr>
          <w:b/>
          <w:bCs/>
        </w:rPr>
        <w:t xml:space="preserve">Barrier classifications</w:t>
      </w:r>
    </w:p>
    <w:p>
      <w:pPr>
        <w:numPr>
          <w:ilvl w:val="0"/>
          <w:numId w:val="1021"/>
        </w:numPr>
      </w:pPr>
      <w:r>
        <w:rPr>
          <w:b/>
          <w:bCs/>
        </w:rPr>
        <w:t xml:space="preserve">Important barrier:</w:t>
      </w:r>
      <w:r>
        <w:t xml:space="preserve"> </w:t>
      </w:r>
      <w:r>
        <w:t xml:space="preserve">A barrier will be classified as having consensus as an</w:t>
      </w:r>
      <w:r>
        <w:t xml:space="preserve"> </w:t>
      </w:r>
      <w:r>
        <w:rPr>
          <w:b/>
          <w:bCs/>
        </w:rPr>
        <w:t xml:space="preserve">important barrier</w:t>
      </w:r>
      <w:r>
        <w:t xml:space="preserve"> </w:t>
      </w:r>
      <w:r>
        <w:t xml:space="preserve">when all of the following criteria are met:</w:t>
      </w:r>
    </w:p>
    <w:p>
      <w:pPr>
        <w:pStyle w:val="Compact"/>
        <w:numPr>
          <w:ilvl w:val="1"/>
          <w:numId w:val="1022"/>
        </w:numPr>
      </w:pPr>
      <w:r>
        <w:t xml:space="preserve">Median importance rating ≥7;</w:t>
      </w:r>
    </w:p>
    <w:p>
      <w:pPr>
        <w:pStyle w:val="Compact"/>
        <w:numPr>
          <w:ilvl w:val="1"/>
          <w:numId w:val="1022"/>
        </w:numPr>
      </w:pPr>
      <w:r>
        <w:t xml:space="preserve">IQR ≤2; and</w:t>
      </w:r>
    </w:p>
    <w:p>
      <w:pPr>
        <w:pStyle w:val="Compact"/>
        <w:numPr>
          <w:ilvl w:val="1"/>
          <w:numId w:val="1022"/>
        </w:numPr>
      </w:pPr>
      <w:r>
        <w:t xml:space="preserve">≥75% of valid importance ratings are 7–9.</w:t>
      </w:r>
    </w:p>
    <w:p>
      <w:pPr>
        <w:numPr>
          <w:ilvl w:val="0"/>
          <w:numId w:val="1021"/>
        </w:numPr>
      </w:pPr>
      <w:r>
        <w:rPr>
          <w:b/>
          <w:bCs/>
        </w:rPr>
        <w:t xml:space="preserve">Highly modifiable barrier:</w:t>
      </w:r>
      <w:r>
        <w:t xml:space="preserve"> </w:t>
      </w:r>
      <w:r>
        <w:t xml:space="preserve">A barrier will be classified as having consensus as</w:t>
      </w:r>
      <w:r>
        <w:t xml:space="preserve"> </w:t>
      </w:r>
      <w:r>
        <w:rPr>
          <w:b/>
          <w:bCs/>
        </w:rPr>
        <w:t xml:space="preserve">highly modifiable</w:t>
      </w:r>
      <w:r>
        <w:t xml:space="preserve"> </w:t>
      </w:r>
      <w:r>
        <w:t xml:space="preserve">when all of the following criteria are met:</w:t>
      </w:r>
    </w:p>
    <w:p>
      <w:pPr>
        <w:pStyle w:val="Compact"/>
        <w:numPr>
          <w:ilvl w:val="1"/>
          <w:numId w:val="1023"/>
        </w:numPr>
      </w:pPr>
      <w:r>
        <w:t xml:space="preserve">Median modifiability rating ≥7;</w:t>
      </w:r>
    </w:p>
    <w:p>
      <w:pPr>
        <w:pStyle w:val="Compact"/>
        <w:numPr>
          <w:ilvl w:val="1"/>
          <w:numId w:val="1023"/>
        </w:numPr>
      </w:pPr>
      <w:r>
        <w:t xml:space="preserve">IQR ≤2; and</w:t>
      </w:r>
    </w:p>
    <w:p>
      <w:pPr>
        <w:pStyle w:val="Compact"/>
        <w:numPr>
          <w:ilvl w:val="1"/>
          <w:numId w:val="1023"/>
        </w:numPr>
      </w:pPr>
      <w:r>
        <w:t xml:space="preserve">≥75% of valid modifiability ratings are 7–9.</w:t>
      </w:r>
    </w:p>
    <w:p>
      <w:pPr>
        <w:numPr>
          <w:ilvl w:val="0"/>
          <w:numId w:val="1021"/>
        </w:numPr>
      </w:pPr>
      <w:r>
        <w:rPr>
          <w:b/>
          <w:bCs/>
        </w:rPr>
        <w:t xml:space="preserve">Priority barrier for action:</w:t>
      </w:r>
      <w:r>
        <w:t xml:space="preserve"> </w:t>
      </w:r>
      <w:r>
        <w:t xml:space="preserve">A barrier will be classified as a</w:t>
      </w:r>
      <w:r>
        <w:t xml:space="preserve"> </w:t>
      </w:r>
      <w:r>
        <w:rPr>
          <w:b/>
          <w:bCs/>
        </w:rPr>
        <w:t xml:space="preserve">priority barrier for action</w:t>
      </w:r>
      <w:r>
        <w:t xml:space="preserve"> </w:t>
      </w:r>
      <w:r>
        <w:t xml:space="preserve">when it meets the criteria for both an</w:t>
      </w:r>
      <w:r>
        <w:t xml:space="preserve"> </w:t>
      </w:r>
      <w:r>
        <w:rPr>
          <w:b/>
          <w:bCs/>
        </w:rPr>
        <w:t xml:space="preserve">important barrier</w:t>
      </w:r>
      <w:r>
        <w:t xml:space="preserve"> </w:t>
      </w:r>
      <w:r>
        <w:t xml:space="preserve">and a</w:t>
      </w:r>
      <w:r>
        <w:t xml:space="preserve"> </w:t>
      </w:r>
      <w:r>
        <w:rPr>
          <w:b/>
          <w:bCs/>
        </w:rPr>
        <w:t xml:space="preserve">highly modifiable barrier</w:t>
      </w:r>
      <w:r>
        <w:t xml:space="preserve">.</w:t>
      </w:r>
    </w:p>
    <w:p>
      <w:pPr>
        <w:numPr>
          <w:ilvl w:val="0"/>
          <w:numId w:val="1021"/>
        </w:numPr>
      </w:pPr>
      <w:r>
        <w:rPr>
          <w:b/>
          <w:bCs/>
        </w:rPr>
        <w:t xml:space="preserve">Important but less modifiable barrier:</w:t>
      </w:r>
      <w:r>
        <w:t xml:space="preserve"> </w:t>
      </w:r>
      <w:r>
        <w:t xml:space="preserve">A barrier meeting the criteria for an</w:t>
      </w:r>
      <w:r>
        <w:t xml:space="preserve"> </w:t>
      </w:r>
      <w:r>
        <w:rPr>
          <w:b/>
          <w:bCs/>
        </w:rPr>
        <w:t xml:space="preserve">important barrier</w:t>
      </w:r>
      <w:r>
        <w:t xml:space="preserve"> </w:t>
      </w:r>
      <w:r>
        <w:t xml:space="preserve">but not for a</w:t>
      </w:r>
      <w:r>
        <w:t xml:space="preserve"> </w:t>
      </w:r>
      <w:r>
        <w:rPr>
          <w:b/>
          <w:bCs/>
        </w:rPr>
        <w:t xml:space="preserve">highly modifiable barrier</w:t>
      </w:r>
      <w:r>
        <w:t xml:space="preserve"> </w:t>
      </w:r>
      <w:r>
        <w:t xml:space="preserve">will be classified as</w:t>
      </w:r>
      <w:r>
        <w:t xml:space="preserve"> </w:t>
      </w:r>
      <w:r>
        <w:rPr>
          <w:b/>
          <w:bCs/>
        </w:rPr>
        <w:t xml:space="preserve">important but less modifiable</w:t>
      </w:r>
      <w:r>
        <w:t xml:space="preserve">. These barriers will still be reported because they may require longer-term, multilevel, or system-level action.</w:t>
      </w:r>
    </w:p>
    <w:p>
      <w:pPr>
        <w:numPr>
          <w:ilvl w:val="0"/>
          <w:numId w:val="1021"/>
        </w:numPr>
      </w:pPr>
      <w:r>
        <w:rPr>
          <w:b/>
          <w:bCs/>
        </w:rPr>
        <w:t xml:space="preserve">Consensus that a barrier is not important:</w:t>
      </w:r>
      <w:r>
        <w:t xml:space="preserve"> </w:t>
      </w:r>
      <w:r>
        <w:t xml:space="preserve">A barrier will be classified as having consensus that it is</w:t>
      </w:r>
      <w:r>
        <w:t xml:space="preserve"> </w:t>
      </w:r>
      <w:r>
        <w:rPr>
          <w:b/>
          <w:bCs/>
        </w:rPr>
        <w:t xml:space="preserve">not important</w:t>
      </w:r>
      <w:r>
        <w:t xml:space="preserve"> </w:t>
      </w:r>
      <w:r>
        <w:t xml:space="preserve">when:</w:t>
      </w:r>
    </w:p>
    <w:p>
      <w:pPr>
        <w:pStyle w:val="Compact"/>
        <w:numPr>
          <w:ilvl w:val="1"/>
          <w:numId w:val="1024"/>
        </w:numPr>
      </w:pPr>
      <w:r>
        <w:t xml:space="preserve">Median importance rating ≤3; and</w:t>
      </w:r>
    </w:p>
    <w:p>
      <w:pPr>
        <w:pStyle w:val="Compact"/>
        <w:numPr>
          <w:ilvl w:val="1"/>
          <w:numId w:val="1024"/>
        </w:numPr>
      </w:pPr>
      <w:r>
        <w:t xml:space="preserve">≥75% of valid importance ratings are 1–3.</w:t>
      </w:r>
    </w:p>
    <w:p>
      <w:pPr>
        <w:pStyle w:val="FirstParagraph"/>
      </w:pPr>
      <w:r>
        <w:rPr>
          <w:b/>
          <w:bCs/>
        </w:rPr>
        <w:t xml:space="preserve">Intervention classifications</w:t>
      </w:r>
    </w:p>
    <w:p>
      <w:pPr>
        <w:numPr>
          <w:ilvl w:val="0"/>
          <w:numId w:val="1025"/>
        </w:numPr>
      </w:pPr>
      <w:r>
        <w:rPr>
          <w:b/>
          <w:bCs/>
        </w:rPr>
        <w:t xml:space="preserve">High-impact intervention:</w:t>
      </w:r>
      <w:r>
        <w:t xml:space="preserve"> </w:t>
      </w:r>
      <w:r>
        <w:t xml:space="preserve">An intervention will be classified as having consensus as a</w:t>
      </w:r>
      <w:r>
        <w:t xml:space="preserve"> </w:t>
      </w:r>
      <w:r>
        <w:rPr>
          <w:b/>
          <w:bCs/>
        </w:rPr>
        <w:t xml:space="preserve">high-impact intervention</w:t>
      </w:r>
      <w:r>
        <w:t xml:space="preserve"> </w:t>
      </w:r>
      <w:r>
        <w:t xml:space="preserve">when all of the following criteria are met:</w:t>
      </w:r>
    </w:p>
    <w:p>
      <w:pPr>
        <w:pStyle w:val="Compact"/>
        <w:numPr>
          <w:ilvl w:val="1"/>
          <w:numId w:val="1026"/>
        </w:numPr>
      </w:pPr>
      <w:r>
        <w:t xml:space="preserve">Median importance/potential-impact rating ≥7;</w:t>
      </w:r>
    </w:p>
    <w:p>
      <w:pPr>
        <w:pStyle w:val="Compact"/>
        <w:numPr>
          <w:ilvl w:val="1"/>
          <w:numId w:val="1026"/>
        </w:numPr>
      </w:pPr>
      <w:r>
        <w:t xml:space="preserve">IQR ≤2; and</w:t>
      </w:r>
    </w:p>
    <w:p>
      <w:pPr>
        <w:pStyle w:val="Compact"/>
        <w:numPr>
          <w:ilvl w:val="1"/>
          <w:numId w:val="1026"/>
        </w:numPr>
      </w:pPr>
      <w:r>
        <w:t xml:space="preserve">≥75% of valid importance/potential-impact ratings are 7–9.</w:t>
      </w:r>
    </w:p>
    <w:p>
      <w:pPr>
        <w:numPr>
          <w:ilvl w:val="0"/>
          <w:numId w:val="1025"/>
        </w:numPr>
      </w:pPr>
      <w:r>
        <w:rPr>
          <w:b/>
          <w:bCs/>
        </w:rPr>
        <w:t xml:space="preserve">Feasible intervention:</w:t>
      </w:r>
      <w:r>
        <w:t xml:space="preserve"> </w:t>
      </w:r>
      <w:r>
        <w:t xml:space="preserve">An intervention will be classified as having consensus as</w:t>
      </w:r>
      <w:r>
        <w:t xml:space="preserve"> </w:t>
      </w:r>
      <w:r>
        <w:rPr>
          <w:b/>
          <w:bCs/>
        </w:rPr>
        <w:t xml:space="preserve">feasible in the Egyptian context</w:t>
      </w:r>
      <w:r>
        <w:t xml:space="preserve"> </w:t>
      </w:r>
      <w:r>
        <w:t xml:space="preserve">when:</w:t>
      </w:r>
    </w:p>
    <w:p>
      <w:pPr>
        <w:pStyle w:val="Compact"/>
        <w:numPr>
          <w:ilvl w:val="1"/>
          <w:numId w:val="1027"/>
        </w:numPr>
      </w:pPr>
      <w:r>
        <w:t xml:space="preserve">Median feasibility rating ≥6; and</w:t>
      </w:r>
    </w:p>
    <w:p>
      <w:pPr>
        <w:pStyle w:val="Compact"/>
        <w:numPr>
          <w:ilvl w:val="1"/>
          <w:numId w:val="1027"/>
        </w:numPr>
      </w:pPr>
      <w:r>
        <w:t xml:space="preserve">≥70% of valid feasibility ratings are 6–9.</w:t>
      </w:r>
    </w:p>
    <w:p>
      <w:pPr>
        <w:numPr>
          <w:ilvl w:val="0"/>
          <w:numId w:val="1025"/>
        </w:numPr>
      </w:pPr>
      <w:r>
        <w:rPr>
          <w:b/>
          <w:bCs/>
        </w:rPr>
        <w:t xml:space="preserve">High-priority feasible intervention:</w:t>
      </w:r>
      <w:r>
        <w:t xml:space="preserve"> </w:t>
      </w:r>
      <w:r>
        <w:t xml:space="preserve">An intervention will be classified as a</w:t>
      </w:r>
      <w:r>
        <w:t xml:space="preserve"> </w:t>
      </w:r>
      <w:r>
        <w:rPr>
          <w:b/>
          <w:bCs/>
        </w:rPr>
        <w:t xml:space="preserve">high-priority feasible intervention</w:t>
      </w:r>
      <w:r>
        <w:t xml:space="preserve"> </w:t>
      </w:r>
      <w:r>
        <w:t xml:space="preserve">when it meets the criteria for both a</w:t>
      </w:r>
      <w:r>
        <w:t xml:space="preserve"> </w:t>
      </w:r>
      <w:r>
        <w:rPr>
          <w:b/>
          <w:bCs/>
        </w:rPr>
        <w:t xml:space="preserve">high-impact intervention</w:t>
      </w:r>
      <w:r>
        <w:t xml:space="preserve"> </w:t>
      </w:r>
      <w:r>
        <w:t xml:space="preserve">and a</w:t>
      </w:r>
      <w:r>
        <w:t xml:space="preserve"> </w:t>
      </w:r>
      <w:r>
        <w:rPr>
          <w:b/>
          <w:bCs/>
        </w:rPr>
        <w:t xml:space="preserve">feasible intervention</w:t>
      </w:r>
      <w:r>
        <w:t xml:space="preserve">.</w:t>
      </w:r>
    </w:p>
    <w:p>
      <w:pPr>
        <w:numPr>
          <w:ilvl w:val="0"/>
          <w:numId w:val="1025"/>
        </w:numPr>
      </w:pPr>
      <w:r>
        <w:rPr>
          <w:b/>
          <w:bCs/>
        </w:rPr>
        <w:t xml:space="preserve">High-impact but less feasible intervention:</w:t>
      </w:r>
      <w:r>
        <w:t xml:space="preserve"> </w:t>
      </w:r>
      <w:r>
        <w:t xml:space="preserve">An intervention meeting the criteria for a</w:t>
      </w:r>
      <w:r>
        <w:t xml:space="preserve"> </w:t>
      </w:r>
      <w:r>
        <w:rPr>
          <w:b/>
          <w:bCs/>
        </w:rPr>
        <w:t xml:space="preserve">high-impact intervention</w:t>
      </w:r>
      <w:r>
        <w:t xml:space="preserve"> </w:t>
      </w:r>
      <w:r>
        <w:t xml:space="preserve">but not for a</w:t>
      </w:r>
      <w:r>
        <w:t xml:space="preserve"> </w:t>
      </w:r>
      <w:r>
        <w:rPr>
          <w:b/>
          <w:bCs/>
        </w:rPr>
        <w:t xml:space="preserve">feasible intervention</w:t>
      </w:r>
      <w:r>
        <w:t xml:space="preserve"> </w:t>
      </w:r>
      <w:r>
        <w:t xml:space="preserve">will be classified as</w:t>
      </w:r>
      <w:r>
        <w:t xml:space="preserve"> </w:t>
      </w:r>
      <w:r>
        <w:rPr>
          <w:b/>
          <w:bCs/>
        </w:rPr>
        <w:t xml:space="preserve">high-impact but less feasible</w:t>
      </w:r>
      <w:r>
        <w:t xml:space="preserve">. These interventions may still be reported as important longer-term priorities, while acknowledging implementation challenges.</w:t>
      </w:r>
    </w:p>
    <w:p>
      <w:pPr>
        <w:pStyle w:val="FirstParagraph"/>
      </w:pPr>
      <w:r>
        <w:rPr>
          <w:b/>
          <w:bCs/>
        </w:rPr>
        <w:t xml:space="preserve">Non-consensus and disagreement</w:t>
      </w:r>
    </w:p>
    <w:p>
      <w:pPr>
        <w:pStyle w:val="BodyText"/>
      </w:pPr>
      <w:r>
        <w:t xml:space="preserve">Items failing to meet the relevant consensus criteria after Round 2 will be classified as</w:t>
      </w:r>
      <w:r>
        <w:t xml:space="preserve"> </w:t>
      </w:r>
      <w:r>
        <w:rPr>
          <w:b/>
          <w:bCs/>
        </w:rPr>
        <w:t xml:space="preserve">no consensus</w:t>
      </w:r>
      <w:r>
        <w:t xml:space="preserve"> </w:t>
      </w:r>
      <w:r>
        <w:t xml:space="preserve">rather than being forced into a priority category.</w:t>
      </w:r>
    </w:p>
    <w:p>
      <w:pPr>
        <w:pStyle w:val="BodyText"/>
      </w:pPr>
      <w:r>
        <w:t xml:space="preserve">Where the distribution of ratings suggests meaningful polarization—for example, a wide IQR or materially different rating patterns across prespecified stakeholder groups—this will be reported as</w:t>
      </w:r>
      <w:r>
        <w:t xml:space="preserve"> </w:t>
      </w:r>
      <w:r>
        <w:rPr>
          <w:b/>
          <w:bCs/>
        </w:rPr>
        <w:t xml:space="preserve">stakeholder disagreement</w:t>
      </w:r>
      <w:r>
        <w:t xml:space="preserve"> </w:t>
      </w:r>
      <w:r>
        <w:t xml:space="preserve">rather than treated as study failure. Stakeholder-group analyses will be exploratory and will be interpreted cautiously, particularly where subgroup sample sizes are small.</w:t>
      </w:r>
    </w:p>
    <w:p>
      <w:pPr>
        <w:pStyle w:val="BodyText"/>
      </w:pPr>
      <w:r>
        <w:t xml:space="preserve">Final intervention priorities will consider the consensus classifications, Round-2 ratings, participants’ nominated top-three priority interventions, primary implementation level, and advisory-board review for clarity, redundancy, and interpretability. The final framework will represent stakeholder consensus priorities; it will not be interpreted as evidence that any specific intervention is effective.</w:t>
      </w:r>
    </w:p>
    <w:p>
      <w:pPr>
        <w:pStyle w:val="BodyText"/>
      </w:pPr>
      <w:r>
        <w:rPr>
          <w:b/>
          <w:bCs/>
        </w:rPr>
        <w:t xml:space="preserve">Feedback and confidentiality</w:t>
      </w:r>
    </w:p>
    <w:p>
      <w:pPr>
        <w:pStyle w:val="BodyText"/>
      </w:pPr>
      <w:r>
        <w:t xml:space="preserve">The Delphi process will preserve participant confidentiality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p>
      <w:pPr>
        <w:pStyle w:val="BodyText"/>
      </w:pPr>
      <w:r>
        <w:rPr>
          <w:b/>
          <w:bCs/>
        </w:rPr>
        <w:t xml:space="preserve">Panel Attrition and Response Monitoring</w:t>
      </w:r>
    </w:p>
    <w:p>
      <w:pPr>
        <w:pStyle w:val="BodyText"/>
      </w:pPr>
      <w:r>
        <w:t xml:space="preserve">Response rates will be calculated separately for each round using clearly specified denominators:</w:t>
      </w:r>
    </w:p>
    <w:p>
      <w:pPr>
        <w:pStyle w:val="Compact"/>
        <w:numPr>
          <w:ilvl w:val="0"/>
          <w:numId w:val="1028"/>
        </w:numPr>
      </w:pPr>
      <w:r>
        <w:t xml:space="preserve">invited participants;</w:t>
      </w:r>
    </w:p>
    <w:p>
      <w:pPr>
        <w:pStyle w:val="Compact"/>
        <w:numPr>
          <w:ilvl w:val="0"/>
          <w:numId w:val="1028"/>
        </w:numPr>
      </w:pPr>
      <w:r>
        <w:t xml:space="preserve">participants who completed the questionnaire; and</w:t>
      </w:r>
    </w:p>
    <w:p>
      <w:pPr>
        <w:pStyle w:val="Compact"/>
        <w:numPr>
          <w:ilvl w:val="0"/>
          <w:numId w:val="1028"/>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30"/>
    <w:bookmarkEnd w:id="31"/>
    <w:bookmarkStart w:id="32" w:name="data-management"/>
    <w:p>
      <w:pPr>
        <w:pStyle w:val="Heading1"/>
      </w:pPr>
      <w:r>
        <w:t xml:space="preserve">9. 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9"/>
        </w:numPr>
      </w:pPr>
      <w:r>
        <w:t xml:space="preserve">verifying valid response ranges;</w:t>
      </w:r>
    </w:p>
    <w:p>
      <w:pPr>
        <w:pStyle w:val="Compact"/>
        <w:numPr>
          <w:ilvl w:val="0"/>
          <w:numId w:val="1029"/>
        </w:numPr>
      </w:pPr>
      <w:r>
        <w:t xml:space="preserve">documenting incomplete questionnaires;</w:t>
      </w:r>
    </w:p>
    <w:p>
      <w:pPr>
        <w:pStyle w:val="Compact"/>
        <w:numPr>
          <w:ilvl w:val="0"/>
          <w:numId w:val="1029"/>
        </w:numPr>
      </w:pPr>
      <w:r>
        <w:t xml:space="preserve">identifying implausible or internally inconsistent administrative data;</w:t>
      </w:r>
    </w:p>
    <w:p>
      <w:pPr>
        <w:pStyle w:val="Compact"/>
        <w:numPr>
          <w:ilvl w:val="0"/>
          <w:numId w:val="1029"/>
        </w:numPr>
      </w:pPr>
      <w:r>
        <w:t xml:space="preserve">maintaining a data-cleaning log; and</w:t>
      </w:r>
    </w:p>
    <w:p>
      <w:pPr>
        <w:pStyle w:val="Compact"/>
        <w:numPr>
          <w:ilvl w:val="0"/>
          <w:numId w:val="1029"/>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w:t>
      </w:r>
    </w:p>
    <w:bookmarkEnd w:id="32"/>
    <w:bookmarkStart w:id="33" w:name="statistical-analysis"/>
    <w:p>
      <w:pPr>
        <w:pStyle w:val="Heading1"/>
      </w:pPr>
      <w:r>
        <w:t xml:space="preserve">10. Statistical Analysis</w:t>
      </w:r>
    </w:p>
    <w:p>
      <w:pPr>
        <w:pStyle w:val="FirstParagraph"/>
      </w:pPr>
      <w:r>
        <w:rPr>
          <w:b/>
          <w:bCs/>
        </w:rPr>
        <w:t xml:space="preserve">Primary analysis</w:t>
      </w:r>
    </w:p>
    <w:p>
      <w:pPr>
        <w:pStyle w:val="BodyText"/>
      </w:pPr>
      <w:r>
        <w:t xml:space="preserve">Analysis will be primarily descriptive and consensus-based. For each item and each round, the following will be reported:</w:t>
      </w:r>
    </w:p>
    <w:p>
      <w:pPr>
        <w:pStyle w:val="Compact"/>
        <w:numPr>
          <w:ilvl w:val="0"/>
          <w:numId w:val="1030"/>
        </w:numPr>
      </w:pPr>
      <w:r>
        <w:t xml:space="preserve">number of valid responses;</w:t>
      </w:r>
    </w:p>
    <w:p>
      <w:pPr>
        <w:pStyle w:val="Compact"/>
        <w:numPr>
          <w:ilvl w:val="0"/>
          <w:numId w:val="1030"/>
        </w:numPr>
      </w:pPr>
      <w:r>
        <w:t xml:space="preserve">median;</w:t>
      </w:r>
    </w:p>
    <w:p>
      <w:pPr>
        <w:pStyle w:val="Compact"/>
        <w:numPr>
          <w:ilvl w:val="0"/>
          <w:numId w:val="1030"/>
        </w:numPr>
      </w:pPr>
      <w:r>
        <w:t xml:space="preserve">IQR;</w:t>
      </w:r>
    </w:p>
    <w:p>
      <w:pPr>
        <w:pStyle w:val="Compact"/>
        <w:numPr>
          <w:ilvl w:val="0"/>
          <w:numId w:val="1030"/>
        </w:numPr>
      </w:pPr>
      <w:r>
        <w:t xml:space="preserve">full response distribution;</w:t>
      </w:r>
    </w:p>
    <w:p>
      <w:pPr>
        <w:pStyle w:val="Compact"/>
        <w:numPr>
          <w:ilvl w:val="0"/>
          <w:numId w:val="1030"/>
        </w:numPr>
      </w:pPr>
      <w:r>
        <w:t xml:space="preserve">percentage rating 7–9;</w:t>
      </w:r>
    </w:p>
    <w:p>
      <w:pPr>
        <w:pStyle w:val="Compact"/>
        <w:numPr>
          <w:ilvl w:val="0"/>
          <w:numId w:val="1030"/>
        </w:numPr>
      </w:pPr>
      <w:r>
        <w:t xml:space="preserve">consensus classification; and</w:t>
      </w:r>
    </w:p>
    <w:p>
      <w:pPr>
        <w:pStyle w:val="Compact"/>
        <w:numPr>
          <w:ilvl w:val="0"/>
          <w:numId w:val="1030"/>
        </w:numPr>
      </w:pPr>
      <w:r>
        <w:t xml:space="preserve">item disposition between rounds.</w:t>
      </w:r>
    </w:p>
    <w:p>
      <w:pPr>
        <w:pStyle w:val="FirstParagraph"/>
      </w:pPr>
      <w:r>
        <w:t xml:space="preserve">Analyses will be performed using a current, documented version of R</w:t>
      </w:r>
      <w:r>
        <w:t xml:space="preserve"> </w:t>
      </w:r>
      <w:r>
        <w:t xml:space="preserve">[8]</w:t>
      </w:r>
      <w:r>
        <w:t xml:space="preserve"> </w:t>
      </w:r>
      <w:r>
        <w:t xml:space="preserve">and the compatible R integrated development environment (RStudio</w:t>
      </w:r>
      <w:r>
        <w:t xml:space="preserve"> </w:t>
      </w:r>
      <w:r>
        <w:t xml:space="preserve">[9]</w:t>
      </w:r>
      <w:r>
        <w:t xml:space="preserve">). The exact versions used will be recorded in the analysis log.</w:t>
      </w:r>
    </w:p>
    <w:p>
      <w:pPr>
        <w:pStyle w:val="BodyText"/>
      </w:pPr>
      <w:r>
        <w:rPr>
          <w:b/>
          <w:bCs/>
        </w:rPr>
        <w:t xml:space="preserve">Change between rounds</w:t>
      </w:r>
    </w:p>
    <w:p>
      <w:pPr>
        <w:pStyle w:val="BodyText"/>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p>
      <w:pPr>
        <w:pStyle w:val="BodyText"/>
      </w:pPr>
      <w:r>
        <w:rPr>
          <w:b/>
          <w:bCs/>
        </w:rPr>
        <w:t xml:space="preserve">Subgroup analysis</w:t>
      </w:r>
    </w:p>
    <w:p>
      <w:pPr>
        <w:pStyle w:val="BodyText"/>
      </w:pPr>
      <w:r>
        <w:t xml:space="preserve">Ratings will be examined descriptively by predefined stakeholder group:</w:t>
      </w:r>
    </w:p>
    <w:p>
      <w:pPr>
        <w:pStyle w:val="Compact"/>
        <w:numPr>
          <w:ilvl w:val="0"/>
          <w:numId w:val="1031"/>
        </w:numPr>
      </w:pPr>
      <w:r>
        <w:t xml:space="preserve">early-career researchers;</w:t>
      </w:r>
    </w:p>
    <w:p>
      <w:pPr>
        <w:pStyle w:val="Compact"/>
        <w:numPr>
          <w:ilvl w:val="0"/>
          <w:numId w:val="1031"/>
        </w:numPr>
      </w:pPr>
      <w:r>
        <w:t xml:space="preserve">supervisors;</w:t>
      </w:r>
    </w:p>
    <w:p>
      <w:pPr>
        <w:pStyle w:val="Compact"/>
        <w:numPr>
          <w:ilvl w:val="0"/>
          <w:numId w:val="1031"/>
        </w:numPr>
      </w:pPr>
      <w:r>
        <w:t xml:space="preserve">methodologists/biostatisticians; and</w:t>
      </w:r>
    </w:p>
    <w:p>
      <w:pPr>
        <w:pStyle w:val="Compact"/>
        <w:numPr>
          <w:ilvl w:val="0"/>
          <w:numId w:val="1031"/>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p>
      <w:pPr>
        <w:pStyle w:val="BodyText"/>
      </w:pPr>
      <w:r>
        <w:rPr>
          <w:b/>
          <w:bCs/>
        </w:rPr>
        <w:t xml:space="preserve">Sensitivity analyses</w:t>
      </w:r>
    </w:p>
    <w:p>
      <w:pPr>
        <w:pStyle w:val="BodyText"/>
      </w:pPr>
      <w:r>
        <w:t xml:space="preserve">Sensitivity analyses will examine whether conclusions change when only participants completing both rounds are considered.</w:t>
      </w:r>
    </w:p>
    <w:p>
      <w:pPr>
        <w:pStyle w:val="BodyText"/>
      </w:pPr>
      <w:r>
        <w:t xml:space="preserve">These analyses will be prespecified before the final analysis where feasible.</w:t>
      </w:r>
    </w:p>
    <w:bookmarkEnd w:id="33"/>
    <w:bookmarkStart w:id="34" w:name="bias-and-mitigation-strategies"/>
    <w:p>
      <w:pPr>
        <w:pStyle w:val="Heading1"/>
      </w:pPr>
      <w:r>
        <w:t xml:space="preserve">11. Bias and Mitigation Strategies</w:t>
      </w:r>
    </w:p>
    <w:p>
      <w:pPr>
        <w:numPr>
          <w:ilvl w:val="0"/>
          <w:numId w:val="1032"/>
        </w:numPr>
      </w:pPr>
      <w:r>
        <w:t xml:space="preserve">Selection bias: Purposive recruitment may over-represent individuals who are already interested in research quality. To reduce this risk, recruitment will seek variation in career stage, institution, discipline, research experience, and stakeholder role. Response rates will be reported by stakeholder group where possible.</w:t>
      </w:r>
    </w:p>
    <w:p>
      <w:pPr>
        <w:numPr>
          <w:ilvl w:val="0"/>
          <w:numId w:val="1032"/>
        </w:numPr>
      </w:pPr>
      <w:r>
        <w:t xml:space="preserve">Professional hierarchy and social desirability: Because junior researchers may be supervised by senior panelists, perceived hierarchy could affect participation or responses. Invitations and surveys will emphasize independence, confidentiality, and the absence of academic consequences from participation or non-participation.</w:t>
      </w:r>
    </w:p>
    <w:p>
      <w:pPr>
        <w:numPr>
          <w:ilvl w:val="0"/>
          <w:numId w:val="1032"/>
        </w:numPr>
      </w:pPr>
      <w:r>
        <w:t xml:space="preserve">Attrition bias: Loss of participants between rounds may alter the final consensus. Attrition will therefore be reported by stakeholder group and considered when interpreting the findings.</w:t>
      </w:r>
    </w:p>
    <w:bookmarkEnd w:id="34"/>
    <w:bookmarkStart w:id="35" w:name="ethical-considerations"/>
    <w:p>
      <w:pPr>
        <w:pStyle w:val="Heading1"/>
      </w:pPr>
      <w:r>
        <w:t xml:space="preserve">12. Ethical Considerations</w:t>
      </w:r>
    </w:p>
    <w:p>
      <w:pPr>
        <w:pStyle w:val="FirstParagraph"/>
      </w:pPr>
      <w:r>
        <w:t xml:space="preserve">Ethical approval will be sought from the Institutional Review Board (IRB) of the Faculty of Medicine, MTI University.</w:t>
      </w:r>
    </w:p>
    <w:p>
      <w:pPr>
        <w:pStyle w:val="BodyText"/>
      </w:pPr>
      <w:r>
        <w:rPr>
          <w:b/>
          <w:bCs/>
        </w:rPr>
        <w:t xml:space="preserve">Informed consent</w:t>
      </w:r>
    </w:p>
    <w:p>
      <w:pPr>
        <w:pStyle w:val="BodyText"/>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 The consent form is available in</w:t>
      </w:r>
      <w:r>
        <w:t xml:space="preserve"> </w:t>
      </w:r>
      <w:hyperlink w:anchor="sec-consent">
        <w:r>
          <w:rPr>
            <w:rStyle w:val="Hyperlink"/>
          </w:rPr>
          <w:t xml:space="preserve">Section 18.6</w:t>
        </w:r>
      </w:hyperlink>
    </w:p>
    <w:p>
      <w:pPr>
        <w:pStyle w:val="BodyText"/>
      </w:pPr>
      <w:r>
        <w:rPr>
          <w:b/>
          <w:bCs/>
        </w:rPr>
        <w:t xml:space="preserve">Participant information sheet</w:t>
      </w:r>
    </w:p>
    <w:p>
      <w:pPr>
        <w:pStyle w:val="BodyText"/>
      </w:pPr>
      <w:r>
        <w:t xml:space="preserve">The information sheet (detailed in</w:t>
      </w:r>
      <w:r>
        <w:t xml:space="preserve"> </w:t>
      </w:r>
      <w:hyperlink w:anchor="sec-pis">
        <w:r>
          <w:rPr>
            <w:rStyle w:val="Hyperlink"/>
          </w:rPr>
          <w:t xml:space="preserve">Section 18.5</w:t>
        </w:r>
      </w:hyperlink>
      <w:r>
        <w:t xml:space="preserve">) will include:</w:t>
      </w:r>
    </w:p>
    <w:p>
      <w:pPr>
        <w:pStyle w:val="Compact"/>
        <w:numPr>
          <w:ilvl w:val="0"/>
          <w:numId w:val="1033"/>
        </w:numPr>
      </w:pPr>
      <w:r>
        <w:t xml:space="preserve">the purpose of the study;</w:t>
      </w:r>
    </w:p>
    <w:p>
      <w:pPr>
        <w:pStyle w:val="Compact"/>
        <w:numPr>
          <w:ilvl w:val="0"/>
          <w:numId w:val="1033"/>
        </w:numPr>
      </w:pPr>
      <w:r>
        <w:t xml:space="preserve">what participation involves;</w:t>
      </w:r>
    </w:p>
    <w:p>
      <w:pPr>
        <w:pStyle w:val="Compact"/>
        <w:numPr>
          <w:ilvl w:val="0"/>
          <w:numId w:val="1033"/>
        </w:numPr>
      </w:pPr>
      <w:r>
        <w:t xml:space="preserve">the expected time commitment;</w:t>
      </w:r>
    </w:p>
    <w:p>
      <w:pPr>
        <w:pStyle w:val="Compact"/>
        <w:numPr>
          <w:ilvl w:val="0"/>
          <w:numId w:val="1033"/>
        </w:numPr>
      </w:pPr>
      <w:r>
        <w:t xml:space="preserve">the voluntary nature of participation;</w:t>
      </w:r>
    </w:p>
    <w:p>
      <w:pPr>
        <w:pStyle w:val="Compact"/>
        <w:numPr>
          <w:ilvl w:val="0"/>
          <w:numId w:val="1033"/>
        </w:numPr>
      </w:pPr>
      <w:r>
        <w:t xml:space="preserve">the right to withdraw without penalty;</w:t>
      </w:r>
    </w:p>
    <w:p>
      <w:pPr>
        <w:pStyle w:val="Compact"/>
        <w:numPr>
          <w:ilvl w:val="0"/>
          <w:numId w:val="1033"/>
        </w:numPr>
      </w:pPr>
      <w:r>
        <w:t xml:space="preserve">the right to request removal of data;</w:t>
      </w:r>
    </w:p>
    <w:p>
      <w:pPr>
        <w:pStyle w:val="Compact"/>
        <w:numPr>
          <w:ilvl w:val="0"/>
          <w:numId w:val="1033"/>
        </w:numPr>
      </w:pPr>
      <w:r>
        <w:t xml:space="preserve">confidentiality and anonymity procedures;</w:t>
      </w:r>
    </w:p>
    <w:p>
      <w:pPr>
        <w:pStyle w:val="Compact"/>
        <w:numPr>
          <w:ilvl w:val="0"/>
          <w:numId w:val="1033"/>
        </w:numPr>
      </w:pPr>
      <w:r>
        <w:t xml:space="preserve">foreseeable risks and benefits;</w:t>
      </w:r>
    </w:p>
    <w:p>
      <w:pPr>
        <w:pStyle w:val="Compact"/>
        <w:numPr>
          <w:ilvl w:val="0"/>
          <w:numId w:val="1033"/>
        </w:numPr>
      </w:pPr>
      <w:r>
        <w:t xml:space="preserve">how data will be used and stored; and</w:t>
      </w:r>
    </w:p>
    <w:p>
      <w:pPr>
        <w:pStyle w:val="Compact"/>
        <w:numPr>
          <w:ilvl w:val="0"/>
          <w:numId w:val="1033"/>
        </w:numPr>
      </w:pPr>
      <w:r>
        <w:t xml:space="preserve">contact information for the research team and ethics committee.</w:t>
      </w:r>
    </w:p>
    <w:p>
      <w:pPr>
        <w:pStyle w:val="FirstParagraph"/>
      </w:pPr>
      <w:r>
        <w:rPr>
          <w:b/>
          <w:bCs/>
        </w:rPr>
        <w:t xml:space="preserve">Confidentiality</w:t>
      </w:r>
    </w:p>
    <w:p>
      <w:pPr>
        <w:pStyle w:val="BodyText"/>
      </w:pPr>
      <w:r>
        <w:t xml:space="preserve">Names, email addresses, and other direct identifiers will be stored separately from survey responses in password-protected, access-controlled files on secure institutional systems. Only the study coordinators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p>
      <w:pPr>
        <w:pStyle w:val="BodyText"/>
      </w:pPr>
      <w:r>
        <w:rPr>
          <w:b/>
          <w:bCs/>
        </w:rPr>
        <w:t xml:space="preserve">Protection of junior participants</w:t>
      </w:r>
    </w:p>
    <w:p>
      <w:pPr>
        <w:pStyle w:val="BodyText"/>
      </w:pPr>
      <w:r>
        <w:t xml:space="preserve">Junior participants will be explicitly informed that participation or non-participation will not affect their academic standing, supervision, assessment, employment, or career progression. Protection of junior participants will be enhanced by the following measures:</w:t>
      </w:r>
    </w:p>
    <w:p>
      <w:pPr>
        <w:pStyle w:val="Compact"/>
        <w:numPr>
          <w:ilvl w:val="0"/>
          <w:numId w:val="1034"/>
        </w:numPr>
      </w:pPr>
      <w:r>
        <w:t xml:space="preserve">invitations will be sent directly to potential participants;</w:t>
      </w:r>
    </w:p>
    <w:p>
      <w:pPr>
        <w:pStyle w:val="Compact"/>
        <w:numPr>
          <w:ilvl w:val="0"/>
          <w:numId w:val="1034"/>
        </w:numPr>
      </w:pPr>
      <w:r>
        <w:t xml:space="preserve">participation will not be arranged through a direct supervisor;</w:t>
      </w:r>
    </w:p>
    <w:p>
      <w:pPr>
        <w:pStyle w:val="Compact"/>
        <w:numPr>
          <w:ilvl w:val="0"/>
          <w:numId w:val="1034"/>
        </w:numPr>
      </w:pPr>
      <w:r>
        <w:t xml:space="preserve">supervisors will not know whether a specific junior researcher participated;</w:t>
      </w:r>
    </w:p>
    <w:p>
      <w:pPr>
        <w:pStyle w:val="Compact"/>
        <w:numPr>
          <w:ilvl w:val="0"/>
          <w:numId w:val="1034"/>
        </w:numPr>
      </w:pPr>
      <w:r>
        <w:t xml:space="preserve">reminders will be automated and sent by research staff who are not in a direct supervisory relationship with potential participants;</w:t>
      </w:r>
    </w:p>
    <w:p>
      <w:pPr>
        <w:pStyle w:val="Compact"/>
        <w:numPr>
          <w:ilvl w:val="0"/>
          <w:numId w:val="1034"/>
        </w:numPr>
      </w:pPr>
      <w:r>
        <w:t xml:space="preserve">participants will not be asked to discuss identifiable supervisory conflicts.</w:t>
      </w:r>
    </w:p>
    <w:p>
      <w:pPr>
        <w:pStyle w:val="FirstParagraph"/>
      </w:pPr>
      <w:r>
        <w:rPr>
          <w:b/>
          <w:bCs/>
        </w:rPr>
        <w:t xml:space="preserve">Risks and benefits</w:t>
      </w:r>
    </w:p>
    <w:p>
      <w:pPr>
        <w:pStyle w:val="BodyText"/>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confidential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p>
      <w:pPr>
        <w:pStyle w:val="BodyText"/>
      </w:pPr>
      <w:r>
        <w:rPr>
          <w:b/>
          <w:bCs/>
        </w:rPr>
        <w:t xml:space="preserve">Compensation and reimbursement</w:t>
      </w:r>
    </w:p>
    <w:p>
      <w:pPr>
        <w:pStyle w:val="BodyText"/>
      </w:pPr>
      <w:r>
        <w:t xml:space="preserve">Participants will not receive financial compensation. No reimbursement is anticipated because participation is remote. Participants who complete both rounds may receive a certificate of participation, if requested.</w:t>
      </w:r>
    </w:p>
    <w:p>
      <w:pPr>
        <w:pStyle w:val="BodyText"/>
      </w:pPr>
      <w:r>
        <w:rPr>
          <w:b/>
          <w:bCs/>
        </w:rPr>
        <w:t xml:space="preserve">Conflicts of Interest</w:t>
      </w:r>
    </w:p>
    <w:p>
      <w:pPr>
        <w:pStyle w:val="BodyText"/>
      </w:pPr>
      <w:r>
        <w:t xml:space="preserve">All investigators and advisory board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35"/>
    <w:bookmarkStart w:id="36" w:name="interpretation-and-expected-outputs"/>
    <w:p>
      <w:pPr>
        <w:pStyle w:val="Heading1"/>
      </w:pPr>
      <w:r>
        <w:t xml:space="preserve">13. Interpretation and Expected Outputs</w:t>
      </w:r>
    </w:p>
    <w:p>
      <w:pPr>
        <w:pStyle w:val="FirstParagraph"/>
      </w:pPr>
      <w:r>
        <w:rPr>
          <w:b/>
          <w:bCs/>
        </w:rPr>
        <w:t xml:space="preserve">Interpretation Framework</w:t>
      </w:r>
    </w:p>
    <w:p>
      <w:pPr>
        <w:pStyle w:val="BodyText"/>
      </w:pPr>
      <w:r>
        <w:t xml:space="preserve">The findings will be interpreted as stakeholder judgments regarding the perceived importance, modifiability, and feasibility of barriers and interventions. They will not be interpreted as prevalence estimates, causal evidence, or evidence of intervention effectiveness. Consensus and disagreement will be reported transparently, including relevant variation across stakeholder groups.</w:t>
      </w:r>
    </w:p>
    <w:p>
      <w:pPr>
        <w:pStyle w:val="BodyText"/>
      </w:pPr>
      <w:r>
        <w:rPr>
          <w:b/>
          <w:bCs/>
        </w:rPr>
        <w:t xml:space="preserve">Expected Outputs</w:t>
      </w:r>
    </w:p>
    <w:p>
      <w:pPr>
        <w:pStyle w:val="BodyText"/>
      </w:pPr>
      <w:r>
        <w:t xml:space="preserve">The study will generate a consensus-based priority framework identifying:</w:t>
      </w:r>
    </w:p>
    <w:p>
      <w:pPr>
        <w:numPr>
          <w:ilvl w:val="0"/>
          <w:numId w:val="1035"/>
        </w:numPr>
      </w:pPr>
      <w:r>
        <w:t xml:space="preserve">important and modifiable barriers to valid, relevant, and high-value medical research among early-career researchers in Egypt; and</w:t>
      </w:r>
    </w:p>
    <w:p>
      <w:pPr>
        <w:numPr>
          <w:ilvl w:val="0"/>
          <w:numId w:val="1035"/>
        </w:numPr>
      </w:pPr>
      <w:r>
        <w:t xml:space="preserve">important, feasible interventions to address these barriers.</w:t>
      </w:r>
    </w:p>
    <w:p>
      <w:pPr>
        <w:pStyle w:val="FirstParagraph"/>
      </w:pPr>
      <w:r>
        <w:t xml:space="preserve">The resulting priority framework may organize identified interventions across the following levels:</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Institution</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bookmarkEnd w:id="36"/>
    <w:bookmarkStart w:id="37" w:name="funding-registration-and-open-science"/>
    <w:p>
      <w:pPr>
        <w:pStyle w:val="Heading1"/>
      </w:pPr>
      <w:r>
        <w:t xml:space="preserve">14. Funding, Registration, and Open Science</w:t>
      </w:r>
    </w:p>
    <w:p>
      <w:pPr>
        <w:pStyle w:val="FirstParagraph"/>
      </w:pPr>
      <w:r>
        <w:t xml:space="preserve">The study is investigator-initiated and unfunded.</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p>
      <w:pPr>
        <w:pStyle w:val="BodyText"/>
      </w:pPr>
      <w:r>
        <w:t xml:space="preserve">The final protocol will be dated and version controlled before recruitment.</w:t>
      </w:r>
    </w:p>
    <w:p>
      <w:pPr>
        <w:pStyle w:val="BodyText"/>
      </w:pPr>
      <w:r>
        <w:t xml:space="preserve">This protocol is prospectively registered on the Open Science Framework before participant recruitment and data collection begin. The registration identifier is OSF.IO/83G7B.</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p>
      <w:pPr>
        <w:pStyle w:val="BodyText"/>
      </w:pPr>
      <w:r>
        <w:t xml:space="preserve">The completed study will be reported in accordance with the ACCORD guidance for reporting of modified Delphi studies.</w:t>
      </w:r>
      <w:r>
        <w:t xml:space="preserve"> </w:t>
      </w:r>
      <w:r>
        <w:t xml:space="preserve">[10]</w:t>
      </w:r>
    </w:p>
    <w:bookmarkEnd w:id="37"/>
    <w:bookmarkStart w:id="38" w:name="timeline"/>
    <w:p>
      <w:pPr>
        <w:pStyle w:val="Heading1"/>
      </w:pPr>
      <w:r>
        <w:t xml:space="preserve">15. Timeline</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and format the consensus-based priority framework; advisory board interpretation</w:t>
            </w:r>
          </w:p>
        </w:tc>
      </w:tr>
      <w:tr>
        <w:tc>
          <w:tcPr/>
          <w:p>
            <w:pPr>
              <w:pStyle w:val="Compact"/>
            </w:pPr>
            <w:r>
              <w:t xml:space="preserve">Month 8</w:t>
            </w:r>
          </w:p>
        </w:tc>
        <w:tc>
          <w:tcPr/>
          <w:p>
            <w:pPr>
              <w:pStyle w:val="Compact"/>
            </w:pPr>
            <w:r>
              <w:t xml:space="preserve">Document feedback and any post-Delphi refinements</w:t>
            </w:r>
          </w:p>
        </w:tc>
      </w:tr>
      <w:tr>
        <w:tc>
          <w:tcPr/>
          <w:p>
            <w:pPr>
              <w:pStyle w:val="Compact"/>
            </w:pPr>
            <w:r>
              <w:t xml:space="preserve">Month 9</w:t>
            </w:r>
          </w:p>
        </w:tc>
        <w:tc>
          <w:tcPr/>
          <w:p>
            <w:pPr>
              <w:pStyle w:val="Compact"/>
            </w:pPr>
            <w:r>
              <w:t xml:space="preserve">Manuscript preparation; policy brief; dissemination materials.</w:t>
            </w:r>
          </w:p>
        </w:tc>
      </w:tr>
    </w:tbl>
    <w:bookmarkEnd w:id="38"/>
    <w:bookmarkStart w:id="39" w:name="dissemination"/>
    <w:p>
      <w:pPr>
        <w:pStyle w:val="Heading1"/>
      </w:pPr>
      <w:r>
        <w:t xml:space="preserve">16. Dissemination</w:t>
      </w:r>
    </w:p>
    <w:p>
      <w:pPr>
        <w:pStyle w:val="FirstParagraph"/>
      </w:pPr>
      <w:r>
        <w:t xml:space="preserve">Findings will be disseminated through:</w:t>
      </w:r>
    </w:p>
    <w:p>
      <w:pPr>
        <w:pStyle w:val="Compact"/>
        <w:numPr>
          <w:ilvl w:val="0"/>
          <w:numId w:val="1036"/>
        </w:numPr>
      </w:pPr>
      <w:r>
        <w:t xml:space="preserve">peer-reviewed scientific publication;</w:t>
      </w:r>
    </w:p>
    <w:p>
      <w:pPr>
        <w:pStyle w:val="Compact"/>
        <w:numPr>
          <w:ilvl w:val="0"/>
          <w:numId w:val="1036"/>
        </w:numPr>
      </w:pPr>
      <w:r>
        <w:t xml:space="preserve">a policy brief; and</w:t>
      </w:r>
    </w:p>
    <w:p>
      <w:pPr>
        <w:pStyle w:val="Compact"/>
        <w:numPr>
          <w:ilvl w:val="0"/>
          <w:numId w:val="1036"/>
        </w:numPr>
      </w:pPr>
      <w:r>
        <w:t xml:space="preserve">stakeholder-focused webinars;</w:t>
      </w:r>
    </w:p>
    <w:p>
      <w:pPr>
        <w:pStyle w:val="FirstParagraph"/>
      </w:pPr>
      <w:r>
        <w:t xml:space="preserve">Dissemination materials will distinguish between:</w:t>
      </w:r>
    </w:p>
    <w:p>
      <w:pPr>
        <w:pStyle w:val="Compact"/>
        <w:numPr>
          <w:ilvl w:val="0"/>
          <w:numId w:val="1037"/>
        </w:numPr>
      </w:pPr>
      <w:r>
        <w:t xml:space="preserve">barriers that achieved consensus;</w:t>
      </w:r>
    </w:p>
    <w:p>
      <w:pPr>
        <w:pStyle w:val="Compact"/>
        <w:numPr>
          <w:ilvl w:val="0"/>
          <w:numId w:val="1037"/>
        </w:numPr>
      </w:pPr>
      <w:r>
        <w:t xml:space="preserve">interventions that achieved consensus as important and feasible;</w:t>
      </w:r>
    </w:p>
    <w:p>
      <w:pPr>
        <w:pStyle w:val="Compact"/>
        <w:numPr>
          <w:ilvl w:val="0"/>
          <w:numId w:val="1037"/>
        </w:numPr>
      </w:pPr>
      <w:r>
        <w:t xml:space="preserve">areas of persistent disagreement; and</w:t>
      </w:r>
    </w:p>
    <w:p>
      <w:pPr>
        <w:pStyle w:val="Compact"/>
        <w:numPr>
          <w:ilvl w:val="0"/>
          <w:numId w:val="1037"/>
        </w:numPr>
      </w:pPr>
      <w:r>
        <w:t xml:space="preserve">recommendations that require subsequent empirical evaluation.</w:t>
      </w:r>
    </w:p>
    <w:bookmarkEnd w:id="39"/>
    <w:bookmarkStart w:id="40" w:name="limitations"/>
    <w:p>
      <w:pPr>
        <w:pStyle w:val="Heading1"/>
      </w:pPr>
      <w:r>
        <w:t xml:space="preserve">17. Limitations</w:t>
      </w:r>
    </w:p>
    <w:p>
      <w:pPr>
        <w:pStyle w:val="FirstParagraph"/>
      </w:pPr>
      <w:r>
        <w:t xml:space="preserve">We anticipate limitations related to purposive sampling and selection bias; voluntary participation and attrition; limited representativeness; consensus not establishing causality; two rounds may not be sufficient for complex issues; small stakeholder subgroups; and intervention priorities requiring later implementation and effectiveness evaluation.</w:t>
      </w:r>
    </w:p>
    <w:bookmarkEnd w:id="40"/>
    <w:bookmarkStart w:id="48" w:name="appendices"/>
    <w:p>
      <w:pPr>
        <w:pStyle w:val="Heading1"/>
      </w:pPr>
      <w:r>
        <w:t xml:space="preserve">18. Appendices</w:t>
      </w:r>
    </w:p>
    <w:bookmarkStart w:id="41" w:name="appendix-1.-investigators-and-roles"/>
    <w:p>
      <w:pPr>
        <w:pStyle w:val="Heading2"/>
      </w:pPr>
      <w:r>
        <w:t xml:space="preserve">18.1 Appendix 1. Investigators and Roles</w:t>
      </w:r>
    </w:p>
    <w:p>
      <w:pPr>
        <w:pStyle w:val="Compact"/>
        <w:numPr>
          <w:ilvl w:val="0"/>
          <w:numId w:val="1038"/>
        </w:numPr>
      </w:pPr>
      <w:r>
        <w:rPr>
          <w:b/>
          <w:bCs/>
        </w:rPr>
        <w:t xml:space="preserve">Principal Investigator (PI):</w:t>
      </w:r>
      <w:r>
        <w:t xml:space="preserve"> </w:t>
      </w:r>
      <w:r>
        <w:t xml:space="preserve">Prof. Ashraf Nabhan (Faculty of Medicine, MTI University).</w:t>
      </w:r>
    </w:p>
    <w:p>
      <w:pPr>
        <w:pStyle w:val="Compact"/>
        <w:numPr>
          <w:ilvl w:val="0"/>
          <w:numId w:val="1038"/>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8"/>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8"/>
        </w:numPr>
      </w:pPr>
      <w:r>
        <w:rPr>
          <w:b/>
          <w:bCs/>
        </w:rPr>
        <w:t xml:space="preserve">Advisory Board:</w:t>
      </w:r>
      <w:r>
        <w:t xml:space="preserve"> </w:t>
      </w:r>
      <w:r>
        <w:t xml:space="preserve">Prof. Mohey El-Banna (Dean, Faculty of Medicine, MTI University) will lead a multidisciplinary advisory board representing early-career researchers, research supervisors, research-methodology experts, and institutional research leadership. The group will oversee protocol development, item generation, interpretation of Delphi findings, and preparation of the final priority framework. To protect participant confidentiality, advisory board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41"/>
    <w:bookmarkStart w:id="42" w:name="appendix-2.-proposed-barrier-domains"/>
    <w:p>
      <w:pPr>
        <w:pStyle w:val="Heading2"/>
      </w:pPr>
      <w:r>
        <w:t xml:space="preserve">18.2 Appendix 2. Proposed barrier domains</w:t>
      </w:r>
    </w:p>
    <w:p>
      <w:pPr>
        <w:pStyle w:val="Compact"/>
        <w:numPr>
          <w:ilvl w:val="0"/>
          <w:numId w:val="1039"/>
        </w:numPr>
      </w:pPr>
      <w:r>
        <w:t xml:space="preserve">Research question selection and prioritization</w:t>
      </w:r>
    </w:p>
    <w:p>
      <w:pPr>
        <w:pStyle w:val="Compact"/>
        <w:numPr>
          <w:ilvl w:val="0"/>
          <w:numId w:val="1039"/>
        </w:numPr>
      </w:pPr>
      <w:r>
        <w:t xml:space="preserve">Evidence searching and synthesis</w:t>
      </w:r>
    </w:p>
    <w:p>
      <w:pPr>
        <w:pStyle w:val="Compact"/>
        <w:numPr>
          <w:ilvl w:val="0"/>
          <w:numId w:val="1039"/>
        </w:numPr>
      </w:pPr>
      <w:r>
        <w:t xml:space="preserve">Research-methodology knowledge</w:t>
      </w:r>
    </w:p>
    <w:p>
      <w:pPr>
        <w:pStyle w:val="Compact"/>
        <w:numPr>
          <w:ilvl w:val="0"/>
          <w:numId w:val="1039"/>
        </w:numPr>
      </w:pPr>
      <w:r>
        <w:t xml:space="preserve">Biostatistics and data analysis</w:t>
      </w:r>
    </w:p>
    <w:p>
      <w:pPr>
        <w:pStyle w:val="Compact"/>
        <w:numPr>
          <w:ilvl w:val="0"/>
          <w:numId w:val="1039"/>
        </w:numPr>
      </w:pPr>
      <w:r>
        <w:t xml:space="preserve">Scientific writing and reporting</w:t>
      </w:r>
    </w:p>
    <w:p>
      <w:pPr>
        <w:pStyle w:val="Compact"/>
        <w:numPr>
          <w:ilvl w:val="0"/>
          <w:numId w:val="1039"/>
        </w:numPr>
      </w:pPr>
      <w:r>
        <w:t xml:space="preserve">Research supervision and mentorship</w:t>
      </w:r>
    </w:p>
    <w:p>
      <w:pPr>
        <w:pStyle w:val="Compact"/>
        <w:numPr>
          <w:ilvl w:val="0"/>
          <w:numId w:val="1039"/>
        </w:numPr>
      </w:pPr>
      <w:r>
        <w:t xml:space="preserve">Protected research time</w:t>
      </w:r>
    </w:p>
    <w:p>
      <w:pPr>
        <w:pStyle w:val="Compact"/>
        <w:numPr>
          <w:ilvl w:val="0"/>
          <w:numId w:val="1039"/>
        </w:numPr>
      </w:pPr>
      <w:r>
        <w:t xml:space="preserve">Funding and financial resources</w:t>
      </w:r>
    </w:p>
    <w:p>
      <w:pPr>
        <w:pStyle w:val="Compact"/>
        <w:numPr>
          <w:ilvl w:val="0"/>
          <w:numId w:val="1039"/>
        </w:numPr>
      </w:pPr>
      <w:r>
        <w:t xml:space="preserve">Data availability and access</w:t>
      </w:r>
    </w:p>
    <w:p>
      <w:pPr>
        <w:pStyle w:val="Compact"/>
        <w:numPr>
          <w:ilvl w:val="0"/>
          <w:numId w:val="1039"/>
        </w:numPr>
      </w:pPr>
      <w:r>
        <w:t xml:space="preserve">Laboratory and technical infrastructure</w:t>
      </w:r>
    </w:p>
    <w:p>
      <w:pPr>
        <w:pStyle w:val="Compact"/>
        <w:numPr>
          <w:ilvl w:val="0"/>
          <w:numId w:val="1039"/>
        </w:numPr>
      </w:pPr>
      <w:r>
        <w:t xml:space="preserve">Research ethics and administrative processes</w:t>
      </w:r>
    </w:p>
    <w:p>
      <w:pPr>
        <w:pStyle w:val="Compact"/>
        <w:numPr>
          <w:ilvl w:val="0"/>
          <w:numId w:val="1039"/>
        </w:numPr>
      </w:pPr>
      <w:r>
        <w:t xml:space="preserve">Collaboration and multidisciplinary research</w:t>
      </w:r>
    </w:p>
    <w:p>
      <w:pPr>
        <w:pStyle w:val="Compact"/>
        <w:numPr>
          <w:ilvl w:val="0"/>
          <w:numId w:val="1039"/>
        </w:numPr>
      </w:pPr>
      <w:r>
        <w:t xml:space="preserve">Institutional research culture</w:t>
      </w:r>
    </w:p>
    <w:p>
      <w:pPr>
        <w:pStyle w:val="Compact"/>
        <w:numPr>
          <w:ilvl w:val="0"/>
          <w:numId w:val="1039"/>
        </w:numPr>
      </w:pPr>
      <w:r>
        <w:t xml:space="preserve">Academic promotion and incentive structures</w:t>
      </w:r>
    </w:p>
    <w:p>
      <w:pPr>
        <w:pStyle w:val="Compact"/>
        <w:numPr>
          <w:ilvl w:val="0"/>
          <w:numId w:val="1039"/>
        </w:numPr>
      </w:pPr>
      <w:r>
        <w:t xml:space="preserve">Publication and dissemination</w:t>
      </w:r>
    </w:p>
    <w:p>
      <w:pPr>
        <w:pStyle w:val="Compact"/>
        <w:numPr>
          <w:ilvl w:val="0"/>
          <w:numId w:val="1039"/>
        </w:numPr>
      </w:pPr>
      <w:r>
        <w:t xml:space="preserve">Research governance and integrity</w:t>
      </w:r>
    </w:p>
    <w:p>
      <w:pPr>
        <w:pStyle w:val="Compact"/>
        <w:numPr>
          <w:ilvl w:val="0"/>
          <w:numId w:val="1039"/>
        </w:numPr>
      </w:pPr>
      <w:r>
        <w:t xml:space="preserve">National research policy and infrastructure</w:t>
      </w:r>
    </w:p>
    <w:bookmarkEnd w:id="42"/>
    <w:bookmarkStart w:id="43" w:name="Xbad515ac281b62739dfb411df580324f52669ee"/>
    <w:p>
      <w:pPr>
        <w:pStyle w:val="Heading2"/>
      </w:pPr>
      <w:r>
        <w:t xml:space="preserve">18.3 Appendix 3. Proposed intervention domains</w:t>
      </w:r>
    </w:p>
    <w:p>
      <w:pPr>
        <w:pStyle w:val="Compact"/>
        <w:numPr>
          <w:ilvl w:val="0"/>
          <w:numId w:val="1040"/>
        </w:numPr>
      </w:pPr>
      <w:r>
        <w:t xml:space="preserve">Structured research-methodology curricula</w:t>
      </w:r>
    </w:p>
    <w:p>
      <w:pPr>
        <w:pStyle w:val="Compact"/>
        <w:numPr>
          <w:ilvl w:val="0"/>
          <w:numId w:val="1040"/>
        </w:numPr>
      </w:pPr>
      <w:r>
        <w:t xml:space="preserve">Supervisor-development programmes</w:t>
      </w:r>
    </w:p>
    <w:p>
      <w:pPr>
        <w:pStyle w:val="Compact"/>
        <w:numPr>
          <w:ilvl w:val="0"/>
          <w:numId w:val="1040"/>
        </w:numPr>
      </w:pPr>
      <w:r>
        <w:t xml:space="preserve">Formal mentorship systems</w:t>
      </w:r>
    </w:p>
    <w:p>
      <w:pPr>
        <w:pStyle w:val="Compact"/>
        <w:numPr>
          <w:ilvl w:val="0"/>
          <w:numId w:val="1040"/>
        </w:numPr>
      </w:pPr>
      <w:r>
        <w:t xml:space="preserve">Institutional statistical/methodological consultation</w:t>
      </w:r>
    </w:p>
    <w:p>
      <w:pPr>
        <w:pStyle w:val="Compact"/>
        <w:numPr>
          <w:ilvl w:val="0"/>
          <w:numId w:val="1040"/>
        </w:numPr>
      </w:pPr>
      <w:r>
        <w:t xml:space="preserve">Protected research time</w:t>
      </w:r>
    </w:p>
    <w:p>
      <w:pPr>
        <w:pStyle w:val="Compact"/>
        <w:numPr>
          <w:ilvl w:val="0"/>
          <w:numId w:val="1040"/>
        </w:numPr>
      </w:pPr>
      <w:r>
        <w:t xml:space="preserve">Small-grant and seed-funding mechanisms</w:t>
      </w:r>
    </w:p>
    <w:p>
      <w:pPr>
        <w:pStyle w:val="Compact"/>
        <w:numPr>
          <w:ilvl w:val="0"/>
          <w:numId w:val="1040"/>
        </w:numPr>
      </w:pPr>
      <w:r>
        <w:t xml:space="preserve">Shared research infrastructure</w:t>
      </w:r>
    </w:p>
    <w:p>
      <w:pPr>
        <w:pStyle w:val="Compact"/>
        <w:numPr>
          <w:ilvl w:val="0"/>
          <w:numId w:val="1040"/>
        </w:numPr>
      </w:pPr>
      <w:r>
        <w:t xml:space="preserve">Research-support offices</w:t>
      </w:r>
    </w:p>
    <w:p>
      <w:pPr>
        <w:pStyle w:val="Compact"/>
        <w:numPr>
          <w:ilvl w:val="0"/>
          <w:numId w:val="1040"/>
        </w:numPr>
      </w:pPr>
      <w:r>
        <w:t xml:space="preserve">Data-access systems</w:t>
      </w:r>
    </w:p>
    <w:p>
      <w:pPr>
        <w:pStyle w:val="Compact"/>
        <w:numPr>
          <w:ilvl w:val="0"/>
          <w:numId w:val="1040"/>
        </w:numPr>
      </w:pPr>
      <w:r>
        <w:t xml:space="preserve">Research collaboration networks</w:t>
      </w:r>
    </w:p>
    <w:p>
      <w:pPr>
        <w:pStyle w:val="Compact"/>
        <w:numPr>
          <w:ilvl w:val="0"/>
          <w:numId w:val="1040"/>
        </w:numPr>
      </w:pPr>
      <w:r>
        <w:t xml:space="preserve">Research-integrity and reporting training</w:t>
      </w:r>
    </w:p>
    <w:p>
      <w:pPr>
        <w:pStyle w:val="Compact"/>
        <w:numPr>
          <w:ilvl w:val="0"/>
          <w:numId w:val="1040"/>
        </w:numPr>
      </w:pPr>
      <w:r>
        <w:t xml:space="preserve">Incentive and promotion reform</w:t>
      </w:r>
    </w:p>
    <w:p>
      <w:pPr>
        <w:pStyle w:val="Compact"/>
        <w:numPr>
          <w:ilvl w:val="0"/>
          <w:numId w:val="1040"/>
        </w:numPr>
      </w:pPr>
      <w:r>
        <w:t xml:space="preserve">Research-priority setting</w:t>
      </w:r>
    </w:p>
    <w:p>
      <w:pPr>
        <w:pStyle w:val="Compact"/>
        <w:numPr>
          <w:ilvl w:val="0"/>
          <w:numId w:val="1040"/>
        </w:numPr>
      </w:pPr>
      <w:r>
        <w:t xml:space="preserve">National research-capacity programmes</w:t>
      </w:r>
    </w:p>
    <w:p>
      <w:pPr>
        <w:pStyle w:val="Compact"/>
        <w:numPr>
          <w:ilvl w:val="0"/>
          <w:numId w:val="1040"/>
        </w:numPr>
      </w:pPr>
      <w:r>
        <w:t xml:space="preserve">Mechanisms for dissemination and uptake of research findings</w:t>
      </w:r>
    </w:p>
    <w:bookmarkEnd w:id="43"/>
    <w:bookmarkStart w:id="44" w:name="appendix-4.-study-level-audit-trail"/>
    <w:p>
      <w:pPr>
        <w:pStyle w:val="Heading2"/>
      </w:pPr>
      <w:r>
        <w:t xml:space="preserve">18.4 Appendix 4. Study-level audit trail</w:t>
      </w:r>
    </w:p>
    <w:p>
      <w:pPr>
        <w:pStyle w:val="FirstParagraph"/>
      </w:pPr>
      <w:r>
        <w:t xml:space="preserve">The research team will maintain a study-level audit trail containing:</w:t>
      </w:r>
    </w:p>
    <w:p>
      <w:pPr>
        <w:pStyle w:val="Compact"/>
        <w:numPr>
          <w:ilvl w:val="0"/>
          <w:numId w:val="1041"/>
        </w:numPr>
      </w:pPr>
      <w:r>
        <w:t xml:space="preserve">protocol version;</w:t>
      </w:r>
    </w:p>
    <w:p>
      <w:pPr>
        <w:pStyle w:val="Compact"/>
        <w:numPr>
          <w:ilvl w:val="0"/>
          <w:numId w:val="1041"/>
        </w:numPr>
      </w:pPr>
      <w:r>
        <w:t xml:space="preserve">item wording and revisions;</w:t>
      </w:r>
    </w:p>
    <w:p>
      <w:pPr>
        <w:pStyle w:val="Compact"/>
        <w:numPr>
          <w:ilvl w:val="0"/>
          <w:numId w:val="1041"/>
        </w:numPr>
      </w:pPr>
      <w:r>
        <w:t xml:space="preserve">reason for each material item change;</w:t>
      </w:r>
    </w:p>
    <w:p>
      <w:pPr>
        <w:pStyle w:val="Compact"/>
        <w:numPr>
          <w:ilvl w:val="0"/>
          <w:numId w:val="1041"/>
        </w:numPr>
      </w:pPr>
      <w:r>
        <w:t xml:space="preserve">participant recruitment numbers;</w:t>
      </w:r>
    </w:p>
    <w:p>
      <w:pPr>
        <w:pStyle w:val="Compact"/>
        <w:numPr>
          <w:ilvl w:val="0"/>
          <w:numId w:val="1041"/>
        </w:numPr>
      </w:pPr>
      <w:r>
        <w:t xml:space="preserve">stakeholder category;</w:t>
      </w:r>
    </w:p>
    <w:p>
      <w:pPr>
        <w:pStyle w:val="Compact"/>
        <w:numPr>
          <w:ilvl w:val="0"/>
          <w:numId w:val="1041"/>
        </w:numPr>
      </w:pPr>
      <w:r>
        <w:t xml:space="preserve">round-specific response rates;</w:t>
      </w:r>
    </w:p>
    <w:p>
      <w:pPr>
        <w:pStyle w:val="Compact"/>
        <w:numPr>
          <w:ilvl w:val="0"/>
          <w:numId w:val="1041"/>
        </w:numPr>
      </w:pPr>
      <w:r>
        <w:t xml:space="preserve">item-level response distributions;</w:t>
      </w:r>
    </w:p>
    <w:p>
      <w:pPr>
        <w:pStyle w:val="Compact"/>
        <w:numPr>
          <w:ilvl w:val="0"/>
          <w:numId w:val="1041"/>
        </w:numPr>
      </w:pPr>
      <w:r>
        <w:t xml:space="preserve">median and IQR;</w:t>
      </w:r>
    </w:p>
    <w:p>
      <w:pPr>
        <w:pStyle w:val="Compact"/>
        <w:numPr>
          <w:ilvl w:val="0"/>
          <w:numId w:val="1041"/>
        </w:numPr>
      </w:pPr>
      <w:r>
        <w:t xml:space="preserve">consensus classification;</w:t>
      </w:r>
    </w:p>
    <w:p>
      <w:pPr>
        <w:pStyle w:val="Compact"/>
        <w:numPr>
          <w:ilvl w:val="0"/>
          <w:numId w:val="1041"/>
        </w:numPr>
      </w:pPr>
      <w:r>
        <w:t xml:space="preserve">feedback provided to participants;</w:t>
      </w:r>
    </w:p>
    <w:p>
      <w:pPr>
        <w:pStyle w:val="Compact"/>
        <w:numPr>
          <w:ilvl w:val="0"/>
          <w:numId w:val="1041"/>
        </w:numPr>
      </w:pPr>
      <w:r>
        <w:t xml:space="preserve">Round-2 disposition;</w:t>
      </w:r>
    </w:p>
    <w:p>
      <w:pPr>
        <w:pStyle w:val="Compact"/>
        <w:numPr>
          <w:ilvl w:val="0"/>
          <w:numId w:val="1041"/>
        </w:numPr>
      </w:pPr>
      <w:r>
        <w:t xml:space="preserve">subgroup findings;</w:t>
      </w:r>
    </w:p>
    <w:p>
      <w:pPr>
        <w:pStyle w:val="Compact"/>
        <w:numPr>
          <w:ilvl w:val="0"/>
          <w:numId w:val="1041"/>
        </w:numPr>
      </w:pPr>
      <w:r>
        <w:t xml:space="preserve">and documented protocol deviations.</w:t>
      </w:r>
    </w:p>
    <w:bookmarkEnd w:id="44"/>
    <w:bookmarkStart w:id="46" w:name="sec-pis"/>
    <w:p>
      <w:pPr>
        <w:pStyle w:val="Heading2"/>
      </w:pPr>
      <w:r>
        <w:t xml:space="preserve">18.5 Appendix 5. Participant Information Sheet</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Principal Investigator: Prof. Ashraf Nabhan (Faculty of Medicine, MTI University)</w:t>
      </w:r>
    </w:p>
    <w:p>
      <w:pPr>
        <w:pStyle w:val="BodyText"/>
      </w:pPr>
      <w:r>
        <w:t xml:space="preserve">Research Coordinators: Sara Ibrahim Abdelkader and Omar Ahmed Salem</w:t>
      </w:r>
    </w:p>
    <w:p>
      <w:pPr>
        <w:pStyle w:val="BodyText"/>
      </w:pPr>
      <w:r>
        <w:rPr>
          <w:b/>
          <w:bCs/>
        </w:rPr>
        <w:t xml:space="preserve">Invitation to take part</w:t>
      </w:r>
    </w:p>
    <w:p>
      <w:pPr>
        <w:pStyle w:val="BodyText"/>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p>
      <w:pPr>
        <w:pStyle w:val="BodyText"/>
      </w:pPr>
      <w:r>
        <w:rPr>
          <w:b/>
          <w:bCs/>
        </w:rPr>
        <w:t xml:space="preserve">Why is this study being conducted?</w:t>
      </w:r>
    </w:p>
    <w:p>
      <w:pPr>
        <w:pStyle w:val="BodyText"/>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42"/>
        </w:numPr>
      </w:pPr>
      <w:r>
        <w:t xml:space="preserve">The barriers considered most important in limiting valid, relevant, and high-value medical research among early-career researchers in Egypt.</w:t>
      </w:r>
    </w:p>
    <w:p>
      <w:pPr>
        <w:pStyle w:val="Compact"/>
        <w:numPr>
          <w:ilvl w:val="0"/>
          <w:numId w:val="1042"/>
        </w:numPr>
      </w:pPr>
      <w:r>
        <w:t xml:space="preserve">Which barriers are considered modifiable.</w:t>
      </w:r>
    </w:p>
    <w:p>
      <w:pPr>
        <w:pStyle w:val="Compact"/>
        <w:numPr>
          <w:ilvl w:val="0"/>
          <w:numId w:val="1042"/>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p>
      <w:pPr>
        <w:pStyle w:val="BodyText"/>
      </w:pPr>
      <w:r>
        <w:rPr>
          <w:b/>
          <w:bCs/>
        </w:rPr>
        <w:t xml:space="preserve">Why have I been invited?</w:t>
      </w:r>
    </w:p>
    <w:p>
      <w:pPr>
        <w:pStyle w:val="BodyText"/>
      </w:pPr>
      <w:r>
        <w:t xml:space="preserve">You have been invited because of your experience in one or more areas relevant to medical research in Egypt. Eligible participants may include:</w:t>
      </w:r>
    </w:p>
    <w:p>
      <w:pPr>
        <w:pStyle w:val="Compact"/>
        <w:numPr>
          <w:ilvl w:val="0"/>
          <w:numId w:val="1043"/>
        </w:numPr>
      </w:pPr>
      <w:r>
        <w:t xml:space="preserve">Medical students, house officers, residents, teaching assistants, assistant lecturers, or equivalent early-career medical researchers.</w:t>
      </w:r>
    </w:p>
    <w:p>
      <w:pPr>
        <w:pStyle w:val="Compact"/>
        <w:numPr>
          <w:ilvl w:val="0"/>
          <w:numId w:val="1043"/>
        </w:numPr>
      </w:pPr>
      <w:r>
        <w:t xml:space="preserve">Research supervisors.</w:t>
      </w:r>
    </w:p>
    <w:p>
      <w:pPr>
        <w:pStyle w:val="Compact"/>
        <w:numPr>
          <w:ilvl w:val="0"/>
          <w:numId w:val="1043"/>
        </w:numPr>
      </w:pPr>
      <w:r>
        <w:t xml:space="preserve">Biostatisticians, epidemiologists, research methodologists, evidence-synthesis specialists, qualitative researchers, or related experts.</w:t>
      </w:r>
    </w:p>
    <w:p>
      <w:pPr>
        <w:pStyle w:val="Compact"/>
        <w:numPr>
          <w:ilvl w:val="0"/>
          <w:numId w:val="1043"/>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p>
      <w:pPr>
        <w:pStyle w:val="BodyText"/>
      </w:pPr>
      <w:r>
        <w:rPr>
          <w:b/>
          <w:bCs/>
        </w:rPr>
        <w:t xml:space="preserve">What will happen if I take part?</w:t>
      </w:r>
    </w:p>
    <w:p>
      <w:pPr>
        <w:pStyle w:val="BodyText"/>
      </w:pPr>
      <w:r>
        <w:rPr>
          <w:b/>
          <w:bCs/>
        </w:rPr>
        <w:t xml:space="preserve">Round 1</w:t>
      </w:r>
    </w:p>
    <w:p>
      <w:pPr>
        <w:pStyle w:val="BodyText"/>
      </w:pPr>
      <w:r>
        <w:t xml:space="preserve">If you agree to participate, you will complete an electronic consent form and a questionnaire that includes:</w:t>
      </w:r>
    </w:p>
    <w:p>
      <w:pPr>
        <w:pStyle w:val="Compact"/>
        <w:numPr>
          <w:ilvl w:val="0"/>
          <w:numId w:val="1044"/>
        </w:numPr>
      </w:pPr>
      <w:r>
        <w:t xml:space="preserve">A small number of background questions.</w:t>
      </w:r>
    </w:p>
    <w:p>
      <w:pPr>
        <w:pStyle w:val="Compact"/>
        <w:numPr>
          <w:ilvl w:val="0"/>
          <w:numId w:val="1044"/>
        </w:numPr>
      </w:pPr>
      <w:r>
        <w:t xml:space="preserve">Ratings of candidate</w:t>
      </w:r>
      <w:r>
        <w:t xml:space="preserve"> </w:t>
      </w:r>
      <w:r>
        <w:rPr>
          <w:b/>
          <w:bCs/>
        </w:rPr>
        <w:t xml:space="preserve">barriers</w:t>
      </w:r>
      <w:r>
        <w:t xml:space="preserve"> </w:t>
      </w:r>
      <w:r>
        <w:t xml:space="preserve">to valid, relevant, and high-value medical research among early-career researchers in Egypt, using:</w:t>
      </w:r>
    </w:p>
    <w:p>
      <w:pPr>
        <w:pStyle w:val="Compact"/>
        <w:numPr>
          <w:ilvl w:val="1"/>
          <w:numId w:val="1045"/>
        </w:numPr>
      </w:pPr>
      <w:r>
        <w:rPr>
          <w:b/>
          <w:bCs/>
        </w:rPr>
        <w:t xml:space="preserve">Importance:</w:t>
      </w:r>
      <w:r>
        <w:t xml:space="preserve"> </w:t>
      </w:r>
      <w:r>
        <w:t xml:space="preserve">1 = not important at all to 9 = extremely important.</w:t>
      </w:r>
    </w:p>
    <w:p>
      <w:pPr>
        <w:pStyle w:val="Compact"/>
        <w:numPr>
          <w:ilvl w:val="1"/>
          <w:numId w:val="1045"/>
        </w:numPr>
      </w:pPr>
      <w:r>
        <w:rPr>
          <w:b/>
          <w:bCs/>
        </w:rPr>
        <w:t xml:space="preserve">Modifiability:</w:t>
      </w:r>
      <w:r>
        <w:t xml:space="preserve"> </w:t>
      </w:r>
      <w:r>
        <w:t xml:space="preserve">1 = not modifiable at all to 9 = highly modifiable.</w:t>
      </w:r>
    </w:p>
    <w:p>
      <w:pPr>
        <w:pStyle w:val="Compact"/>
        <w:numPr>
          <w:ilvl w:val="0"/>
          <w:numId w:val="1044"/>
        </w:numPr>
      </w:pPr>
      <w:r>
        <w:t xml:space="preserve">Ratings of candidate</w:t>
      </w:r>
      <w:r>
        <w:t xml:space="preserve"> </w:t>
      </w:r>
      <w:r>
        <w:rPr>
          <w:b/>
          <w:bCs/>
        </w:rPr>
        <w:t xml:space="preserve">interventions</w:t>
      </w:r>
      <w:r>
        <w:t xml:space="preserve"> </w:t>
      </w:r>
      <w:r>
        <w:t xml:space="preserve">to address these barriers, using:</w:t>
      </w:r>
    </w:p>
    <w:p>
      <w:pPr>
        <w:pStyle w:val="Compact"/>
        <w:numPr>
          <w:ilvl w:val="1"/>
          <w:numId w:val="1046"/>
        </w:numPr>
      </w:pPr>
      <w:r>
        <w:rPr>
          <w:b/>
          <w:bCs/>
        </w:rPr>
        <w:t xml:space="preserve">Importance/potential impact:</w:t>
      </w:r>
      <w:r>
        <w:t xml:space="preserve"> </w:t>
      </w:r>
      <w:r>
        <w:t xml:space="preserve">1 = not important/no meaningful impact to 9 = extremely important/very high potential impact.</w:t>
      </w:r>
    </w:p>
    <w:p>
      <w:pPr>
        <w:pStyle w:val="Compact"/>
        <w:numPr>
          <w:ilvl w:val="1"/>
          <w:numId w:val="1046"/>
        </w:numPr>
      </w:pPr>
      <w:r>
        <w:rPr>
          <w:b/>
          <w:bCs/>
        </w:rPr>
        <w:t xml:space="preserve">Feasibility in the Egyptian context:</w:t>
      </w:r>
      <w:r>
        <w:t xml:space="preserve"> </w:t>
      </w:r>
      <w:r>
        <w:t xml:space="preserve">1 = not feasible to 9 = highly feasible.</w:t>
      </w:r>
    </w:p>
    <w:p>
      <w:pPr>
        <w:pStyle w:val="Compact"/>
        <w:numPr>
          <w:ilvl w:val="0"/>
          <w:numId w:val="1044"/>
        </w:numPr>
      </w:pPr>
      <w:r>
        <w:t xml:space="preserve">For each intervention, a question on the main level at which it should be implemented.</w:t>
      </w:r>
    </w:p>
    <w:p>
      <w:pPr>
        <w:pStyle w:val="Compact"/>
        <w:numPr>
          <w:ilvl w:val="0"/>
          <w:numId w:val="1044"/>
        </w:numPr>
      </w:pPr>
      <w:r>
        <w:t xml:space="preserve">Optional comments and suggestions for additional barriers or interventions.</w:t>
      </w:r>
    </w:p>
    <w:p>
      <w:pPr>
        <w:pStyle w:val="Compact"/>
        <w:numPr>
          <w:ilvl w:val="0"/>
          <w:numId w:val="1044"/>
        </w:numPr>
      </w:pPr>
      <w:r>
        <w:t xml:space="preserve">A question asking you to select up to three interventions that should be prioritized first.</w:t>
      </w:r>
    </w:p>
    <w:p>
      <w:pPr>
        <w:pStyle w:val="FirstParagraph"/>
      </w:pPr>
      <w:r>
        <w:t xml:space="preserve">You may select</w:t>
      </w:r>
      <w:r>
        <w:t xml:space="preserve"> </w:t>
      </w:r>
      <w:r>
        <w:rPr>
          <w:b/>
          <w:bCs/>
        </w:rPr>
        <w:t xml:space="preserve">“Cannot judge / insufficient experience”</w:t>
      </w:r>
      <w:r>
        <w:t xml:space="preserve"> </w:t>
      </w:r>
      <w:r>
        <w:t xml:space="preserve">for any item you do not feel able to rate.</w:t>
      </w:r>
    </w:p>
    <w:p>
      <w:pPr>
        <w:pStyle w:val="BodyText"/>
      </w:pPr>
      <w:r>
        <w:t xml:space="preserve">You will be asked to consider the Egyptian research system as a whole, rather than any particular person, department, university, hospital, or organization.</w:t>
      </w:r>
    </w:p>
    <w:p>
      <w:pPr>
        <w:pStyle w:val="BodyText"/>
      </w:pPr>
      <w:r>
        <w:t xml:space="preserve">Round 1 is expected to take approximately</w:t>
      </w:r>
      <w:r>
        <w:t xml:space="preserve"> </w:t>
      </w:r>
      <w:r>
        <w:rPr>
          <w:b/>
          <w:bCs/>
        </w:rPr>
        <w:t xml:space="preserve">30–35 minutes</w:t>
      </w:r>
      <w:r>
        <w:t xml:space="preserve">.</w:t>
      </w:r>
    </w:p>
    <w:p>
      <w:pPr>
        <w:pStyle w:val="BodyText"/>
      </w:pPr>
      <w:r>
        <w:rPr>
          <w:b/>
          <w:bCs/>
        </w:rPr>
        <w:t xml:space="preserve">Round 2</w:t>
      </w:r>
    </w:p>
    <w:p>
      <w:pPr>
        <w:pStyle w:val="BodyText"/>
      </w:pPr>
      <w:r>
        <w:t xml:space="preserve">Participants who complete Round 1 may be invited to Round 2. You will receive anonymized group-level feedback from Round 1 and will be asked to reconsider and re-rate retained or revised barrier and intervention items.</w:t>
      </w:r>
    </w:p>
    <w:p>
      <w:pPr>
        <w:pStyle w:val="BodyText"/>
      </w:pPr>
      <w:r>
        <w:t xml:space="preserve">You will also be asked to identify up to three interventions that should be prioritized first because they are both important and feasible in the Egyptian context.</w:t>
      </w:r>
    </w:p>
    <w:p>
      <w:pPr>
        <w:pStyle w:val="BodyText"/>
      </w:pPr>
      <w:r>
        <w:rPr>
          <w:b/>
          <w:bCs/>
        </w:rPr>
        <w:t xml:space="preserve">What should I consider when responding?</w:t>
      </w:r>
    </w:p>
    <w:p>
      <w:pPr>
        <w:pStyle w:val="BodyText"/>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7"/>
        </w:numPr>
      </w:pPr>
      <w:r>
        <w:t xml:space="preserve">Names of colleagues, supervisors, students, institutions, departments, hospitals, or organizations.</w:t>
      </w:r>
    </w:p>
    <w:p>
      <w:pPr>
        <w:pStyle w:val="Compact"/>
        <w:numPr>
          <w:ilvl w:val="0"/>
          <w:numId w:val="1047"/>
        </w:numPr>
      </w:pPr>
      <w:r>
        <w:t xml:space="preserve">Confidential organizational information.</w:t>
      </w:r>
    </w:p>
    <w:p>
      <w:pPr>
        <w:pStyle w:val="Compact"/>
        <w:numPr>
          <w:ilvl w:val="0"/>
          <w:numId w:val="1047"/>
        </w:numPr>
      </w:pPr>
      <w:r>
        <w:t xml:space="preserve">Allegations about named individuals.</w:t>
      </w:r>
    </w:p>
    <w:p>
      <w:pPr>
        <w:pStyle w:val="Compact"/>
        <w:numPr>
          <w:ilvl w:val="0"/>
          <w:numId w:val="1047"/>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p>
      <w:pPr>
        <w:pStyle w:val="BodyText"/>
      </w:pPr>
      <w:r>
        <w:rPr>
          <w:b/>
          <w:bCs/>
        </w:rPr>
        <w:t xml:space="preserve">Is participation voluntary?</w:t>
      </w:r>
    </w:p>
    <w:p>
      <w:pPr>
        <w:pStyle w:val="BodyText"/>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p>
      <w:pPr>
        <w:pStyle w:val="BodyText"/>
      </w:pPr>
      <w:r>
        <w:rPr>
          <w:b/>
          <w:bCs/>
        </w:rPr>
        <w:t xml:space="preserve">Can I withdraw?</w:t>
      </w:r>
    </w:p>
    <w:p>
      <w:pPr>
        <w:pStyle w:val="BodyText"/>
      </w:pPr>
      <w:r>
        <w:t xml:space="preserve">You may stop the survey at any time before submitting it, without giving a reason.</w:t>
      </w:r>
    </w:p>
    <w:p>
      <w:pPr>
        <w:pStyle w:val="BodyText"/>
      </w:pPr>
      <w:r>
        <w:t xml:space="preserve">After submitting a survey, you may request withdrawal of your data by contacting the research team at</w:t>
      </w:r>
      <w:r>
        <w:t xml:space="preserve"> </w:t>
      </w:r>
      <w:hyperlink r:id="rId45">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p>
      <w:pPr>
        <w:pStyle w:val="BodyText"/>
      </w:pPr>
      <w:r>
        <w:rPr>
          <w:b/>
          <w:bCs/>
        </w:rPr>
        <w:t xml:space="preserve">What are the possible risks?</w:t>
      </w:r>
    </w:p>
    <w:p>
      <w:pPr>
        <w:pStyle w:val="BodyText"/>
      </w:pPr>
      <w:r>
        <w:t xml:space="preserve">This study is expected to involve no more than minimal risk.</w:t>
      </w:r>
    </w:p>
    <w:p>
      <w:pPr>
        <w:pStyle w:val="BodyText"/>
      </w:pPr>
      <w:r>
        <w:t xml:space="preserve">Possible risks include:</w:t>
      </w:r>
    </w:p>
    <w:p>
      <w:pPr>
        <w:pStyle w:val="Compact"/>
        <w:numPr>
          <w:ilvl w:val="0"/>
          <w:numId w:val="1048"/>
        </w:numPr>
      </w:pPr>
      <w:r>
        <w:t xml:space="preserve">Minimal discomfort when considering barriers related to supervision, institutional support, research governance, or research culture.</w:t>
      </w:r>
    </w:p>
    <w:p>
      <w:pPr>
        <w:pStyle w:val="Compact"/>
        <w:numPr>
          <w:ilvl w:val="0"/>
          <w:numId w:val="1048"/>
        </w:numPr>
      </w:pPr>
      <w:r>
        <w:t xml:space="preserve">Concern that professional or institutional views could be recognized.</w:t>
      </w:r>
    </w:p>
    <w:p>
      <w:pPr>
        <w:pStyle w:val="FirstParagraph"/>
      </w:pPr>
      <w:r>
        <w:t xml:space="preserve">To reduce these risks:</w:t>
      </w:r>
    </w:p>
    <w:p>
      <w:pPr>
        <w:pStyle w:val="Compact"/>
        <w:numPr>
          <w:ilvl w:val="0"/>
          <w:numId w:val="1049"/>
        </w:numPr>
      </w:pPr>
      <w:r>
        <w:t xml:space="preserve">Participation will occur through an electronic survey rather than a group discussion.</w:t>
      </w:r>
    </w:p>
    <w:p>
      <w:pPr>
        <w:pStyle w:val="Compact"/>
        <w:numPr>
          <w:ilvl w:val="0"/>
          <w:numId w:val="1049"/>
        </w:numPr>
      </w:pPr>
      <w:r>
        <w:t xml:space="preserve">Individual ratings will not be shown to other participants.</w:t>
      </w:r>
    </w:p>
    <w:p>
      <w:pPr>
        <w:pStyle w:val="Compact"/>
        <w:numPr>
          <w:ilvl w:val="0"/>
          <w:numId w:val="1049"/>
        </w:numPr>
      </w:pPr>
      <w:r>
        <w:t xml:space="preserve">Feedback between rounds will be presented only in aggregate form.</w:t>
      </w:r>
    </w:p>
    <w:p>
      <w:pPr>
        <w:pStyle w:val="Compact"/>
        <w:numPr>
          <w:ilvl w:val="0"/>
          <w:numId w:val="1049"/>
        </w:numPr>
      </w:pPr>
      <w:r>
        <w:t xml:space="preserve">Identifying contact information will be stored separately from survey responses.</w:t>
      </w:r>
    </w:p>
    <w:p>
      <w:pPr>
        <w:pStyle w:val="Compact"/>
        <w:numPr>
          <w:ilvl w:val="0"/>
          <w:numId w:val="1049"/>
        </w:numPr>
      </w:pPr>
      <w:r>
        <w:t xml:space="preserve">The analysis dataset will use a study identifier rather than your name or email address.</w:t>
      </w:r>
    </w:p>
    <w:p>
      <w:pPr>
        <w:pStyle w:val="Compact"/>
        <w:numPr>
          <w:ilvl w:val="0"/>
          <w:numId w:val="1049"/>
        </w:numPr>
      </w:pPr>
      <w:r>
        <w:t xml:space="preserve">Reports will present aggregated findings and will avoid reporting small cells or details that could identify an individual or institution.</w:t>
      </w:r>
    </w:p>
    <w:p>
      <w:pPr>
        <w:pStyle w:val="Compact"/>
        <w:numPr>
          <w:ilvl w:val="0"/>
          <w:numId w:val="1049"/>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p>
      <w:pPr>
        <w:pStyle w:val="BodyText"/>
      </w:pPr>
      <w:r>
        <w:rPr>
          <w:b/>
          <w:bCs/>
        </w:rPr>
        <w:t xml:space="preserve">Are there benefits to taking part?</w:t>
      </w:r>
    </w:p>
    <w:p>
      <w:pPr>
        <w:pStyle w:val="BodyText"/>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p>
      <w:pPr>
        <w:pStyle w:val="BodyText"/>
      </w:pPr>
      <w:r>
        <w:rPr>
          <w:b/>
          <w:bCs/>
        </w:rPr>
        <w:t xml:space="preserve">Will I be paid or reimbursed?</w:t>
      </w:r>
    </w:p>
    <w:p>
      <w:pPr>
        <w:pStyle w:val="BodyText"/>
      </w:pPr>
      <w:r>
        <w:t xml:space="preserve">You will not receive payment. Participants who complete both rounds may receive a certificate of participation, if requested. The certificate will not include your ratings or comments.</w:t>
      </w:r>
    </w:p>
    <w:p>
      <w:pPr>
        <w:pStyle w:val="BodyText"/>
      </w:pPr>
      <w:r>
        <w:rPr>
          <w:b/>
          <w:bCs/>
        </w:rPr>
        <w:t xml:space="preserve">How will my information be kept confidential?</w:t>
      </w:r>
    </w:p>
    <w:p>
      <w:pPr>
        <w:pStyle w:val="BodyText"/>
      </w:pPr>
      <w:r>
        <w:t xml:space="preserve">The study will collect limited contact information, such as your name and email address, only to send invitations, reminders, and the Round-2 link. 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the study coordinators will have access to the contact and linkage file.</w:t>
      </w:r>
    </w:p>
    <w:p>
      <w:pPr>
        <w:pStyle w:val="BodyText"/>
      </w:pPr>
      <w:r>
        <w:t xml:space="preserve">Advisory board members, supervisors, institutional leaders, and other participants will not have access to identifiable individual responses. Individual ratings and comments will not be shared with other participants, supervisors, institutional leaders, or advisory board members in identifiable form.</w:t>
      </w:r>
    </w:p>
    <w:p>
      <w:pPr>
        <w:pStyle w:val="BodyText"/>
      </w:pPr>
      <w:r>
        <w:t xml:space="preserve">Survey data will use Microsoft Forms and be stored on Microsoft Sharepoint site of the study. This is a secure, password-protected, access-controlled institutional storage.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p>
      <w:pPr>
        <w:pStyle w:val="BodyText"/>
      </w:pPr>
      <w:r>
        <w:t xml:space="preserve">There will be no face-to-face group discussion, and you will not interact with other participants. Your individual responses will not be shared with other participants.</w:t>
      </w:r>
    </w:p>
    <w:p>
      <w:pPr>
        <w:pStyle w:val="BodyText"/>
      </w:pPr>
      <w:r>
        <w:rPr>
          <w:b/>
          <w:bCs/>
        </w:rPr>
        <w:t xml:space="preserve">How long will data be kept?</w:t>
      </w:r>
    </w:p>
    <w:p>
      <w:pPr>
        <w:pStyle w:val="BodyText"/>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p>
      <w:pPr>
        <w:pStyle w:val="BodyText"/>
      </w:pPr>
      <w:r>
        <w:rPr>
          <w:b/>
          <w:bCs/>
        </w:rPr>
        <w:t xml:space="preserve">Will my information be shared?</w:t>
      </w:r>
    </w:p>
    <w:p>
      <w:pPr>
        <w:pStyle w:val="BodyText"/>
      </w:pPr>
      <w:r>
        <w:t xml:space="preserve">The study may result in publications, conference presentations, and policy briefs.</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50"/>
        </w:numPr>
      </w:pPr>
      <w:r>
        <w:t xml:space="preserve">Aggregated study findings.</w:t>
      </w:r>
    </w:p>
    <w:p>
      <w:pPr>
        <w:pStyle w:val="Compact"/>
        <w:numPr>
          <w:ilvl w:val="0"/>
          <w:numId w:val="1050"/>
        </w:numPr>
      </w:pPr>
      <w:r>
        <w:t xml:space="preserve">The final questionnaire.</w:t>
      </w:r>
    </w:p>
    <w:p>
      <w:pPr>
        <w:pStyle w:val="Compact"/>
        <w:numPr>
          <w:ilvl w:val="0"/>
          <w:numId w:val="1050"/>
        </w:numPr>
      </w:pPr>
      <w:r>
        <w:t xml:space="preserve">Item-development documentation.</w:t>
      </w:r>
    </w:p>
    <w:p>
      <w:pPr>
        <w:pStyle w:val="Compact"/>
        <w:numPr>
          <w:ilvl w:val="0"/>
          <w:numId w:val="1050"/>
        </w:numPr>
      </w:pPr>
      <w:r>
        <w:t xml:space="preserve">De-identified numerical data.</w:t>
      </w:r>
    </w:p>
    <w:p>
      <w:pPr>
        <w:pStyle w:val="Compact"/>
        <w:numPr>
          <w:ilvl w:val="0"/>
          <w:numId w:val="1050"/>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51"/>
        </w:numPr>
      </w:pPr>
      <w:r>
        <w:t xml:space="preserve">Names, email addresses, and contact information.</w:t>
      </w:r>
    </w:p>
    <w:p>
      <w:pPr>
        <w:pStyle w:val="Compact"/>
        <w:numPr>
          <w:ilvl w:val="0"/>
          <w:numId w:val="1051"/>
        </w:numPr>
      </w:pPr>
      <w:r>
        <w:t xml:space="preserve">Consent records.</w:t>
      </w:r>
    </w:p>
    <w:p>
      <w:pPr>
        <w:pStyle w:val="Compact"/>
        <w:numPr>
          <w:ilvl w:val="0"/>
          <w:numId w:val="1051"/>
        </w:numPr>
      </w:pPr>
      <w:r>
        <w:t xml:space="preserve">The linkage file.</w:t>
      </w:r>
    </w:p>
    <w:p>
      <w:pPr>
        <w:pStyle w:val="Compact"/>
        <w:numPr>
          <w:ilvl w:val="0"/>
          <w:numId w:val="1051"/>
        </w:numPr>
      </w:pPr>
      <w:r>
        <w:t xml:space="preserve">Raw identifiable comments.</w:t>
      </w:r>
    </w:p>
    <w:p>
      <w:pPr>
        <w:pStyle w:val="Compact"/>
        <w:numPr>
          <w:ilvl w:val="0"/>
          <w:numId w:val="1051"/>
        </w:numPr>
      </w:pPr>
      <w:r>
        <w:t xml:space="preserve">Information that could reasonably identify an individual, institution, department, or organization.</w:t>
      </w:r>
    </w:p>
    <w:p>
      <w:pPr>
        <w:pStyle w:val="FirstParagraph"/>
      </w:pPr>
      <w:r>
        <w:rPr>
          <w:b/>
          <w:bCs/>
        </w:rPr>
        <w:t xml:space="preserve">Who has reviewed this study?</w:t>
      </w:r>
    </w:p>
    <w:p>
      <w:pPr>
        <w:pStyle w:val="BodyText"/>
      </w:pPr>
      <w:r>
        <w:t xml:space="preserve">This study has been reviewed by</w:t>
      </w:r>
      <w:r>
        <w:t xml:space="preserve"> </w:t>
      </w:r>
      <w:r>
        <w:rPr>
          <w:b/>
          <w:bCs/>
        </w:rPr>
        <w:t xml:space="preserve">Institutional Review Board, Faculty of Medicine, MTI University</w:t>
      </w:r>
    </w:p>
    <w:p>
      <w:pPr>
        <w:pStyle w:val="BodyText"/>
      </w:pPr>
      <w:r>
        <w:rPr>
          <w:b/>
          <w:bCs/>
        </w:rPr>
        <w:t xml:space="preserve">Who can I contact?</w:t>
      </w:r>
    </w:p>
    <w:p>
      <w:pPr>
        <w:pStyle w:val="BodyText"/>
      </w:pPr>
      <w:r>
        <w:t xml:space="preserve">For questions about the study, participation, withdrawal, or data handling, please contact the study team at</w:t>
      </w:r>
      <w:r>
        <w:t xml:space="preserve"> </w:t>
      </w:r>
      <w:hyperlink r:id="rId45">
        <w:r>
          <w:rPr>
            <w:rStyle w:val="Hyperlink"/>
          </w:rPr>
          <w:t xml:space="preserve">ecr@med.asu.edu.eg</w:t>
        </w:r>
      </w:hyperlink>
      <w:r>
        <w:t xml:space="preserve">.</w:t>
      </w:r>
    </w:p>
    <w:p>
      <w:pPr>
        <w:pStyle w:val="BodyText"/>
      </w:pPr>
      <w:r>
        <w:t xml:space="preserve">For questions about your rights as a research participant, or to make a complaint that you prefer not to discuss with the research team:</w:t>
      </w:r>
      <w:r>
        <w:t xml:space="preserve"> </w:t>
      </w:r>
      <w:r>
        <w:rPr>
          <w:b/>
          <w:bCs/>
        </w:rPr>
        <w:t xml:space="preserve">MTI University Institutional Review Board</w:t>
      </w:r>
      <w:r>
        <w:t xml:space="preserve"> </w:t>
      </w:r>
      <w:r>
        <w:t xml:space="preserve">at irb@mti.edu.eg</w:t>
      </w:r>
    </w:p>
    <w:bookmarkEnd w:id="46"/>
    <w:bookmarkStart w:id="47" w:name="sec-consent"/>
    <w:p>
      <w:pPr>
        <w:pStyle w:val="Heading2"/>
      </w:pPr>
      <w:r>
        <w:t xml:space="preserve">18.6 Appendix 6. Electronic Consent Form</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p>
      <w:pPr>
        <w:pStyle w:val="BodyText"/>
      </w:pPr>
      <w:r>
        <w:rPr>
          <w:b/>
          <w:bCs/>
        </w:rPr>
        <w:t xml:space="preserve">Eligibility confirmation</w:t>
      </w:r>
    </w:p>
    <w:p>
      <w:pPr>
        <w:pStyle w:val="Compact"/>
        <w:numPr>
          <w:ilvl w:val="0"/>
          <w:numId w:val="1052"/>
        </w:numPr>
      </w:pPr>
      <w:r>
        <w:t xml:space="preserve">I confirm that I am aged 18 years or older.</w:t>
      </w:r>
    </w:p>
    <w:p>
      <w:pPr>
        <w:pStyle w:val="Compact"/>
        <w:numPr>
          <w:ilvl w:val="0"/>
          <w:numId w:val="1053"/>
        </w:numPr>
      </w:pPr>
      <w:r>
        <w:t xml:space="preserve">Yes</w:t>
      </w:r>
    </w:p>
    <w:p>
      <w:pPr>
        <w:pStyle w:val="Compact"/>
        <w:numPr>
          <w:ilvl w:val="0"/>
          <w:numId w:val="1053"/>
        </w:numPr>
      </w:pPr>
      <w:r>
        <w:t xml:space="preserve">No</w:t>
      </w:r>
    </w:p>
    <w:p>
      <w:pPr>
        <w:pStyle w:val="Compact"/>
        <w:numPr>
          <w:ilvl w:val="0"/>
          <w:numId w:val="1054"/>
        </w:numPr>
      </w:pPr>
      <w:r>
        <w:t xml:space="preserve">I confirm that I have sufficient familiarity with the Egyptian medical research environment to provide informed judgments.</w:t>
      </w:r>
    </w:p>
    <w:p>
      <w:pPr>
        <w:pStyle w:val="Compact"/>
        <w:numPr>
          <w:ilvl w:val="0"/>
          <w:numId w:val="1055"/>
        </w:numPr>
      </w:pPr>
      <w:r>
        <w:t xml:space="preserve">Yes</w:t>
      </w:r>
    </w:p>
    <w:p>
      <w:pPr>
        <w:pStyle w:val="Compact"/>
        <w:numPr>
          <w:ilvl w:val="0"/>
          <w:numId w:val="1055"/>
        </w:numPr>
      </w:pPr>
      <w:r>
        <w:t xml:space="preserve">No</w:t>
      </w:r>
    </w:p>
    <w:p>
      <w:pPr>
        <w:pStyle w:val="Compact"/>
        <w:numPr>
          <w:ilvl w:val="0"/>
          <w:numId w:val="1056"/>
        </w:numPr>
      </w:pPr>
      <w:r>
        <w:t xml:space="preserve">I confirm that I meet at least one study eligibility criterion described in the Participant Information Sheet.</w:t>
      </w:r>
    </w:p>
    <w:p>
      <w:pPr>
        <w:pStyle w:val="Compact"/>
        <w:numPr>
          <w:ilvl w:val="0"/>
          <w:numId w:val="1057"/>
        </w:numPr>
      </w:pPr>
      <w:r>
        <w:t xml:space="preserve">Yes</w:t>
      </w:r>
    </w:p>
    <w:p>
      <w:pPr>
        <w:pStyle w:val="Compact"/>
        <w:numPr>
          <w:ilvl w:val="0"/>
          <w:numId w:val="1057"/>
        </w:numPr>
      </w:pPr>
      <w:r>
        <w:t xml:space="preserve">No</w:t>
      </w:r>
    </w:p>
    <w:p>
      <w:pPr>
        <w:pStyle w:val="Compact"/>
        <w:numPr>
          <w:ilvl w:val="0"/>
          <w:numId w:val="1058"/>
        </w:numPr>
      </w:pPr>
      <w:r>
        <w:t xml:space="preserve">I confirm that I can complete the questionnaire in the language provided.</w:t>
      </w:r>
    </w:p>
    <w:p>
      <w:pPr>
        <w:pStyle w:val="Compact"/>
        <w:numPr>
          <w:ilvl w:val="0"/>
          <w:numId w:val="1059"/>
        </w:numPr>
      </w:pPr>
      <w:r>
        <w:t xml:space="preserve">Yes</w:t>
      </w:r>
    </w:p>
    <w:p>
      <w:pPr>
        <w:pStyle w:val="Compact"/>
        <w:numPr>
          <w:ilvl w:val="0"/>
          <w:numId w:val="1059"/>
        </w:numPr>
      </w:pPr>
      <w:r>
        <w:t xml:space="preserve">No</w:t>
      </w:r>
    </w:p>
    <w:p>
      <w:pPr>
        <w:pStyle w:val="FirstParagraph"/>
      </w:pPr>
      <w:r>
        <w:t xml:space="preserve">If “No” is selected for any required eligibility item, the survey should end with a polite ineligibility message.</w:t>
      </w:r>
    </w:p>
    <w:p>
      <w:pPr>
        <w:pStyle w:val="BodyText"/>
      </w:pPr>
      <w:r>
        <w:rPr>
          <w:b/>
          <w:bCs/>
        </w:rPr>
        <w:t xml:space="preserve">Consent statements</w:t>
      </w:r>
    </w:p>
    <w:p>
      <w:pPr>
        <w:pStyle w:val="Compact"/>
        <w:numPr>
          <w:ilvl w:val="0"/>
          <w:numId w:val="1060"/>
        </w:numPr>
      </w:pPr>
      <w:r>
        <w:t xml:space="preserve">I have read the Participant Information Sheet and have had the opportunity to ask questions about the study.</w:t>
      </w:r>
    </w:p>
    <w:p>
      <w:pPr>
        <w:pStyle w:val="Compact"/>
        <w:numPr>
          <w:ilvl w:val="0"/>
          <w:numId w:val="1061"/>
        </w:numPr>
      </w:pPr>
      <w:r>
        <w:t xml:space="preserve">Yes</w:t>
      </w:r>
    </w:p>
    <w:p>
      <w:pPr>
        <w:pStyle w:val="Compact"/>
        <w:numPr>
          <w:ilvl w:val="0"/>
          <w:numId w:val="1061"/>
        </w:numPr>
      </w:pPr>
      <w:r>
        <w:t xml:space="preserve">No</w:t>
      </w:r>
    </w:p>
    <w:p>
      <w:pPr>
        <w:pStyle w:val="Compact"/>
        <w:numPr>
          <w:ilvl w:val="0"/>
          <w:numId w:val="1062"/>
        </w:numPr>
      </w:pPr>
      <w:r>
        <w:t xml:space="preserve">I understand that participation is voluntary and that I may decline to participate or stop the questionnaire at any time before submission without penalty or negative consequences.</w:t>
      </w:r>
    </w:p>
    <w:p>
      <w:pPr>
        <w:pStyle w:val="Compact"/>
        <w:numPr>
          <w:ilvl w:val="0"/>
          <w:numId w:val="1063"/>
        </w:numPr>
      </w:pPr>
      <w:r>
        <w:t xml:space="preserve">Yes</w:t>
      </w:r>
    </w:p>
    <w:p>
      <w:pPr>
        <w:pStyle w:val="Compact"/>
        <w:numPr>
          <w:ilvl w:val="0"/>
          <w:numId w:val="1063"/>
        </w:numPr>
      </w:pPr>
      <w:r>
        <w:t xml:space="preserve">No</w:t>
      </w:r>
    </w:p>
    <w:p>
      <w:pPr>
        <w:pStyle w:val="Compact"/>
        <w:numPr>
          <w:ilvl w:val="0"/>
          <w:numId w:val="1064"/>
        </w:numPr>
      </w:pPr>
      <w:r>
        <w:t xml:space="preserve">I understand that I may request withdrawal of my submitted data while it remains identifiable and before it has been de-identified, locked, or incorporated into aggregate analyses.</w:t>
      </w:r>
    </w:p>
    <w:p>
      <w:pPr>
        <w:pStyle w:val="Compact"/>
        <w:numPr>
          <w:ilvl w:val="0"/>
          <w:numId w:val="1065"/>
        </w:numPr>
      </w:pPr>
      <w:r>
        <w:t xml:space="preserve">Yes</w:t>
      </w:r>
    </w:p>
    <w:p>
      <w:pPr>
        <w:pStyle w:val="Compact"/>
        <w:numPr>
          <w:ilvl w:val="0"/>
          <w:numId w:val="1065"/>
        </w:numPr>
      </w:pPr>
      <w:r>
        <w:t xml:space="preserve">No</w:t>
      </w:r>
    </w:p>
    <w:p>
      <w:pPr>
        <w:pStyle w:val="Compact"/>
        <w:numPr>
          <w:ilvl w:val="0"/>
          <w:numId w:val="1066"/>
        </w:numPr>
      </w:pPr>
      <w:r>
        <w:t xml:space="preserve">I understand that the study involves a Round-1 questionnaire and, if I complete Round 1, a possible invitation to Round 2.</w:t>
      </w:r>
    </w:p>
    <w:p>
      <w:pPr>
        <w:pStyle w:val="Compact"/>
        <w:numPr>
          <w:ilvl w:val="0"/>
          <w:numId w:val="1067"/>
        </w:numPr>
      </w:pPr>
      <w:r>
        <w:t xml:space="preserve">Yes</w:t>
      </w:r>
    </w:p>
    <w:p>
      <w:pPr>
        <w:pStyle w:val="Compact"/>
        <w:numPr>
          <w:ilvl w:val="0"/>
          <w:numId w:val="1067"/>
        </w:numPr>
      </w:pPr>
      <w:r>
        <w:t xml:space="preserve">No</w:t>
      </w:r>
    </w:p>
    <w:p>
      <w:pPr>
        <w:pStyle w:val="Compact"/>
        <w:numPr>
          <w:ilvl w:val="0"/>
          <w:numId w:val="1068"/>
        </w:numPr>
      </w:pPr>
      <w:r>
        <w:t xml:space="preserve">I understand that Round 2 will include anonymized group-level feedback and that I may be asked to re-rate barriers and rate possible interventions.</w:t>
      </w:r>
    </w:p>
    <w:p>
      <w:pPr>
        <w:pStyle w:val="Compact"/>
        <w:numPr>
          <w:ilvl w:val="0"/>
          <w:numId w:val="1069"/>
        </w:numPr>
      </w:pPr>
      <w:r>
        <w:t xml:space="preserve">Yes</w:t>
      </w:r>
    </w:p>
    <w:p>
      <w:pPr>
        <w:pStyle w:val="Compact"/>
        <w:numPr>
          <w:ilvl w:val="0"/>
          <w:numId w:val="1069"/>
        </w:numPr>
      </w:pPr>
      <w:r>
        <w:t xml:space="preserve">No</w:t>
      </w:r>
    </w:p>
    <w:p>
      <w:pPr>
        <w:pStyle w:val="Compact"/>
        <w:numPr>
          <w:ilvl w:val="0"/>
          <w:numId w:val="1070"/>
        </w:numPr>
      </w:pPr>
      <w:r>
        <w:t xml:space="preserve">I consent to participate in Round 1 of this study.</w:t>
      </w:r>
    </w:p>
    <w:p>
      <w:pPr>
        <w:pStyle w:val="Compact"/>
        <w:numPr>
          <w:ilvl w:val="0"/>
          <w:numId w:val="1071"/>
        </w:numPr>
      </w:pPr>
      <w:r>
        <w:t xml:space="preserve">Yes</w:t>
      </w:r>
    </w:p>
    <w:p>
      <w:pPr>
        <w:pStyle w:val="Compact"/>
        <w:numPr>
          <w:ilvl w:val="0"/>
          <w:numId w:val="1071"/>
        </w:numPr>
      </w:pPr>
      <w:r>
        <w:t xml:space="preserve">No</w:t>
      </w:r>
    </w:p>
    <w:p>
      <w:pPr>
        <w:pStyle w:val="FirstParagraph"/>
      </w:pPr>
      <w:r>
        <w:rPr>
          <w:b/>
          <w:bCs/>
        </w:rPr>
        <w:t xml:space="preserve">Consent for contact and linkage</w:t>
      </w:r>
    </w:p>
    <w:p>
      <w:pPr>
        <w:pStyle w:val="Compact"/>
        <w:numPr>
          <w:ilvl w:val="0"/>
          <w:numId w:val="1072"/>
        </w:numPr>
      </w:pPr>
      <w:r>
        <w:t xml:space="preserve">I consent to the research team retaining my name and email address separately from my survey responses for the purpose of sending reminders, inviting me to Round 2, responding to a withdrawal request, and maintaining study records.</w:t>
      </w:r>
    </w:p>
    <w:p>
      <w:pPr>
        <w:pStyle w:val="Compact"/>
        <w:numPr>
          <w:ilvl w:val="0"/>
          <w:numId w:val="1073"/>
        </w:numPr>
      </w:pPr>
      <w:r>
        <w:t xml:space="preserve">Yes</w:t>
      </w:r>
    </w:p>
    <w:p>
      <w:pPr>
        <w:pStyle w:val="Compact"/>
        <w:numPr>
          <w:ilvl w:val="0"/>
          <w:numId w:val="1073"/>
        </w:numPr>
      </w:pPr>
      <w:r>
        <w:t xml:space="preserve">No</w:t>
      </w:r>
    </w:p>
    <w:p>
      <w:pPr>
        <w:pStyle w:val="Compact"/>
        <w:numPr>
          <w:ilvl w:val="0"/>
          <w:numId w:val="1074"/>
        </w:numPr>
      </w:pPr>
      <w:r>
        <w:t xml:space="preserve">I consent to the use of a unique study identifier to link my Round-1 and Round-2 responses.</w:t>
      </w:r>
    </w:p>
    <w:p>
      <w:pPr>
        <w:pStyle w:val="Compact"/>
        <w:numPr>
          <w:ilvl w:val="0"/>
          <w:numId w:val="1075"/>
        </w:numPr>
      </w:pPr>
      <w:r>
        <w:t xml:space="preserve">Yes</w:t>
      </w:r>
    </w:p>
    <w:p>
      <w:pPr>
        <w:pStyle w:val="Compact"/>
        <w:numPr>
          <w:ilvl w:val="0"/>
          <w:numId w:val="1075"/>
        </w:numPr>
      </w:pPr>
      <w:r>
        <w:t xml:space="preserve">No</w:t>
      </w:r>
    </w:p>
    <w:p>
      <w:pPr>
        <w:pStyle w:val="Compact"/>
        <w:numPr>
          <w:ilvl w:val="0"/>
          <w:numId w:val="1076"/>
        </w:numPr>
      </w:pPr>
      <w:r>
        <w:t xml:space="preserve">I understand that my individual ratings and comments will not be shared with other participants, supervisors, institutional leaders, or advisory board members in identifiable form.</w:t>
      </w:r>
    </w:p>
    <w:p>
      <w:pPr>
        <w:pStyle w:val="Compact"/>
        <w:numPr>
          <w:ilvl w:val="0"/>
          <w:numId w:val="1077"/>
        </w:numPr>
      </w:pPr>
      <w:r>
        <w:t xml:space="preserve">Yes</w:t>
      </w:r>
    </w:p>
    <w:p>
      <w:pPr>
        <w:pStyle w:val="Compact"/>
        <w:numPr>
          <w:ilvl w:val="0"/>
          <w:numId w:val="1077"/>
        </w:numPr>
      </w:pPr>
      <w:r>
        <w:t xml:space="preserve">No</w:t>
      </w:r>
    </w:p>
    <w:p>
      <w:pPr>
        <w:pStyle w:val="Compact"/>
        <w:numPr>
          <w:ilvl w:val="0"/>
          <w:numId w:val="1078"/>
        </w:numPr>
      </w:pPr>
      <w:r>
        <w:t xml:space="preserve">I understand that the research team will report findings in aggregate form and will take reasonable steps to reduce the risk that I, my institution, or another person can be identified.</w:t>
      </w:r>
    </w:p>
    <w:p>
      <w:pPr>
        <w:pStyle w:val="Compact"/>
        <w:numPr>
          <w:ilvl w:val="0"/>
          <w:numId w:val="1079"/>
        </w:numPr>
      </w:pPr>
      <w:r>
        <w:t xml:space="preserve">Yes</w:t>
      </w:r>
    </w:p>
    <w:p>
      <w:pPr>
        <w:pStyle w:val="Compact"/>
        <w:numPr>
          <w:ilvl w:val="0"/>
          <w:numId w:val="1079"/>
        </w:numPr>
      </w:pPr>
      <w:r>
        <w:t xml:space="preserve">No</w:t>
      </w:r>
    </w:p>
    <w:p>
      <w:pPr>
        <w:pStyle w:val="FirstParagraph"/>
      </w:pPr>
      <w:r>
        <w:rPr>
          <w:b/>
          <w:bCs/>
        </w:rPr>
        <w:t xml:space="preserve">Consent for quotations</w:t>
      </w:r>
    </w:p>
    <w:p>
      <w:pPr>
        <w:pStyle w:val="Compact"/>
        <w:numPr>
          <w:ilvl w:val="0"/>
          <w:numId w:val="1080"/>
        </w:numPr>
      </w:pPr>
      <w:r>
        <w:t xml:space="preserve">I understand that I may provide optional free-text comments. I agree that de-identified and redacted excerpts from my comments may be used in study reports, publications, presentations, policy briefs, or group feedback materials.</w:t>
      </w:r>
    </w:p>
    <w:p>
      <w:pPr>
        <w:pStyle w:val="Compact"/>
        <w:numPr>
          <w:ilvl w:val="0"/>
          <w:numId w:val="1081"/>
        </w:numPr>
      </w:pPr>
      <w:r>
        <w:t xml:space="preserve">Yes</w:t>
      </w:r>
    </w:p>
    <w:p>
      <w:pPr>
        <w:pStyle w:val="Compact"/>
        <w:numPr>
          <w:ilvl w:val="0"/>
          <w:numId w:val="1081"/>
        </w:numPr>
      </w:pPr>
      <w:r>
        <w:t xml:space="preserve">No</w:t>
      </w:r>
    </w:p>
    <w:p>
      <w:pPr>
        <w:pStyle w:val="Compact"/>
        <w:numPr>
          <w:ilvl w:val="0"/>
          <w:numId w:val="1081"/>
        </w:numPr>
      </w:pPr>
      <w:r>
        <w:t xml:space="preserve">I do not plan to provide comments</w:t>
      </w:r>
    </w:p>
    <w:p>
      <w:pPr>
        <w:pStyle w:val="FirstParagraph"/>
      </w:pPr>
      <w:r>
        <w:t xml:space="preserve">If “No” is selected, the participant may still provide comments for internal item development only. Otherwise, the free-text field should be hidden or disabled for that participant.</w:t>
      </w:r>
    </w:p>
    <w:p>
      <w:pPr>
        <w:pStyle w:val="BodyText"/>
      </w:pPr>
      <w:r>
        <w:rPr>
          <w:b/>
          <w:bCs/>
        </w:rPr>
        <w:t xml:space="preserve">Consent for future use and data sharing</w:t>
      </w:r>
    </w:p>
    <w:p>
      <w:pPr>
        <w:pStyle w:val="Compact"/>
        <w:numPr>
          <w:ilvl w:val="0"/>
          <w:numId w:val="1082"/>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p>
    <w:p>
      <w:pPr>
        <w:pStyle w:val="Compact"/>
        <w:numPr>
          <w:ilvl w:val="0"/>
          <w:numId w:val="1083"/>
        </w:numPr>
      </w:pPr>
      <w:r>
        <w:t xml:space="preserve">Yes</w:t>
      </w:r>
    </w:p>
    <w:p>
      <w:pPr>
        <w:pStyle w:val="Compact"/>
        <w:numPr>
          <w:ilvl w:val="0"/>
          <w:numId w:val="1083"/>
        </w:numPr>
      </w:pPr>
      <w:r>
        <w:t xml:space="preserve">No</w:t>
      </w:r>
    </w:p>
    <w:p>
      <w:pPr>
        <w:pStyle w:val="Compact"/>
        <w:numPr>
          <w:ilvl w:val="0"/>
          <w:numId w:val="1084"/>
        </w:numPr>
      </w:pPr>
      <w:r>
        <w:t xml:space="preserve">I agree that de-identified numerical data, the questionnaire, and analytic code may be shared in a research repository, provided that information that could identify me, my institution, or another person is removed.</w:t>
      </w:r>
    </w:p>
    <w:p>
      <w:pPr>
        <w:pStyle w:val="Compact"/>
        <w:numPr>
          <w:ilvl w:val="0"/>
          <w:numId w:val="1085"/>
        </w:numPr>
      </w:pPr>
      <w:r>
        <w:t xml:space="preserve">Yes</w:t>
      </w:r>
    </w:p>
    <w:p>
      <w:pPr>
        <w:pStyle w:val="Compact"/>
        <w:numPr>
          <w:ilvl w:val="0"/>
          <w:numId w:val="1085"/>
        </w:numPr>
      </w:pPr>
      <w:r>
        <w:t xml:space="preserve">No</w:t>
      </w:r>
    </w:p>
    <w:p>
      <w:pPr>
        <w:pStyle w:val="FirstParagraph"/>
      </w:pPr>
      <w:r>
        <w:t xml:space="preserve">These optional decisions must not affect eligibility to participate in the main study.</w:t>
      </w:r>
    </w:p>
    <w:p>
      <w:pPr>
        <w:pStyle w:val="BodyText"/>
      </w:pPr>
      <w:r>
        <w:rPr>
          <w:b/>
          <w:bCs/>
        </w:rPr>
        <w:t xml:space="preserve">Confirmation</w:t>
      </w:r>
    </w:p>
    <w:p>
      <w:pPr>
        <w:pStyle w:val="Compact"/>
        <w:numPr>
          <w:ilvl w:val="0"/>
          <w:numId w:val="1086"/>
        </w:numPr>
      </w:pPr>
      <w:r>
        <w:t xml:space="preserve">By selecting “I agree” below, I confirm that I voluntarily consent to participate in this study.</w:t>
      </w:r>
    </w:p>
    <w:p>
      <w:pPr>
        <w:pStyle w:val="Compact"/>
        <w:numPr>
          <w:ilvl w:val="0"/>
          <w:numId w:val="1087"/>
        </w:numPr>
      </w:pPr>
      <w:r>
        <w:t xml:space="preserve">I agree and wish to continue to the Round-1 questionnaire.</w:t>
      </w:r>
    </w:p>
    <w:p>
      <w:pPr>
        <w:pStyle w:val="Compact"/>
        <w:numPr>
          <w:ilvl w:val="0"/>
          <w:numId w:val="1087"/>
        </w:numPr>
      </w:pPr>
      <w:r>
        <w:t xml:space="preserve">I do not agree and do not wish to participate.</w:t>
      </w:r>
    </w:p>
    <w:p>
      <w:pPr>
        <w:pStyle w:val="FirstParagraph"/>
      </w:pPr>
      <w:r>
        <w:rPr>
          <w:b/>
          <w:bCs/>
        </w:rPr>
        <w:t xml:space="preserve">Electronic record</w:t>
      </w:r>
    </w:p>
    <w:p>
      <w:pPr>
        <w:pStyle w:val="BodyText"/>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45">
        <w:r>
          <w:rPr>
            <w:rStyle w:val="Hyperlink"/>
          </w:rPr>
          <w:t xml:space="preserve">ecr@med.asu.edu.eg</w:t>
        </w:r>
      </w:hyperlink>
      <w:r>
        <w:t xml:space="preserve">.</w:t>
      </w:r>
    </w:p>
    <w:bookmarkEnd w:id="47"/>
    <w:bookmarkEnd w:id="48"/>
    <w:bookmarkStart w:id="70" w:name="references"/>
    <w:p>
      <w:pPr>
        <w:pStyle w:val="Heading1"/>
      </w:pPr>
      <w:r>
        <w:t xml:space="preserve">19. References</w:t>
      </w:r>
    </w:p>
    <w:bookmarkStart w:id="69" w:name="refs"/>
    <w:bookmarkStart w:id="50" w:name="ref-chalmers2009"/>
    <w:p>
      <w:pPr>
        <w:pStyle w:val="Bibliography"/>
      </w:pPr>
      <w:r>
        <w:t xml:space="preserve">1. Chalmers I, Glasziou P.</w:t>
      </w:r>
      <w:r>
        <w:t xml:space="preserve"> </w:t>
      </w:r>
      <w:hyperlink r:id="rId49">
        <w:r>
          <w:rPr>
            <w:rStyle w:val="Hyperlink"/>
          </w:rPr>
          <w:t xml:space="preserve">Avoidable waste in the production and reporting of research evidence</w:t>
        </w:r>
      </w:hyperlink>
      <w:r>
        <w:t xml:space="preserve">. The Lancet. 2009;374:86–9.</w:t>
      </w:r>
    </w:p>
    <w:bookmarkEnd w:id="50"/>
    <w:bookmarkStart w:id="52" w:name="ref-glaziou2018"/>
    <w:p>
      <w:pPr>
        <w:pStyle w:val="Bibliography"/>
      </w:pPr>
      <w:r>
        <w:t xml:space="preserve">2. Glasziou P, Chalmers I.</w:t>
      </w:r>
      <w:r>
        <w:t xml:space="preserve"> </w:t>
      </w:r>
      <w:hyperlink r:id="rId51">
        <w:r>
          <w:rPr>
            <w:rStyle w:val="Hyperlink"/>
          </w:rPr>
          <w:t xml:space="preserve">Research waste is still a scandal–an essay by paul glasziou and iain chalmers</w:t>
        </w:r>
      </w:hyperlink>
      <w:r>
        <w:t xml:space="preserve">. BMJ. 2018;363:k4645.</w:t>
      </w:r>
    </w:p>
    <w:bookmarkEnd w:id="52"/>
    <w:bookmarkStart w:id="54" w:name="ref-moher2016"/>
    <w:p>
      <w:pPr>
        <w:pStyle w:val="Bibliography"/>
      </w:pPr>
      <w:r>
        <w:t xml:space="preserve">3. Moher D, Glasziou P, Chalmers I, Nasser M, Bossuyt PMM, Korevaar DA, et al.</w:t>
      </w:r>
      <w:r>
        <w:t xml:space="preserve"> </w:t>
      </w:r>
      <w:hyperlink r:id="rId53">
        <w:r>
          <w:rPr>
            <w:rStyle w:val="Hyperlink"/>
          </w:rPr>
          <w:t xml:space="preserve">Increasing value and reducing waste in biomedical research: Who’s listening?</w:t>
        </w:r>
      </w:hyperlink>
      <w:r>
        <w:t xml:space="preserve"> The Lancet. 2016;387:1573–86.</w:t>
      </w:r>
    </w:p>
    <w:bookmarkEnd w:id="54"/>
    <w:bookmarkStart w:id="56"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55">
        <w:r>
          <w:rPr>
            <w:rStyle w:val="Hyperlink"/>
          </w:rPr>
          <w:t xml:space="preserve">http://dx.doi.org/10.1016/S0140-6736(13)62229-1</w:t>
        </w:r>
      </w:hyperlink>
    </w:p>
    <w:bookmarkEnd w:id="56"/>
    <w:bookmarkStart w:id="58"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57">
        <w:r>
          <w:rPr>
            <w:rStyle w:val="Hyperlink"/>
          </w:rPr>
          <w:t xml:space="preserve">http://dx.doi.org/10.1016/S0140-6736(13)62227-8</w:t>
        </w:r>
      </w:hyperlink>
    </w:p>
    <w:bookmarkEnd w:id="58"/>
    <w:bookmarkStart w:id="60"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59">
        <w:r>
          <w:rPr>
            <w:rStyle w:val="Hyperlink"/>
          </w:rPr>
          <w:t xml:space="preserve">http://dx.doi.org/10.1016/S0140-6736(13)62297-7</w:t>
        </w:r>
      </w:hyperlink>
    </w:p>
    <w:bookmarkEnd w:id="60"/>
    <w:bookmarkStart w:id="62" w:name="ref-jorm2025"/>
    <w:p>
      <w:pPr>
        <w:pStyle w:val="Bibliography"/>
      </w:pPr>
      <w:r>
        <w:t xml:space="preserve">7. Jorm A. Using the delphi method to establish expert consensus [Internet]. Springer Nature Singapore; 2025. Available from:</w:t>
      </w:r>
      <w:r>
        <w:t xml:space="preserve"> </w:t>
      </w:r>
      <w:hyperlink r:id="rId61">
        <w:r>
          <w:rPr>
            <w:rStyle w:val="Hyperlink"/>
          </w:rPr>
          <w:t xml:space="preserve">http://dx.doi.org/10.1007/978-981-96-8357-4</w:t>
        </w:r>
      </w:hyperlink>
    </w:p>
    <w:bookmarkEnd w:id="62"/>
    <w:bookmarkStart w:id="64" w:name="ref-RCoreTeam2026"/>
    <w:p>
      <w:pPr>
        <w:pStyle w:val="Bibliography"/>
      </w:pPr>
      <w:r>
        <w:t xml:space="preserve">8. R Core Team. R: A language and environment for statistical computing [Internet]. Vienna, Austria: R Foundation for Statistical Computing; 2026. Available from:</w:t>
      </w:r>
      <w:r>
        <w:t xml:space="preserve"> </w:t>
      </w:r>
      <w:hyperlink r:id="rId63">
        <w:r>
          <w:rPr>
            <w:rStyle w:val="Hyperlink"/>
          </w:rPr>
          <w:t xml:space="preserve">https://www.R-project.org/</w:t>
        </w:r>
      </w:hyperlink>
    </w:p>
    <w:bookmarkEnd w:id="64"/>
    <w:bookmarkStart w:id="66" w:name="ref-RStudio2026"/>
    <w:p>
      <w:pPr>
        <w:pStyle w:val="Bibliography"/>
      </w:pPr>
      <w:r>
        <w:t xml:space="preserve">9. Posit Software, PBC. RStudio: Integrated development environment for r [Internet]. Boston, MA: Posit Software, PBC; 2026. Available from:</w:t>
      </w:r>
      <w:r>
        <w:t xml:space="preserve"> </w:t>
      </w:r>
      <w:hyperlink r:id="rId65">
        <w:r>
          <w:rPr>
            <w:rStyle w:val="Hyperlink"/>
          </w:rPr>
          <w:t xml:space="preserve">https://posit.co/products/open-source/rstudio/</w:t>
        </w:r>
      </w:hyperlink>
    </w:p>
    <w:bookmarkEnd w:id="66"/>
    <w:bookmarkStart w:id="68" w:name="ref-gattrell2024"/>
    <w:p>
      <w:pPr>
        <w:pStyle w:val="Bibliography"/>
      </w:pPr>
      <w:r>
        <w:t xml:space="preserve">10. Gattrell WT, Logullo P, Zuuren EJ van, Price A, Hughes EL, Blazey P, et al.</w:t>
      </w:r>
      <w:r>
        <w:t xml:space="preserve"> </w:t>
      </w:r>
      <w:hyperlink r:id="rId67">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68"/>
    <w:bookmarkEnd w:id="69"/>
    <w:bookmarkEnd w:id="70"/>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1"/>
  </w:num>
  <w:num w:numId="10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1"/>
  </w:num>
  <w:num w:numId="106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3">
    <w:abstractNumId w:val="991"/>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1"/>
  </w:num>
  <w:num w:numId="106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7">
    <w:abstractNumId w:val="991"/>
  </w:num>
  <w:num w:numId="106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9">
    <w:abstractNumId w:val="991"/>
  </w:num>
  <w:num w:numId="107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1"/>
  </w:num>
  <w:num w:numId="107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7">
    <w:abstractNumId w:val="991"/>
  </w:num>
  <w:num w:numId="107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1"/>
  </w:num>
  <w:num w:numId="108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1">
    <w:abstractNumId w:val="991"/>
  </w:num>
  <w:num w:numId="108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3">
    <w:abstractNumId w:val="991"/>
  </w:num>
  <w:num w:numId="108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5">
    <w:abstractNumId w:val="991"/>
  </w:num>
  <w:num w:numId="108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61" Target="http://dx.doi.org/10.1007/978-981-96-8357-4" TargetMode="External" /><Relationship Type="http://schemas.openxmlformats.org/officeDocument/2006/relationships/hyperlink" Id="rId57" Target="http://dx.doi.org/10.1016/S0140-6736(13)62227-8" TargetMode="External" /><Relationship Type="http://schemas.openxmlformats.org/officeDocument/2006/relationships/hyperlink" Id="rId55" Target="http://dx.doi.org/10.1016/S0140-6736(13)62229-1" TargetMode="External" /><Relationship Type="http://schemas.openxmlformats.org/officeDocument/2006/relationships/hyperlink" Id="rId59" Target="http://dx.doi.org/10.1016/S0140-6736(13)62297-7" TargetMode="External" /><Relationship Type="http://schemas.openxmlformats.org/officeDocument/2006/relationships/hyperlink" Id="rId49" Target="https://doi.org/10.1016/S0140-6736(09)60329-9" TargetMode="External" /><Relationship Type="http://schemas.openxmlformats.org/officeDocument/2006/relationships/hyperlink" Id="rId53" Target="https://doi.org/10.1016/S0140-6736(15)00307-4" TargetMode="External" /><Relationship Type="http://schemas.openxmlformats.org/officeDocument/2006/relationships/hyperlink" Id="rId51" Target="https://doi.org/10.1136/bmj.k4645" TargetMode="External" /><Relationship Type="http://schemas.openxmlformats.org/officeDocument/2006/relationships/hyperlink" Id="rId67" Target="https://doi.org/10.1371/journal.pmed.1004326" TargetMode="External" /><Relationship Type="http://schemas.openxmlformats.org/officeDocument/2006/relationships/hyperlink" Id="rId65" Target="https://posit.co/products/open-source/rstudio/" TargetMode="External" /><Relationship Type="http://schemas.openxmlformats.org/officeDocument/2006/relationships/hyperlink" Id="rId63" Target="https://www.R-project.org/" TargetMode="External" /><Relationship Type="http://schemas.openxmlformats.org/officeDocument/2006/relationships/hyperlink" Id="rId45"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61" Target="http://dx.doi.org/10.1007/978-981-96-8357-4" TargetMode="External" /><Relationship Type="http://schemas.openxmlformats.org/officeDocument/2006/relationships/hyperlink" Id="rId57" Target="http://dx.doi.org/10.1016/S0140-6736(13)62227-8" TargetMode="External" /><Relationship Type="http://schemas.openxmlformats.org/officeDocument/2006/relationships/hyperlink" Id="rId55" Target="http://dx.doi.org/10.1016/S0140-6736(13)62229-1" TargetMode="External" /><Relationship Type="http://schemas.openxmlformats.org/officeDocument/2006/relationships/hyperlink" Id="rId59" Target="http://dx.doi.org/10.1016/S0140-6736(13)62297-7" TargetMode="External" /><Relationship Type="http://schemas.openxmlformats.org/officeDocument/2006/relationships/hyperlink" Id="rId49" Target="https://doi.org/10.1016/S0140-6736(09)60329-9" TargetMode="External" /><Relationship Type="http://schemas.openxmlformats.org/officeDocument/2006/relationships/hyperlink" Id="rId53" Target="https://doi.org/10.1016/S0140-6736(15)00307-4" TargetMode="External" /><Relationship Type="http://schemas.openxmlformats.org/officeDocument/2006/relationships/hyperlink" Id="rId51" Target="https://doi.org/10.1136/bmj.k4645" TargetMode="External" /><Relationship Type="http://schemas.openxmlformats.org/officeDocument/2006/relationships/hyperlink" Id="rId67" Target="https://doi.org/10.1371/journal.pmed.1004326" TargetMode="External" /><Relationship Type="http://schemas.openxmlformats.org/officeDocument/2006/relationships/hyperlink" Id="rId65" Target="https://posit.co/products/open-source/rstudio/" TargetMode="External" /><Relationship Type="http://schemas.openxmlformats.org/officeDocument/2006/relationships/hyperlink" Id="rId63" Target="https://www.R-project.org/" TargetMode="External" /><Relationship Type="http://schemas.openxmlformats.org/officeDocument/2006/relationships/hyperlink" Id="rId45"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2026-10-09T14:56:38Z</dcterms:created>
  <dcterms:modified xsi:type="dcterms:W3CDTF">2026-10-09T14:56:38Z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