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Study title: Barriers to Valid Medical Research Among Early-Career Researchers in Egypt, A Modified Delphi Study Protocol</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Where a participant meets criteria for more than one group, participants are asked to choose their own group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27"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the University’s online survey platform. Data will be stored on secure password-protected system accessible only to authorized study personnel. Completion of the Round-1 questionnaire is expected to require approximately 20 minutes and Round-2 approximately 20 minutes. These estimates will be test-run and confirmed before recruitment. Participants will be informed of the expected time commitment in the invitation and information sheet.</w:t>
      </w:r>
    </w:p>
    <w:p>
      <w:pPr>
        <w:pStyle w:val="BodyText"/>
      </w:pPr>
      <w:r>
        <w:rPr>
          <w:b/>
          <w:bCs/>
        </w:rPr>
        <w:t xml:space="preserve">Barrier ratings</w:t>
      </w:r>
    </w:p>
    <w:p>
      <w:pPr>
        <w:pStyle w:val="BodyText"/>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p>
      <w:pPr>
        <w:pStyle w:val="BodyText"/>
      </w:pPr>
      <w:r>
        <w:rPr>
          <w:b/>
          <w:bCs/>
        </w:rPr>
        <w:t xml:space="preserve">Delphi Round 1</w:t>
      </w:r>
    </w:p>
    <w:p>
      <w:pPr>
        <w:pStyle w:val="BodyText"/>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the candidate barrier items;</w:t>
      </w:r>
    </w:p>
    <w:p>
      <w:pPr>
        <w:pStyle w:val="Compact"/>
        <w:numPr>
          <w:ilvl w:val="0"/>
          <w:numId w:val="1014"/>
        </w:numPr>
      </w:pPr>
      <w:r>
        <w:t xml:space="preserve">importance and modifiability rating scales; and</w:t>
      </w:r>
    </w:p>
    <w:p>
      <w:pPr>
        <w:pStyle w:val="Compact"/>
        <w:numPr>
          <w:ilvl w:val="0"/>
          <w:numId w:val="1014"/>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p>
      <w:pPr>
        <w:pStyle w:val="BodyText"/>
      </w:pPr>
      <w:r>
        <w:rPr>
          <w:b/>
          <w:bCs/>
        </w:rPr>
        <w:t xml:space="preserve">Round 1 Item Handling</w:t>
      </w:r>
    </w:p>
    <w:p>
      <w:pPr>
        <w:pStyle w:val="BodyText"/>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advisory board to represent a different construct. Removal decisions will be documented and will not be based solely on an unfavorable rating.</w:t>
      </w:r>
    </w:p>
    <w:p>
      <w:pPr>
        <w:pStyle w:val="BodyText"/>
      </w:pPr>
      <w:r>
        <w:t xml:space="preserve">The advisory board will not create or remove items after seeing Round-2 results.</w:t>
      </w:r>
    </w:p>
    <w:p>
      <w:pPr>
        <w:pStyle w:val="BodyText"/>
      </w:pPr>
      <w:r>
        <w:rPr>
          <w:b/>
          <w:bCs/>
        </w:rPr>
        <w:t xml:space="preserve">Delphi Round 2</w:t>
      </w:r>
    </w:p>
    <w:p>
      <w:pPr>
        <w:pStyle w:val="BodyText"/>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5"/>
        </w:numPr>
      </w:pPr>
      <w:r>
        <w:t xml:space="preserve">number of valid responses;</w:t>
      </w:r>
    </w:p>
    <w:p>
      <w:pPr>
        <w:pStyle w:val="Compact"/>
        <w:numPr>
          <w:ilvl w:val="0"/>
          <w:numId w:val="1015"/>
        </w:numPr>
      </w:pPr>
      <w:r>
        <w:t xml:space="preserve">median rating;</w:t>
      </w:r>
    </w:p>
    <w:p>
      <w:pPr>
        <w:pStyle w:val="Compact"/>
        <w:numPr>
          <w:ilvl w:val="0"/>
          <w:numId w:val="1015"/>
        </w:numPr>
      </w:pPr>
      <w:r>
        <w:t xml:space="preserve">interquartile range; and</w:t>
      </w:r>
    </w:p>
    <w:p>
      <w:pPr>
        <w:pStyle w:val="Compact"/>
        <w:numPr>
          <w:ilvl w:val="0"/>
          <w:numId w:val="1015"/>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6"/>
        </w:numPr>
      </w:pPr>
      <w:r>
        <w:rPr>
          <w:b/>
          <w:bCs/>
        </w:rPr>
        <w:t xml:space="preserve">importance/potential impact:</w:t>
      </w:r>
      <w:r>
        <w:t xml:space="preserve"> </w:t>
      </w:r>
      <w:r>
        <w:t xml:space="preserve">1–9;</w:t>
      </w:r>
    </w:p>
    <w:p>
      <w:pPr>
        <w:pStyle w:val="Compact"/>
        <w:numPr>
          <w:ilvl w:val="0"/>
          <w:numId w:val="1016"/>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p>
      <w:pPr>
        <w:pStyle w:val="BodyText"/>
      </w:pPr>
      <w:r>
        <w:rPr>
          <w:b/>
          <w:bCs/>
        </w:rPr>
        <w:t xml:space="preserve">Consensus Definitions</w:t>
      </w:r>
    </w:p>
    <w:p>
      <w:pPr>
        <w:pStyle w:val="BodyText"/>
      </w:pPr>
      <w:r>
        <w:t xml:space="preserve">Consensus criteria will be specified before Round 1 and will not be changed in response to the observed results.</w:t>
      </w:r>
    </w:p>
    <w:p>
      <w:pPr>
        <w:numPr>
          <w:ilvl w:val="0"/>
          <w:numId w:val="1017"/>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17"/>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18"/>
        </w:numPr>
      </w:pPr>
      <w:r>
        <w:t xml:space="preserve">median modifiability rating ≥7;</w:t>
      </w:r>
    </w:p>
    <w:p>
      <w:pPr>
        <w:pStyle w:val="Compact"/>
        <w:numPr>
          <w:ilvl w:val="1"/>
          <w:numId w:val="1018"/>
        </w:numPr>
      </w:pPr>
      <w:r>
        <w:t xml:space="preserve">IQR ≤2; and</w:t>
      </w:r>
    </w:p>
    <w:p>
      <w:pPr>
        <w:pStyle w:val="Compact"/>
        <w:numPr>
          <w:ilvl w:val="1"/>
          <w:numId w:val="1018"/>
        </w:numPr>
      </w:pPr>
      <w:r>
        <w:t xml:space="preserve">≥75% of valid ratings are 7–9.</w:t>
      </w:r>
    </w:p>
    <w:p>
      <w:pPr>
        <w:numPr>
          <w:ilvl w:val="0"/>
          <w:numId w:val="1017"/>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19"/>
        </w:numPr>
      </w:pPr>
      <w:r>
        <w:t xml:space="preserve">median importance/potential-impact rating ≥7;</w:t>
      </w:r>
    </w:p>
    <w:p>
      <w:pPr>
        <w:pStyle w:val="Compact"/>
        <w:numPr>
          <w:ilvl w:val="1"/>
          <w:numId w:val="1019"/>
        </w:numPr>
      </w:pPr>
      <w:r>
        <w:t xml:space="preserve">IQR ≤2;</w:t>
      </w:r>
    </w:p>
    <w:p>
      <w:pPr>
        <w:pStyle w:val="Compact"/>
        <w:numPr>
          <w:ilvl w:val="1"/>
          <w:numId w:val="1019"/>
        </w:numPr>
      </w:pPr>
      <w:r>
        <w:t xml:space="preserve">≥75% of valid ratings are 7–9; and</w:t>
      </w:r>
    </w:p>
    <w:p>
      <w:pPr>
        <w:pStyle w:val="Compact"/>
        <w:numPr>
          <w:ilvl w:val="1"/>
          <w:numId w:val="1019"/>
        </w:numPr>
      </w:pPr>
      <w:r>
        <w:t xml:space="preserve">≥70% of valid ratings rate feasibility 7–9.</w:t>
      </w:r>
    </w:p>
    <w:p>
      <w:pPr>
        <w:numPr>
          <w:ilvl w:val="0"/>
          <w:numId w:val="1017"/>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0"/>
        </w:numPr>
      </w:pPr>
      <w:r>
        <w:t xml:space="preserve">invited participants;</w:t>
      </w:r>
    </w:p>
    <w:p>
      <w:pPr>
        <w:pStyle w:val="Compact"/>
        <w:numPr>
          <w:ilvl w:val="0"/>
          <w:numId w:val="1020"/>
        </w:numPr>
      </w:pPr>
      <w:r>
        <w:t xml:space="preserve">participants who completed the questionnaire; and</w:t>
      </w:r>
    </w:p>
    <w:p>
      <w:pPr>
        <w:pStyle w:val="Compact"/>
        <w:numPr>
          <w:ilvl w:val="0"/>
          <w:numId w:val="1020"/>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27"/>
    <w:bookmarkStart w:id="28"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1"/>
        </w:numPr>
      </w:pPr>
      <w:r>
        <w:t xml:space="preserve">verifying valid response ranges;</w:t>
      </w:r>
    </w:p>
    <w:p>
      <w:pPr>
        <w:pStyle w:val="Compact"/>
        <w:numPr>
          <w:ilvl w:val="0"/>
          <w:numId w:val="1021"/>
        </w:numPr>
      </w:pPr>
      <w:r>
        <w:t xml:space="preserve">documenting incomplete questionnaires;</w:t>
      </w:r>
    </w:p>
    <w:p>
      <w:pPr>
        <w:pStyle w:val="Compact"/>
        <w:numPr>
          <w:ilvl w:val="0"/>
          <w:numId w:val="1021"/>
        </w:numPr>
      </w:pPr>
      <w:r>
        <w:t xml:space="preserve">identifying implausible or internally inconsistent administrative data;</w:t>
      </w:r>
    </w:p>
    <w:p>
      <w:pPr>
        <w:pStyle w:val="Compact"/>
        <w:numPr>
          <w:ilvl w:val="0"/>
          <w:numId w:val="1021"/>
        </w:numPr>
      </w:pPr>
      <w:r>
        <w:t xml:space="preserve">maintaining a data-cleaning log; and</w:t>
      </w:r>
    </w:p>
    <w:p>
      <w:pPr>
        <w:pStyle w:val="Compact"/>
        <w:numPr>
          <w:ilvl w:val="0"/>
          <w:numId w:val="1021"/>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w:t>
      </w:r>
    </w:p>
    <w:bookmarkEnd w:id="28"/>
    <w:bookmarkStart w:id="29"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2"/>
        </w:numPr>
      </w:pPr>
      <w:r>
        <w:t xml:space="preserve">number of valid responses;</w:t>
      </w:r>
    </w:p>
    <w:p>
      <w:pPr>
        <w:pStyle w:val="Compact"/>
        <w:numPr>
          <w:ilvl w:val="0"/>
          <w:numId w:val="1022"/>
        </w:numPr>
      </w:pPr>
      <w:r>
        <w:t xml:space="preserve">median;</w:t>
      </w:r>
    </w:p>
    <w:p>
      <w:pPr>
        <w:pStyle w:val="Compact"/>
        <w:numPr>
          <w:ilvl w:val="0"/>
          <w:numId w:val="1022"/>
        </w:numPr>
      </w:pPr>
      <w:r>
        <w:t xml:space="preserve">IQR;</w:t>
      </w:r>
    </w:p>
    <w:p>
      <w:pPr>
        <w:pStyle w:val="Compact"/>
        <w:numPr>
          <w:ilvl w:val="0"/>
          <w:numId w:val="1022"/>
        </w:numPr>
      </w:pPr>
      <w:r>
        <w:t xml:space="preserve">full response distribution;</w:t>
      </w:r>
    </w:p>
    <w:p>
      <w:pPr>
        <w:pStyle w:val="Compact"/>
        <w:numPr>
          <w:ilvl w:val="0"/>
          <w:numId w:val="1022"/>
        </w:numPr>
      </w:pPr>
      <w:r>
        <w:t xml:space="preserve">percentage rating 7–9;</w:t>
      </w:r>
    </w:p>
    <w:p>
      <w:pPr>
        <w:pStyle w:val="Compact"/>
        <w:numPr>
          <w:ilvl w:val="0"/>
          <w:numId w:val="1022"/>
        </w:numPr>
      </w:pPr>
      <w:r>
        <w:t xml:space="preserve">consensus classification; and</w:t>
      </w:r>
    </w:p>
    <w:p>
      <w:pPr>
        <w:pStyle w:val="Compact"/>
        <w:numPr>
          <w:ilvl w:val="0"/>
          <w:numId w:val="1022"/>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23"/>
        </w:numPr>
      </w:pPr>
      <w:r>
        <w:t xml:space="preserve">early-career researchers;</w:t>
      </w:r>
    </w:p>
    <w:p>
      <w:pPr>
        <w:pStyle w:val="Compact"/>
        <w:numPr>
          <w:ilvl w:val="0"/>
          <w:numId w:val="1023"/>
        </w:numPr>
      </w:pPr>
      <w:r>
        <w:t xml:space="preserve">supervisors;</w:t>
      </w:r>
    </w:p>
    <w:p>
      <w:pPr>
        <w:pStyle w:val="Compact"/>
        <w:numPr>
          <w:ilvl w:val="0"/>
          <w:numId w:val="1023"/>
        </w:numPr>
      </w:pPr>
      <w:r>
        <w:t xml:space="preserve">methodologists/biostatisticians; and</w:t>
      </w:r>
    </w:p>
    <w:p>
      <w:pPr>
        <w:pStyle w:val="Compact"/>
        <w:numPr>
          <w:ilvl w:val="0"/>
          <w:numId w:val="1023"/>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29"/>
    <w:bookmarkStart w:id="30" w:name="bias-and-mitigation-strategies"/>
    <w:p>
      <w:pPr>
        <w:pStyle w:val="Heading1"/>
      </w:pPr>
      <w:r>
        <w:t xml:space="preserve">11. Bias and Mitigation Strategies</w:t>
      </w:r>
    </w:p>
    <w:p>
      <w:pPr>
        <w:numPr>
          <w:ilvl w:val="0"/>
          <w:numId w:val="1024"/>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4"/>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4"/>
        </w:numPr>
      </w:pPr>
      <w:r>
        <w:t xml:space="preserve">Attrition bias: Loss of participants between rounds may alter the final consensus. Attrition will therefore be reported by stakeholder group and considered when interpreting the findings.</w:t>
      </w:r>
    </w:p>
    <w:bookmarkEnd w:id="30"/>
    <w:bookmarkStart w:id="31"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25"/>
        </w:numPr>
      </w:pPr>
      <w:r>
        <w:t xml:space="preserve">the purpose of the study;</w:t>
      </w:r>
    </w:p>
    <w:p>
      <w:pPr>
        <w:pStyle w:val="Compact"/>
        <w:numPr>
          <w:ilvl w:val="0"/>
          <w:numId w:val="1025"/>
        </w:numPr>
      </w:pPr>
      <w:r>
        <w:t xml:space="preserve">what participation involves;</w:t>
      </w:r>
    </w:p>
    <w:p>
      <w:pPr>
        <w:pStyle w:val="Compact"/>
        <w:numPr>
          <w:ilvl w:val="0"/>
          <w:numId w:val="1025"/>
        </w:numPr>
      </w:pPr>
      <w:r>
        <w:t xml:space="preserve">the expected time commitment;</w:t>
      </w:r>
    </w:p>
    <w:p>
      <w:pPr>
        <w:pStyle w:val="Compact"/>
        <w:numPr>
          <w:ilvl w:val="0"/>
          <w:numId w:val="1025"/>
        </w:numPr>
      </w:pPr>
      <w:r>
        <w:t xml:space="preserve">the voluntary nature of participation;</w:t>
      </w:r>
    </w:p>
    <w:p>
      <w:pPr>
        <w:pStyle w:val="Compact"/>
        <w:numPr>
          <w:ilvl w:val="0"/>
          <w:numId w:val="1025"/>
        </w:numPr>
      </w:pPr>
      <w:r>
        <w:t xml:space="preserve">the right to withdraw without penalty;</w:t>
      </w:r>
    </w:p>
    <w:p>
      <w:pPr>
        <w:pStyle w:val="Compact"/>
        <w:numPr>
          <w:ilvl w:val="0"/>
          <w:numId w:val="1025"/>
        </w:numPr>
      </w:pPr>
      <w:r>
        <w:t xml:space="preserve">the right to request removal of data;</w:t>
      </w:r>
    </w:p>
    <w:p>
      <w:pPr>
        <w:pStyle w:val="Compact"/>
        <w:numPr>
          <w:ilvl w:val="0"/>
          <w:numId w:val="1025"/>
        </w:numPr>
      </w:pPr>
      <w:r>
        <w:t xml:space="preserve">confidentiality and anonymity procedures;</w:t>
      </w:r>
    </w:p>
    <w:p>
      <w:pPr>
        <w:pStyle w:val="Compact"/>
        <w:numPr>
          <w:ilvl w:val="0"/>
          <w:numId w:val="1025"/>
        </w:numPr>
      </w:pPr>
      <w:r>
        <w:t xml:space="preserve">foreseeable risks and benefits;</w:t>
      </w:r>
    </w:p>
    <w:p>
      <w:pPr>
        <w:pStyle w:val="Compact"/>
        <w:numPr>
          <w:ilvl w:val="0"/>
          <w:numId w:val="1025"/>
        </w:numPr>
      </w:pPr>
      <w:r>
        <w:t xml:space="preserve">how data will be used and stored; and</w:t>
      </w:r>
    </w:p>
    <w:p>
      <w:pPr>
        <w:pStyle w:val="Compact"/>
        <w:numPr>
          <w:ilvl w:val="0"/>
          <w:numId w:val="1025"/>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26"/>
        </w:numPr>
      </w:pPr>
      <w:r>
        <w:t xml:space="preserve">invitations will be sent directly to potential participants;</w:t>
      </w:r>
    </w:p>
    <w:p>
      <w:pPr>
        <w:pStyle w:val="Compact"/>
        <w:numPr>
          <w:ilvl w:val="0"/>
          <w:numId w:val="1026"/>
        </w:numPr>
      </w:pPr>
      <w:r>
        <w:t xml:space="preserve">participation will not be arranged through a direct supervisor;</w:t>
      </w:r>
    </w:p>
    <w:p>
      <w:pPr>
        <w:pStyle w:val="Compact"/>
        <w:numPr>
          <w:ilvl w:val="0"/>
          <w:numId w:val="1026"/>
        </w:numPr>
      </w:pPr>
      <w:r>
        <w:t xml:space="preserve">supervisors will not know whether a specific junior researcher participated;</w:t>
      </w:r>
    </w:p>
    <w:p>
      <w:pPr>
        <w:pStyle w:val="Compact"/>
        <w:numPr>
          <w:ilvl w:val="0"/>
          <w:numId w:val="1026"/>
        </w:numPr>
      </w:pPr>
      <w:r>
        <w:t xml:space="preserve">reminders will be automated and sent by research staff who are not in a direct supervisory relationship with potential participants;</w:t>
      </w:r>
    </w:p>
    <w:p>
      <w:pPr>
        <w:pStyle w:val="Compact"/>
        <w:numPr>
          <w:ilvl w:val="0"/>
          <w:numId w:val="1026"/>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1"/>
    <w:bookmarkStart w:id="32"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27"/>
        </w:numPr>
      </w:pPr>
      <w:r>
        <w:t xml:space="preserve">important and modifiable barriers to valid, relevant, and high-value medical research among early-career researchers in Egypt; and</w:t>
      </w:r>
    </w:p>
    <w:p>
      <w:pPr>
        <w:numPr>
          <w:ilvl w:val="0"/>
          <w:numId w:val="1027"/>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2"/>
    <w:bookmarkStart w:id="33"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3"/>
    <w:bookmarkStart w:id="34"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4"/>
    <w:bookmarkStart w:id="35" w:name="dissemination"/>
    <w:p>
      <w:pPr>
        <w:pStyle w:val="Heading1"/>
      </w:pPr>
      <w:r>
        <w:t xml:space="preserve">16. Dissemination</w:t>
      </w:r>
    </w:p>
    <w:p>
      <w:pPr>
        <w:pStyle w:val="FirstParagraph"/>
      </w:pPr>
      <w:r>
        <w:t xml:space="preserve">Findings will be disseminated through:</w:t>
      </w:r>
    </w:p>
    <w:p>
      <w:pPr>
        <w:pStyle w:val="Compact"/>
        <w:numPr>
          <w:ilvl w:val="0"/>
          <w:numId w:val="1028"/>
        </w:numPr>
      </w:pPr>
      <w:r>
        <w:t xml:space="preserve">peer-reviewed scientific publication;</w:t>
      </w:r>
    </w:p>
    <w:p>
      <w:pPr>
        <w:pStyle w:val="Compact"/>
        <w:numPr>
          <w:ilvl w:val="0"/>
          <w:numId w:val="1028"/>
        </w:numPr>
      </w:pPr>
      <w:r>
        <w:t xml:space="preserve">a policy brief; and</w:t>
      </w:r>
    </w:p>
    <w:p>
      <w:pPr>
        <w:pStyle w:val="Compact"/>
        <w:numPr>
          <w:ilvl w:val="0"/>
          <w:numId w:val="1028"/>
        </w:numPr>
      </w:pPr>
      <w:r>
        <w:t xml:space="preserve">stakeholder-focused webinars;</w:t>
      </w:r>
    </w:p>
    <w:p>
      <w:pPr>
        <w:pStyle w:val="FirstParagraph"/>
      </w:pPr>
      <w:r>
        <w:t xml:space="preserve">Dissemination materials will distinguish between:</w:t>
      </w:r>
    </w:p>
    <w:p>
      <w:pPr>
        <w:pStyle w:val="Compact"/>
        <w:numPr>
          <w:ilvl w:val="0"/>
          <w:numId w:val="1029"/>
        </w:numPr>
      </w:pPr>
      <w:r>
        <w:t xml:space="preserve">barriers that achieved consensus;</w:t>
      </w:r>
    </w:p>
    <w:p>
      <w:pPr>
        <w:pStyle w:val="Compact"/>
        <w:numPr>
          <w:ilvl w:val="0"/>
          <w:numId w:val="1029"/>
        </w:numPr>
      </w:pPr>
      <w:r>
        <w:t xml:space="preserve">interventions that achieved consensus as important and feasible;</w:t>
      </w:r>
    </w:p>
    <w:p>
      <w:pPr>
        <w:pStyle w:val="Compact"/>
        <w:numPr>
          <w:ilvl w:val="0"/>
          <w:numId w:val="1029"/>
        </w:numPr>
      </w:pPr>
      <w:r>
        <w:t xml:space="preserve">areas of persistent disagreement; and</w:t>
      </w:r>
    </w:p>
    <w:p>
      <w:pPr>
        <w:pStyle w:val="Compact"/>
        <w:numPr>
          <w:ilvl w:val="0"/>
          <w:numId w:val="1029"/>
        </w:numPr>
      </w:pPr>
      <w:r>
        <w:t xml:space="preserve">recommendations that require subsequent empirical evaluation.</w:t>
      </w:r>
    </w:p>
    <w:bookmarkEnd w:id="35"/>
    <w:bookmarkStart w:id="36"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36"/>
    <w:bookmarkStart w:id="44" w:name="appendices"/>
    <w:p>
      <w:pPr>
        <w:pStyle w:val="Heading1"/>
      </w:pPr>
      <w:r>
        <w:t xml:space="preserve">18. Appendices</w:t>
      </w:r>
    </w:p>
    <w:bookmarkStart w:id="37" w:name="appendix-1.-investigators-and-roles"/>
    <w:p>
      <w:pPr>
        <w:pStyle w:val="Heading2"/>
      </w:pPr>
      <w:r>
        <w:t xml:space="preserve">18.1 Appendix 1. Investigators and Roles</w:t>
      </w:r>
    </w:p>
    <w:p>
      <w:pPr>
        <w:pStyle w:val="Compact"/>
        <w:numPr>
          <w:ilvl w:val="0"/>
          <w:numId w:val="1030"/>
        </w:numPr>
      </w:pPr>
      <w:r>
        <w:rPr>
          <w:b/>
          <w:bCs/>
        </w:rPr>
        <w:t xml:space="preserve">Principal Investigator (PI):</w:t>
      </w:r>
      <w:r>
        <w:t xml:space="preserve"> </w:t>
      </w:r>
      <w:r>
        <w:t xml:space="preserve">Prof. Ashraf Nabhan (Faculty of Medicine, MTI University).</w:t>
      </w:r>
    </w:p>
    <w:p>
      <w:pPr>
        <w:pStyle w:val="Compact"/>
        <w:numPr>
          <w:ilvl w:val="0"/>
          <w:numId w:val="1030"/>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0"/>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0"/>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group will oversee protocol development, item generation, interpretation of Delphi findings, and preparation of the final priority framework. To protect participant confidentiality, advisory board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37"/>
    <w:bookmarkStart w:id="38" w:name="appendix-2.-proposed-barrier-domains"/>
    <w:p>
      <w:pPr>
        <w:pStyle w:val="Heading2"/>
      </w:pPr>
      <w:r>
        <w:t xml:space="preserve">18.2 Appendix 2. Proposed barrier domains</w:t>
      </w:r>
    </w:p>
    <w:p>
      <w:pPr>
        <w:pStyle w:val="Compact"/>
        <w:numPr>
          <w:ilvl w:val="0"/>
          <w:numId w:val="1031"/>
        </w:numPr>
      </w:pPr>
      <w:r>
        <w:t xml:space="preserve">Research question selection and prioritization</w:t>
      </w:r>
    </w:p>
    <w:p>
      <w:pPr>
        <w:pStyle w:val="Compact"/>
        <w:numPr>
          <w:ilvl w:val="0"/>
          <w:numId w:val="1031"/>
        </w:numPr>
      </w:pPr>
      <w:r>
        <w:t xml:space="preserve">Evidence searching and synthesis</w:t>
      </w:r>
    </w:p>
    <w:p>
      <w:pPr>
        <w:pStyle w:val="Compact"/>
        <w:numPr>
          <w:ilvl w:val="0"/>
          <w:numId w:val="1031"/>
        </w:numPr>
      </w:pPr>
      <w:r>
        <w:t xml:space="preserve">Research-methodology knowledge</w:t>
      </w:r>
    </w:p>
    <w:p>
      <w:pPr>
        <w:pStyle w:val="Compact"/>
        <w:numPr>
          <w:ilvl w:val="0"/>
          <w:numId w:val="1031"/>
        </w:numPr>
      </w:pPr>
      <w:r>
        <w:t xml:space="preserve">Biostatistics and data analysis</w:t>
      </w:r>
    </w:p>
    <w:p>
      <w:pPr>
        <w:pStyle w:val="Compact"/>
        <w:numPr>
          <w:ilvl w:val="0"/>
          <w:numId w:val="1031"/>
        </w:numPr>
      </w:pPr>
      <w:r>
        <w:t xml:space="preserve">Scientific writing and reporting</w:t>
      </w:r>
    </w:p>
    <w:p>
      <w:pPr>
        <w:pStyle w:val="Compact"/>
        <w:numPr>
          <w:ilvl w:val="0"/>
          <w:numId w:val="1031"/>
        </w:numPr>
      </w:pPr>
      <w:r>
        <w:t xml:space="preserve">Research supervision and mentorship</w:t>
      </w:r>
    </w:p>
    <w:p>
      <w:pPr>
        <w:pStyle w:val="Compact"/>
        <w:numPr>
          <w:ilvl w:val="0"/>
          <w:numId w:val="1031"/>
        </w:numPr>
      </w:pPr>
      <w:r>
        <w:t xml:space="preserve">Protected research time</w:t>
      </w:r>
    </w:p>
    <w:p>
      <w:pPr>
        <w:pStyle w:val="Compact"/>
        <w:numPr>
          <w:ilvl w:val="0"/>
          <w:numId w:val="1031"/>
        </w:numPr>
      </w:pPr>
      <w:r>
        <w:t xml:space="preserve">Funding and financial resources</w:t>
      </w:r>
    </w:p>
    <w:p>
      <w:pPr>
        <w:pStyle w:val="Compact"/>
        <w:numPr>
          <w:ilvl w:val="0"/>
          <w:numId w:val="1031"/>
        </w:numPr>
      </w:pPr>
      <w:r>
        <w:t xml:space="preserve">Data availability and access</w:t>
      </w:r>
    </w:p>
    <w:p>
      <w:pPr>
        <w:pStyle w:val="Compact"/>
        <w:numPr>
          <w:ilvl w:val="0"/>
          <w:numId w:val="1031"/>
        </w:numPr>
      </w:pPr>
      <w:r>
        <w:t xml:space="preserve">Laboratory and technical infrastructure</w:t>
      </w:r>
    </w:p>
    <w:p>
      <w:pPr>
        <w:pStyle w:val="Compact"/>
        <w:numPr>
          <w:ilvl w:val="0"/>
          <w:numId w:val="1031"/>
        </w:numPr>
      </w:pPr>
      <w:r>
        <w:t xml:space="preserve">Research ethics and administrative processes</w:t>
      </w:r>
    </w:p>
    <w:p>
      <w:pPr>
        <w:pStyle w:val="Compact"/>
        <w:numPr>
          <w:ilvl w:val="0"/>
          <w:numId w:val="1031"/>
        </w:numPr>
      </w:pPr>
      <w:r>
        <w:t xml:space="preserve">Collaboration and multidisciplinary research</w:t>
      </w:r>
    </w:p>
    <w:p>
      <w:pPr>
        <w:pStyle w:val="Compact"/>
        <w:numPr>
          <w:ilvl w:val="0"/>
          <w:numId w:val="1031"/>
        </w:numPr>
      </w:pPr>
      <w:r>
        <w:t xml:space="preserve">Institutional research culture</w:t>
      </w:r>
    </w:p>
    <w:p>
      <w:pPr>
        <w:pStyle w:val="Compact"/>
        <w:numPr>
          <w:ilvl w:val="0"/>
          <w:numId w:val="1031"/>
        </w:numPr>
      </w:pPr>
      <w:r>
        <w:t xml:space="preserve">Academic promotion and incentive structures</w:t>
      </w:r>
    </w:p>
    <w:p>
      <w:pPr>
        <w:pStyle w:val="Compact"/>
        <w:numPr>
          <w:ilvl w:val="0"/>
          <w:numId w:val="1031"/>
        </w:numPr>
      </w:pPr>
      <w:r>
        <w:t xml:space="preserve">Publication and dissemination</w:t>
      </w:r>
    </w:p>
    <w:p>
      <w:pPr>
        <w:pStyle w:val="Compact"/>
        <w:numPr>
          <w:ilvl w:val="0"/>
          <w:numId w:val="1031"/>
        </w:numPr>
      </w:pPr>
      <w:r>
        <w:t xml:space="preserve">Research governance and integrity</w:t>
      </w:r>
    </w:p>
    <w:p>
      <w:pPr>
        <w:pStyle w:val="Compact"/>
        <w:numPr>
          <w:ilvl w:val="0"/>
          <w:numId w:val="1031"/>
        </w:numPr>
      </w:pPr>
      <w:r>
        <w:t xml:space="preserve">National research policy and infrastructure</w:t>
      </w:r>
    </w:p>
    <w:bookmarkEnd w:id="38"/>
    <w:bookmarkStart w:id="39" w:name="Xbad515ac281b62739dfb411df580324f52669ee"/>
    <w:p>
      <w:pPr>
        <w:pStyle w:val="Heading2"/>
      </w:pPr>
      <w:r>
        <w:t xml:space="preserve">18.3 Appendix 3. Proposed intervention domains</w:t>
      </w:r>
    </w:p>
    <w:p>
      <w:pPr>
        <w:pStyle w:val="Compact"/>
        <w:numPr>
          <w:ilvl w:val="0"/>
          <w:numId w:val="1032"/>
        </w:numPr>
      </w:pPr>
      <w:r>
        <w:t xml:space="preserve">Structured research-methodology curricula</w:t>
      </w:r>
    </w:p>
    <w:p>
      <w:pPr>
        <w:pStyle w:val="Compact"/>
        <w:numPr>
          <w:ilvl w:val="0"/>
          <w:numId w:val="1032"/>
        </w:numPr>
      </w:pPr>
      <w:r>
        <w:t xml:space="preserve">Supervisor-development programmes</w:t>
      </w:r>
    </w:p>
    <w:p>
      <w:pPr>
        <w:pStyle w:val="Compact"/>
        <w:numPr>
          <w:ilvl w:val="0"/>
          <w:numId w:val="1032"/>
        </w:numPr>
      </w:pPr>
      <w:r>
        <w:t xml:space="preserve">Formal mentorship systems</w:t>
      </w:r>
    </w:p>
    <w:p>
      <w:pPr>
        <w:pStyle w:val="Compact"/>
        <w:numPr>
          <w:ilvl w:val="0"/>
          <w:numId w:val="1032"/>
        </w:numPr>
      </w:pPr>
      <w:r>
        <w:t xml:space="preserve">Institutional statistical/methodological consultation</w:t>
      </w:r>
    </w:p>
    <w:p>
      <w:pPr>
        <w:pStyle w:val="Compact"/>
        <w:numPr>
          <w:ilvl w:val="0"/>
          <w:numId w:val="1032"/>
        </w:numPr>
      </w:pPr>
      <w:r>
        <w:t xml:space="preserve">Protected research time</w:t>
      </w:r>
    </w:p>
    <w:p>
      <w:pPr>
        <w:pStyle w:val="Compact"/>
        <w:numPr>
          <w:ilvl w:val="0"/>
          <w:numId w:val="1032"/>
        </w:numPr>
      </w:pPr>
      <w:r>
        <w:t xml:space="preserve">Small-grant and seed-funding mechanisms</w:t>
      </w:r>
    </w:p>
    <w:p>
      <w:pPr>
        <w:pStyle w:val="Compact"/>
        <w:numPr>
          <w:ilvl w:val="0"/>
          <w:numId w:val="1032"/>
        </w:numPr>
      </w:pPr>
      <w:r>
        <w:t xml:space="preserve">Shared research infrastructure</w:t>
      </w:r>
    </w:p>
    <w:p>
      <w:pPr>
        <w:pStyle w:val="Compact"/>
        <w:numPr>
          <w:ilvl w:val="0"/>
          <w:numId w:val="1032"/>
        </w:numPr>
      </w:pPr>
      <w:r>
        <w:t xml:space="preserve">Research-support offices</w:t>
      </w:r>
    </w:p>
    <w:p>
      <w:pPr>
        <w:pStyle w:val="Compact"/>
        <w:numPr>
          <w:ilvl w:val="0"/>
          <w:numId w:val="1032"/>
        </w:numPr>
      </w:pPr>
      <w:r>
        <w:t xml:space="preserve">Data-access systems</w:t>
      </w:r>
    </w:p>
    <w:p>
      <w:pPr>
        <w:pStyle w:val="Compact"/>
        <w:numPr>
          <w:ilvl w:val="0"/>
          <w:numId w:val="1032"/>
        </w:numPr>
      </w:pPr>
      <w:r>
        <w:t xml:space="preserve">Research collaboration networks</w:t>
      </w:r>
    </w:p>
    <w:p>
      <w:pPr>
        <w:pStyle w:val="Compact"/>
        <w:numPr>
          <w:ilvl w:val="0"/>
          <w:numId w:val="1032"/>
        </w:numPr>
      </w:pPr>
      <w:r>
        <w:t xml:space="preserve">Research-integrity and reporting training</w:t>
      </w:r>
    </w:p>
    <w:p>
      <w:pPr>
        <w:pStyle w:val="Compact"/>
        <w:numPr>
          <w:ilvl w:val="0"/>
          <w:numId w:val="1032"/>
        </w:numPr>
      </w:pPr>
      <w:r>
        <w:t xml:space="preserve">Incentive and promotion reform</w:t>
      </w:r>
    </w:p>
    <w:p>
      <w:pPr>
        <w:pStyle w:val="Compact"/>
        <w:numPr>
          <w:ilvl w:val="0"/>
          <w:numId w:val="1032"/>
        </w:numPr>
      </w:pPr>
      <w:r>
        <w:t xml:space="preserve">Research-priority setting</w:t>
      </w:r>
    </w:p>
    <w:p>
      <w:pPr>
        <w:pStyle w:val="Compact"/>
        <w:numPr>
          <w:ilvl w:val="0"/>
          <w:numId w:val="1032"/>
        </w:numPr>
      </w:pPr>
      <w:r>
        <w:t xml:space="preserve">National research-capacity programmes</w:t>
      </w:r>
    </w:p>
    <w:p>
      <w:pPr>
        <w:pStyle w:val="Compact"/>
        <w:numPr>
          <w:ilvl w:val="0"/>
          <w:numId w:val="1032"/>
        </w:numPr>
      </w:pPr>
      <w:r>
        <w:t xml:space="preserve">Mechanisms for dissemination and uptake of research findings</w:t>
      </w:r>
    </w:p>
    <w:bookmarkEnd w:id="39"/>
    <w:bookmarkStart w:id="40"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33"/>
        </w:numPr>
      </w:pPr>
      <w:r>
        <w:t xml:space="preserve">protocol version;</w:t>
      </w:r>
    </w:p>
    <w:p>
      <w:pPr>
        <w:pStyle w:val="Compact"/>
        <w:numPr>
          <w:ilvl w:val="0"/>
          <w:numId w:val="1033"/>
        </w:numPr>
      </w:pPr>
      <w:r>
        <w:t xml:space="preserve">item wording and revisions;</w:t>
      </w:r>
    </w:p>
    <w:p>
      <w:pPr>
        <w:pStyle w:val="Compact"/>
        <w:numPr>
          <w:ilvl w:val="0"/>
          <w:numId w:val="1033"/>
        </w:numPr>
      </w:pPr>
      <w:r>
        <w:t xml:space="preserve">reason for each material item change;</w:t>
      </w:r>
    </w:p>
    <w:p>
      <w:pPr>
        <w:pStyle w:val="Compact"/>
        <w:numPr>
          <w:ilvl w:val="0"/>
          <w:numId w:val="1033"/>
        </w:numPr>
      </w:pPr>
      <w:r>
        <w:t xml:space="preserve">participant recruitment numbers;</w:t>
      </w:r>
    </w:p>
    <w:p>
      <w:pPr>
        <w:pStyle w:val="Compact"/>
        <w:numPr>
          <w:ilvl w:val="0"/>
          <w:numId w:val="1033"/>
        </w:numPr>
      </w:pPr>
      <w:r>
        <w:t xml:space="preserve">stakeholder category;</w:t>
      </w:r>
    </w:p>
    <w:p>
      <w:pPr>
        <w:pStyle w:val="Compact"/>
        <w:numPr>
          <w:ilvl w:val="0"/>
          <w:numId w:val="1033"/>
        </w:numPr>
      </w:pPr>
      <w:r>
        <w:t xml:space="preserve">round-specific response rates;</w:t>
      </w:r>
    </w:p>
    <w:p>
      <w:pPr>
        <w:pStyle w:val="Compact"/>
        <w:numPr>
          <w:ilvl w:val="0"/>
          <w:numId w:val="1033"/>
        </w:numPr>
      </w:pPr>
      <w:r>
        <w:t xml:space="preserve">item-level response distributions;</w:t>
      </w:r>
    </w:p>
    <w:p>
      <w:pPr>
        <w:pStyle w:val="Compact"/>
        <w:numPr>
          <w:ilvl w:val="0"/>
          <w:numId w:val="1033"/>
        </w:numPr>
      </w:pPr>
      <w:r>
        <w:t xml:space="preserve">median and IQR;</w:t>
      </w:r>
    </w:p>
    <w:p>
      <w:pPr>
        <w:pStyle w:val="Compact"/>
        <w:numPr>
          <w:ilvl w:val="0"/>
          <w:numId w:val="1033"/>
        </w:numPr>
      </w:pPr>
      <w:r>
        <w:t xml:space="preserve">consensus classification;</w:t>
      </w:r>
    </w:p>
    <w:p>
      <w:pPr>
        <w:pStyle w:val="Compact"/>
        <w:numPr>
          <w:ilvl w:val="0"/>
          <w:numId w:val="1033"/>
        </w:numPr>
      </w:pPr>
      <w:r>
        <w:t xml:space="preserve">feedback provided to participants;</w:t>
      </w:r>
    </w:p>
    <w:p>
      <w:pPr>
        <w:pStyle w:val="Compact"/>
        <w:numPr>
          <w:ilvl w:val="0"/>
          <w:numId w:val="1033"/>
        </w:numPr>
      </w:pPr>
      <w:r>
        <w:t xml:space="preserve">Round-2 disposition;</w:t>
      </w:r>
    </w:p>
    <w:p>
      <w:pPr>
        <w:pStyle w:val="Compact"/>
        <w:numPr>
          <w:ilvl w:val="0"/>
          <w:numId w:val="1033"/>
        </w:numPr>
      </w:pPr>
      <w:r>
        <w:t xml:space="preserve">subgroup findings;</w:t>
      </w:r>
    </w:p>
    <w:p>
      <w:pPr>
        <w:pStyle w:val="Compact"/>
        <w:numPr>
          <w:ilvl w:val="0"/>
          <w:numId w:val="1033"/>
        </w:numPr>
      </w:pPr>
      <w:r>
        <w:t xml:space="preserve">and documented protocol deviations.</w:t>
      </w:r>
    </w:p>
    <w:bookmarkEnd w:id="40"/>
    <w:bookmarkStart w:id="42"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34"/>
        </w:numPr>
      </w:pPr>
      <w:r>
        <w:t xml:space="preserve">The barriers considered most important in limiting valid, relevant, and high-value medical research among early-career researchers in Egypt.</w:t>
      </w:r>
    </w:p>
    <w:p>
      <w:pPr>
        <w:pStyle w:val="Compact"/>
        <w:numPr>
          <w:ilvl w:val="0"/>
          <w:numId w:val="1034"/>
        </w:numPr>
      </w:pPr>
      <w:r>
        <w:t xml:space="preserve">Which barriers are considered modifiable.</w:t>
      </w:r>
    </w:p>
    <w:p>
      <w:pPr>
        <w:pStyle w:val="Compact"/>
        <w:numPr>
          <w:ilvl w:val="0"/>
          <w:numId w:val="1034"/>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35"/>
        </w:numPr>
      </w:pPr>
      <w:r>
        <w:t xml:space="preserve">Medical students, house officers, residents, teaching assistants, assistant lecturers, or equivalent early-career medical researchers.</w:t>
      </w:r>
    </w:p>
    <w:p>
      <w:pPr>
        <w:pStyle w:val="Compact"/>
        <w:numPr>
          <w:ilvl w:val="0"/>
          <w:numId w:val="1035"/>
        </w:numPr>
      </w:pPr>
      <w:r>
        <w:t xml:space="preserve">Research supervisors.</w:t>
      </w:r>
    </w:p>
    <w:p>
      <w:pPr>
        <w:pStyle w:val="Compact"/>
        <w:numPr>
          <w:ilvl w:val="0"/>
          <w:numId w:val="1035"/>
        </w:numPr>
      </w:pPr>
      <w:r>
        <w:t xml:space="preserve">Biostatisticians, epidemiologists, research methodologists, evidence-synthesis specialists, qualitative researchers, or related experts.</w:t>
      </w:r>
    </w:p>
    <w:p>
      <w:pPr>
        <w:pStyle w:val="Compact"/>
        <w:numPr>
          <w:ilvl w:val="0"/>
          <w:numId w:val="1035"/>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t xml:space="preserve">This is a two-round online modified Delphi study.</w:t>
      </w:r>
    </w:p>
    <w:p>
      <w:pPr>
        <w:pStyle w:val="BodyText"/>
      </w:pPr>
      <w:r>
        <w:rPr>
          <w:b/>
          <w:bCs/>
        </w:rPr>
        <w:t xml:space="preserve">Round 1</w:t>
      </w:r>
    </w:p>
    <w:p>
      <w:pPr>
        <w:pStyle w:val="BodyText"/>
      </w:pPr>
      <w:r>
        <w:t xml:space="preserve">If you agree to participate:</w:t>
      </w:r>
    </w:p>
    <w:p>
      <w:pPr>
        <w:pStyle w:val="Compact"/>
        <w:numPr>
          <w:ilvl w:val="0"/>
          <w:numId w:val="1036"/>
        </w:numPr>
      </w:pPr>
      <w:r>
        <w:t xml:space="preserve">You will complete an electronic consent form.</w:t>
      </w:r>
    </w:p>
    <w:p>
      <w:pPr>
        <w:pStyle w:val="Compact"/>
        <w:numPr>
          <w:ilvl w:val="0"/>
          <w:numId w:val="1036"/>
        </w:numPr>
      </w:pPr>
      <w:r>
        <w:t xml:space="preserve">You will be asked a small number of background questions, such as your stakeholder category, career stage, type of institution, and research-related experience.</w:t>
      </w:r>
    </w:p>
    <w:p>
      <w:pPr>
        <w:pStyle w:val="Compact"/>
        <w:numPr>
          <w:ilvl w:val="0"/>
          <w:numId w:val="1036"/>
        </w:numPr>
      </w:pPr>
      <w:r>
        <w:t xml:space="preserve">You will rate a series of candidate barriers on two 9-point scales:</w:t>
      </w:r>
    </w:p>
    <w:p>
      <w:pPr>
        <w:pStyle w:val="Compact"/>
        <w:numPr>
          <w:ilvl w:val="1"/>
          <w:numId w:val="1037"/>
        </w:numPr>
      </w:pPr>
      <w:r>
        <w:rPr>
          <w:b/>
          <w:bCs/>
        </w:rPr>
        <w:t xml:space="preserve">Importance:</w:t>
      </w:r>
      <w:r>
        <w:t xml:space="preserve"> </w:t>
      </w:r>
      <w:r>
        <w:t xml:space="preserve">from 1 = not important at all to 9 = extremely important.</w:t>
      </w:r>
    </w:p>
    <w:p>
      <w:pPr>
        <w:pStyle w:val="Compact"/>
        <w:numPr>
          <w:ilvl w:val="1"/>
          <w:numId w:val="1037"/>
        </w:numPr>
      </w:pPr>
      <w:r>
        <w:rPr>
          <w:b/>
          <w:bCs/>
        </w:rPr>
        <w:t xml:space="preserve">Modifiability:</w:t>
      </w:r>
      <w:r>
        <w:t xml:space="preserve"> </w:t>
      </w:r>
      <w:r>
        <w:t xml:space="preserve">from 1 = not modifiable to 9 = highly modifiable.</w:t>
      </w:r>
    </w:p>
    <w:p>
      <w:pPr>
        <w:pStyle w:val="Compact"/>
        <w:numPr>
          <w:ilvl w:val="0"/>
          <w:numId w:val="1036"/>
        </w:numPr>
      </w:pPr>
      <w:r>
        <w:t xml:space="preserve">You may select “cannot judge / insufficient experience” for any item you do not feel able to rate.</w:t>
      </w:r>
    </w:p>
    <w:p>
      <w:pPr>
        <w:pStyle w:val="Compact"/>
        <w:numPr>
          <w:ilvl w:val="0"/>
          <w:numId w:val="1036"/>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p>
      <w:pPr>
        <w:pStyle w:val="BodyText"/>
      </w:pPr>
      <w:r>
        <w:rPr>
          <w:b/>
          <w:bCs/>
        </w:rPr>
        <w:t xml:space="preserve">Round 2</w:t>
      </w:r>
    </w:p>
    <w:p>
      <w:pPr>
        <w:pStyle w:val="BodyText"/>
      </w:pPr>
      <w:r>
        <w:t xml:space="preserve">Participants who complete Round 1 may be invited to take part in Round 2. In Round 2:</w:t>
      </w:r>
    </w:p>
    <w:p>
      <w:pPr>
        <w:pStyle w:val="Compact"/>
        <w:numPr>
          <w:ilvl w:val="0"/>
          <w:numId w:val="1038"/>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38"/>
        </w:numPr>
      </w:pPr>
      <w:r>
        <w:t xml:space="preserve">You will be asked to reconsider and re-rate retained or revised barrier items.</w:t>
      </w:r>
    </w:p>
    <w:p>
      <w:pPr>
        <w:pStyle w:val="Compact"/>
        <w:numPr>
          <w:ilvl w:val="0"/>
          <w:numId w:val="1038"/>
        </w:numPr>
      </w:pPr>
      <w:r>
        <w:t xml:space="preserve">You will rate candidate interventions according to:</w:t>
      </w:r>
    </w:p>
    <w:p>
      <w:pPr>
        <w:pStyle w:val="Compact"/>
        <w:numPr>
          <w:ilvl w:val="1"/>
          <w:numId w:val="1039"/>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39"/>
        </w:numPr>
      </w:pPr>
      <w:r>
        <w:rPr>
          <w:b/>
          <w:bCs/>
        </w:rPr>
        <w:t xml:space="preserve">Feasibility:</w:t>
      </w:r>
      <w:r>
        <w:t xml:space="preserve"> </w:t>
      </w:r>
      <w:r>
        <w:t xml:space="preserve">from 1 = not feasible to 9 = highly feasible.</w:t>
      </w:r>
    </w:p>
    <w:p>
      <w:pPr>
        <w:pStyle w:val="Compact"/>
        <w:numPr>
          <w:ilvl w:val="0"/>
          <w:numId w:val="1038"/>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20 minutes</w:t>
      </w:r>
      <w:r>
        <w:t xml:space="preserve">.</w:t>
      </w:r>
    </w:p>
    <w:p>
      <w:pPr>
        <w:pStyle w:val="BodyText"/>
      </w:pPr>
      <w:r>
        <w:t xml:space="preserve">There will be no face-to-face group discussion. You will not be asked to interact with other participants.</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0"/>
        </w:numPr>
      </w:pPr>
      <w:r>
        <w:t xml:space="preserve">Names of colleagues, supervisors, students, institutions, departments, hospitals, or organizations.</w:t>
      </w:r>
    </w:p>
    <w:p>
      <w:pPr>
        <w:pStyle w:val="Compact"/>
        <w:numPr>
          <w:ilvl w:val="0"/>
          <w:numId w:val="1040"/>
        </w:numPr>
      </w:pPr>
      <w:r>
        <w:t xml:space="preserve">Confidential organizational information.</w:t>
      </w:r>
    </w:p>
    <w:p>
      <w:pPr>
        <w:pStyle w:val="Compact"/>
        <w:numPr>
          <w:ilvl w:val="0"/>
          <w:numId w:val="1040"/>
        </w:numPr>
      </w:pPr>
      <w:r>
        <w:t xml:space="preserve">Allegations about named individuals.</w:t>
      </w:r>
    </w:p>
    <w:p>
      <w:pPr>
        <w:pStyle w:val="Compact"/>
        <w:numPr>
          <w:ilvl w:val="0"/>
          <w:numId w:val="1040"/>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1">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1"/>
        </w:numPr>
      </w:pPr>
      <w:r>
        <w:t xml:space="preserve">Minimal discomfort when considering barriers related to supervision, institutional support, research governance, or research culture.</w:t>
      </w:r>
    </w:p>
    <w:p>
      <w:pPr>
        <w:pStyle w:val="Compact"/>
        <w:numPr>
          <w:ilvl w:val="0"/>
          <w:numId w:val="1041"/>
        </w:numPr>
      </w:pPr>
      <w:r>
        <w:t xml:space="preserve">Concern that professional or institutional views could be recognized.</w:t>
      </w:r>
    </w:p>
    <w:p>
      <w:pPr>
        <w:pStyle w:val="FirstParagraph"/>
      </w:pPr>
      <w:r>
        <w:t xml:space="preserve">To reduce these risks:</w:t>
      </w:r>
    </w:p>
    <w:p>
      <w:pPr>
        <w:pStyle w:val="Compact"/>
        <w:numPr>
          <w:ilvl w:val="0"/>
          <w:numId w:val="1042"/>
        </w:numPr>
      </w:pPr>
      <w:r>
        <w:t xml:space="preserve">Participation will occur through an electronic survey rather than a group discussion.</w:t>
      </w:r>
    </w:p>
    <w:p>
      <w:pPr>
        <w:pStyle w:val="Compact"/>
        <w:numPr>
          <w:ilvl w:val="0"/>
          <w:numId w:val="1042"/>
        </w:numPr>
      </w:pPr>
      <w:r>
        <w:t xml:space="preserve">Individual ratings will not be shown to other participants.</w:t>
      </w:r>
    </w:p>
    <w:p>
      <w:pPr>
        <w:pStyle w:val="Compact"/>
        <w:numPr>
          <w:ilvl w:val="0"/>
          <w:numId w:val="1042"/>
        </w:numPr>
      </w:pPr>
      <w:r>
        <w:t xml:space="preserve">Feedback between rounds will be presented only in aggregate form.</w:t>
      </w:r>
    </w:p>
    <w:p>
      <w:pPr>
        <w:pStyle w:val="Compact"/>
        <w:numPr>
          <w:ilvl w:val="0"/>
          <w:numId w:val="1042"/>
        </w:numPr>
      </w:pPr>
      <w:r>
        <w:t xml:space="preserve">Identifying contact information will be stored separately from survey responses.</w:t>
      </w:r>
    </w:p>
    <w:p>
      <w:pPr>
        <w:pStyle w:val="Compact"/>
        <w:numPr>
          <w:ilvl w:val="0"/>
          <w:numId w:val="1042"/>
        </w:numPr>
      </w:pPr>
      <w:r>
        <w:t xml:space="preserve">The analysis dataset will use a study identifier rather than your name or email address.</w:t>
      </w:r>
    </w:p>
    <w:p>
      <w:pPr>
        <w:pStyle w:val="Compact"/>
        <w:numPr>
          <w:ilvl w:val="0"/>
          <w:numId w:val="1042"/>
        </w:numPr>
      </w:pPr>
      <w:r>
        <w:t xml:space="preserve">Reports will present aggregated findings and will avoid reporting small cells or details that could identify an individual or institution.</w:t>
      </w:r>
    </w:p>
    <w:p>
      <w:pPr>
        <w:pStyle w:val="Compact"/>
        <w:numPr>
          <w:ilvl w:val="0"/>
          <w:numId w:val="1042"/>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3"/>
        </w:numPr>
      </w:pPr>
      <w:r>
        <w:t xml:space="preserve">Aggregated study findings.</w:t>
      </w:r>
    </w:p>
    <w:p>
      <w:pPr>
        <w:pStyle w:val="Compact"/>
        <w:numPr>
          <w:ilvl w:val="0"/>
          <w:numId w:val="1043"/>
        </w:numPr>
      </w:pPr>
      <w:r>
        <w:t xml:space="preserve">The final questionnaire.</w:t>
      </w:r>
    </w:p>
    <w:p>
      <w:pPr>
        <w:pStyle w:val="Compact"/>
        <w:numPr>
          <w:ilvl w:val="0"/>
          <w:numId w:val="1043"/>
        </w:numPr>
      </w:pPr>
      <w:r>
        <w:t xml:space="preserve">Item-development documentation.</w:t>
      </w:r>
    </w:p>
    <w:p>
      <w:pPr>
        <w:pStyle w:val="Compact"/>
        <w:numPr>
          <w:ilvl w:val="0"/>
          <w:numId w:val="1043"/>
        </w:numPr>
      </w:pPr>
      <w:r>
        <w:t xml:space="preserve">De-identified numerical data.</w:t>
      </w:r>
    </w:p>
    <w:p>
      <w:pPr>
        <w:pStyle w:val="Compact"/>
        <w:numPr>
          <w:ilvl w:val="0"/>
          <w:numId w:val="1043"/>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44"/>
        </w:numPr>
      </w:pPr>
      <w:r>
        <w:t xml:space="preserve">Names, email addresses, and contact information.</w:t>
      </w:r>
    </w:p>
    <w:p>
      <w:pPr>
        <w:pStyle w:val="Compact"/>
        <w:numPr>
          <w:ilvl w:val="0"/>
          <w:numId w:val="1044"/>
        </w:numPr>
      </w:pPr>
      <w:r>
        <w:t xml:space="preserve">Consent records.</w:t>
      </w:r>
    </w:p>
    <w:p>
      <w:pPr>
        <w:pStyle w:val="Compact"/>
        <w:numPr>
          <w:ilvl w:val="0"/>
          <w:numId w:val="1044"/>
        </w:numPr>
      </w:pPr>
      <w:r>
        <w:t xml:space="preserve">The linkage file.</w:t>
      </w:r>
    </w:p>
    <w:p>
      <w:pPr>
        <w:pStyle w:val="Compact"/>
        <w:numPr>
          <w:ilvl w:val="0"/>
          <w:numId w:val="1044"/>
        </w:numPr>
      </w:pPr>
      <w:r>
        <w:t xml:space="preserve">Raw identifiable comments.</w:t>
      </w:r>
    </w:p>
    <w:p>
      <w:pPr>
        <w:pStyle w:val="Compact"/>
        <w:numPr>
          <w:ilvl w:val="0"/>
          <w:numId w:val="1044"/>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1">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2"/>
    <w:bookmarkStart w:id="43"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45"/>
        </w:numPr>
      </w:pPr>
      <w:r>
        <w:t xml:space="preserve">I confirm that I am aged 18 years or older.</w:t>
      </w:r>
    </w:p>
    <w:p>
      <w:pPr>
        <w:pStyle w:val="Compact"/>
        <w:numPr>
          <w:ilvl w:val="0"/>
          <w:numId w:val="1046"/>
        </w:numPr>
      </w:pPr>
      <w:r>
        <w:t xml:space="preserve">Yes</w:t>
      </w:r>
    </w:p>
    <w:p>
      <w:pPr>
        <w:pStyle w:val="Compact"/>
        <w:numPr>
          <w:ilvl w:val="0"/>
          <w:numId w:val="1046"/>
        </w:numPr>
      </w:pPr>
      <w:r>
        <w:t xml:space="preserve">No</w:t>
      </w:r>
    </w:p>
    <w:p>
      <w:pPr>
        <w:pStyle w:val="Compact"/>
        <w:numPr>
          <w:ilvl w:val="0"/>
          <w:numId w:val="1047"/>
        </w:numPr>
      </w:pPr>
      <w:r>
        <w:t xml:space="preserve">I confirm that I have sufficient familiarity with the Egyptian medical research environment to provide informed judgments.</w:t>
      </w:r>
    </w:p>
    <w:p>
      <w:pPr>
        <w:pStyle w:val="Compact"/>
        <w:numPr>
          <w:ilvl w:val="0"/>
          <w:numId w:val="1048"/>
        </w:numPr>
      </w:pPr>
      <w:r>
        <w:t xml:space="preserve">Yes</w:t>
      </w:r>
    </w:p>
    <w:p>
      <w:pPr>
        <w:pStyle w:val="Compact"/>
        <w:numPr>
          <w:ilvl w:val="0"/>
          <w:numId w:val="1048"/>
        </w:numPr>
      </w:pPr>
      <w:r>
        <w:t xml:space="preserve">No</w:t>
      </w:r>
    </w:p>
    <w:p>
      <w:pPr>
        <w:pStyle w:val="Compact"/>
        <w:numPr>
          <w:ilvl w:val="0"/>
          <w:numId w:val="1049"/>
        </w:numPr>
      </w:pPr>
      <w:r>
        <w:t xml:space="preserve">I confirm that I meet at least one study eligibility criterion described in the Participant Information Sheet.</w:t>
      </w:r>
    </w:p>
    <w:p>
      <w:pPr>
        <w:pStyle w:val="Compact"/>
        <w:numPr>
          <w:ilvl w:val="0"/>
          <w:numId w:val="1050"/>
        </w:numPr>
      </w:pPr>
      <w:r>
        <w:t xml:space="preserve">Yes</w:t>
      </w:r>
    </w:p>
    <w:p>
      <w:pPr>
        <w:pStyle w:val="Compact"/>
        <w:numPr>
          <w:ilvl w:val="0"/>
          <w:numId w:val="1050"/>
        </w:numPr>
      </w:pPr>
      <w:r>
        <w:t xml:space="preserve">No</w:t>
      </w:r>
    </w:p>
    <w:p>
      <w:pPr>
        <w:pStyle w:val="Compact"/>
        <w:numPr>
          <w:ilvl w:val="0"/>
          <w:numId w:val="1051"/>
        </w:numPr>
      </w:pPr>
      <w:r>
        <w:t xml:space="preserve">I confirm that I can complete the questionnaire in the language provided.</w:t>
      </w:r>
    </w:p>
    <w:p>
      <w:pPr>
        <w:pStyle w:val="Compact"/>
        <w:numPr>
          <w:ilvl w:val="0"/>
          <w:numId w:val="1052"/>
        </w:numPr>
      </w:pPr>
      <w:r>
        <w:t xml:space="preserve">Yes</w:t>
      </w:r>
    </w:p>
    <w:p>
      <w:pPr>
        <w:pStyle w:val="Compact"/>
        <w:numPr>
          <w:ilvl w:val="0"/>
          <w:numId w:val="1052"/>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53"/>
        </w:numPr>
      </w:pPr>
      <w:r>
        <w:t xml:space="preserve">I have read the Participant Information Sheet and have had the opportunity to ask questions about the study.</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58"/>
        </w:numPr>
      </w:pPr>
      <w:r>
        <w:t xml:space="preserve">Yes</w:t>
      </w:r>
    </w:p>
    <w:p>
      <w:pPr>
        <w:pStyle w:val="Compact"/>
        <w:numPr>
          <w:ilvl w:val="0"/>
          <w:numId w:val="1058"/>
        </w:numPr>
      </w:pPr>
      <w:r>
        <w:t xml:space="preserve">No</w:t>
      </w:r>
    </w:p>
    <w:p>
      <w:pPr>
        <w:pStyle w:val="Compact"/>
        <w:numPr>
          <w:ilvl w:val="0"/>
          <w:numId w:val="1059"/>
        </w:numPr>
      </w:pPr>
      <w:r>
        <w:t xml:space="preserve">I understand that the study involves a Round-1 questionnaire and, if I complete Round 1, a possible invitation to Round 2.</w:t>
      </w:r>
    </w:p>
    <w:p>
      <w:pPr>
        <w:pStyle w:val="Compact"/>
        <w:numPr>
          <w:ilvl w:val="0"/>
          <w:numId w:val="1060"/>
        </w:numPr>
      </w:pPr>
      <w:r>
        <w:t xml:space="preserve">Yes</w:t>
      </w:r>
    </w:p>
    <w:p>
      <w:pPr>
        <w:pStyle w:val="Compact"/>
        <w:numPr>
          <w:ilvl w:val="0"/>
          <w:numId w:val="1060"/>
        </w:numPr>
      </w:pPr>
      <w:r>
        <w:t xml:space="preserve">No</w:t>
      </w:r>
    </w:p>
    <w:p>
      <w:pPr>
        <w:pStyle w:val="Compact"/>
        <w:numPr>
          <w:ilvl w:val="0"/>
          <w:numId w:val="1061"/>
        </w:numPr>
      </w:pPr>
      <w:r>
        <w:t xml:space="preserve">I understand that Round 2 will include anonymized group-level feedback and that I may be asked to re-rate barriers and rate possible interventions.</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consent to participate in Round 1 of this study.</w:t>
      </w:r>
    </w:p>
    <w:p>
      <w:pPr>
        <w:pStyle w:val="Compact"/>
        <w:numPr>
          <w:ilvl w:val="0"/>
          <w:numId w:val="1064"/>
        </w:numPr>
      </w:pPr>
      <w:r>
        <w:t xml:space="preserve">Yes</w:t>
      </w:r>
    </w:p>
    <w:p>
      <w:pPr>
        <w:pStyle w:val="Compact"/>
        <w:numPr>
          <w:ilvl w:val="0"/>
          <w:numId w:val="1064"/>
        </w:numPr>
      </w:pPr>
      <w:r>
        <w:t xml:space="preserve">No</w:t>
      </w:r>
    </w:p>
    <w:p>
      <w:pPr>
        <w:pStyle w:val="FirstParagraph"/>
      </w:pPr>
      <w:r>
        <w:rPr>
          <w:b/>
          <w:bCs/>
        </w:rPr>
        <w:t xml:space="preserve">Consent for contact and linkage</w:t>
      </w:r>
    </w:p>
    <w:p>
      <w:pPr>
        <w:pStyle w:val="Compact"/>
        <w:numPr>
          <w:ilvl w:val="0"/>
          <w:numId w:val="1065"/>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consent to the use of a unique study identifier to link my Round-1 and Round-2 responses.</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0"/>
        </w:numPr>
      </w:pPr>
      <w:r>
        <w:t xml:space="preserve">Yes</w:t>
      </w:r>
    </w:p>
    <w:p>
      <w:pPr>
        <w:pStyle w:val="Compact"/>
        <w:numPr>
          <w:ilvl w:val="0"/>
          <w:numId w:val="1070"/>
        </w:numPr>
      </w:pPr>
      <w:r>
        <w:t xml:space="preserve">No</w:t>
      </w:r>
    </w:p>
    <w:p>
      <w:pPr>
        <w:pStyle w:val="Compact"/>
        <w:numPr>
          <w:ilvl w:val="0"/>
          <w:numId w:val="1071"/>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2"/>
        </w:numPr>
      </w:pPr>
      <w:r>
        <w:t xml:space="preserve">Yes</w:t>
      </w:r>
    </w:p>
    <w:p>
      <w:pPr>
        <w:pStyle w:val="Compact"/>
        <w:numPr>
          <w:ilvl w:val="0"/>
          <w:numId w:val="1072"/>
        </w:numPr>
      </w:pPr>
      <w:r>
        <w:t xml:space="preserve">No</w:t>
      </w:r>
    </w:p>
    <w:p>
      <w:pPr>
        <w:pStyle w:val="FirstParagraph"/>
      </w:pPr>
      <w:r>
        <w:rPr>
          <w:b/>
          <w:bCs/>
        </w:rPr>
        <w:t xml:space="preserve">Consent for quotations</w:t>
      </w:r>
    </w:p>
    <w:p>
      <w:pPr>
        <w:pStyle w:val="Compact"/>
        <w:numPr>
          <w:ilvl w:val="0"/>
          <w:numId w:val="1073"/>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4"/>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75"/>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78"/>
        </w:numPr>
      </w:pPr>
      <w:r>
        <w:t xml:space="preserve">Yes</w:t>
      </w:r>
    </w:p>
    <w:p>
      <w:pPr>
        <w:pStyle w:val="Compact"/>
        <w:numPr>
          <w:ilvl w:val="0"/>
          <w:numId w:val="1078"/>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79"/>
        </w:numPr>
      </w:pPr>
      <w:r>
        <w:t xml:space="preserve">By selecting “I agree” below, I confirm that I voluntarily consent to participate in this study.</w:t>
      </w:r>
    </w:p>
    <w:p>
      <w:pPr>
        <w:pStyle w:val="Compact"/>
        <w:numPr>
          <w:ilvl w:val="0"/>
          <w:numId w:val="1080"/>
        </w:numPr>
      </w:pPr>
      <w:r>
        <w:t xml:space="preserve">I agree and wish to continue to the Round-1 questionnaire.</w:t>
      </w:r>
    </w:p>
    <w:p>
      <w:pPr>
        <w:pStyle w:val="Compact"/>
        <w:numPr>
          <w:ilvl w:val="0"/>
          <w:numId w:val="1080"/>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1">
        <w:r>
          <w:rPr>
            <w:rStyle w:val="Hyperlink"/>
          </w:rPr>
          <w:t xml:space="preserve">ecr@med.asu.edu.eg</w:t>
        </w:r>
      </w:hyperlink>
      <w:r>
        <w:t xml:space="preserve">.</w:t>
      </w:r>
    </w:p>
    <w:bookmarkEnd w:id="43"/>
    <w:bookmarkEnd w:id="44"/>
    <w:bookmarkStart w:id="66" w:name="references"/>
    <w:p>
      <w:pPr>
        <w:pStyle w:val="Heading1"/>
      </w:pPr>
      <w:r>
        <w:t xml:space="preserve">19. References</w:t>
      </w:r>
    </w:p>
    <w:bookmarkStart w:id="65" w:name="refs"/>
    <w:bookmarkStart w:id="46" w:name="ref-chalmers2009"/>
    <w:p>
      <w:pPr>
        <w:pStyle w:val="Bibliography"/>
      </w:pPr>
      <w:r>
        <w:t xml:space="preserve">1. Chalmers I, Glasziou P.</w:t>
      </w:r>
      <w:r>
        <w:t xml:space="preserve"> </w:t>
      </w:r>
      <w:hyperlink r:id="rId45">
        <w:r>
          <w:rPr>
            <w:rStyle w:val="Hyperlink"/>
          </w:rPr>
          <w:t xml:space="preserve">Avoidable waste in the production and reporting of research evidence</w:t>
        </w:r>
      </w:hyperlink>
      <w:r>
        <w:t xml:space="preserve">. The Lancet. 2009;374:86–9.</w:t>
      </w:r>
    </w:p>
    <w:bookmarkEnd w:id="46"/>
    <w:bookmarkStart w:id="48" w:name="ref-glaziou2018"/>
    <w:p>
      <w:pPr>
        <w:pStyle w:val="Bibliography"/>
      </w:pPr>
      <w:r>
        <w:t xml:space="preserve">2. Glasziou P, Chalmers I.</w:t>
      </w:r>
      <w:r>
        <w:t xml:space="preserve"> </w:t>
      </w:r>
      <w:hyperlink r:id="rId47">
        <w:r>
          <w:rPr>
            <w:rStyle w:val="Hyperlink"/>
          </w:rPr>
          <w:t xml:space="preserve">Research waste is still a scandal–an essay by paul glasziou and iain chalmers</w:t>
        </w:r>
      </w:hyperlink>
      <w:r>
        <w:t xml:space="preserve">. BMJ. 2018;363:k4645.</w:t>
      </w:r>
    </w:p>
    <w:bookmarkEnd w:id="48"/>
    <w:bookmarkStart w:id="50" w:name="ref-moher2016"/>
    <w:p>
      <w:pPr>
        <w:pStyle w:val="Bibliography"/>
      </w:pPr>
      <w:r>
        <w:t xml:space="preserve">3. Moher D, Glasziou P, Chalmers I, Nasser M, Bossuyt PMM, Korevaar DA, et al.</w:t>
      </w:r>
      <w:r>
        <w:t xml:space="preserve"> </w:t>
      </w:r>
      <w:hyperlink r:id="rId49">
        <w:r>
          <w:rPr>
            <w:rStyle w:val="Hyperlink"/>
          </w:rPr>
          <w:t xml:space="preserve">Increasing value and reducing waste in biomedical research: Who’s listening?</w:t>
        </w:r>
      </w:hyperlink>
      <w:r>
        <w:t xml:space="preserve"> The Lancet. 2016;387:1573–86.</w:t>
      </w:r>
    </w:p>
    <w:bookmarkEnd w:id="50"/>
    <w:bookmarkStart w:id="52"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1">
        <w:r>
          <w:rPr>
            <w:rStyle w:val="Hyperlink"/>
          </w:rPr>
          <w:t xml:space="preserve">http://dx.doi.org/10.1016/S0140-6736(13)62229-1</w:t>
        </w:r>
      </w:hyperlink>
    </w:p>
    <w:bookmarkEnd w:id="52"/>
    <w:bookmarkStart w:id="54"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3">
        <w:r>
          <w:rPr>
            <w:rStyle w:val="Hyperlink"/>
          </w:rPr>
          <w:t xml:space="preserve">http://dx.doi.org/10.1016/S0140-6736(13)62227-8</w:t>
        </w:r>
      </w:hyperlink>
    </w:p>
    <w:bookmarkEnd w:id="54"/>
    <w:bookmarkStart w:id="56"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5">
        <w:r>
          <w:rPr>
            <w:rStyle w:val="Hyperlink"/>
          </w:rPr>
          <w:t xml:space="preserve">http://dx.doi.org/10.1016/S0140-6736(13)62297-7</w:t>
        </w:r>
      </w:hyperlink>
    </w:p>
    <w:bookmarkEnd w:id="56"/>
    <w:bookmarkStart w:id="58" w:name="ref-jorm2025"/>
    <w:p>
      <w:pPr>
        <w:pStyle w:val="Bibliography"/>
      </w:pPr>
      <w:r>
        <w:t xml:space="preserve">7. Jorm A. Using the delphi method to establish expert consensus [Internet]. Springer Nature Singapore; 2025. Available from:</w:t>
      </w:r>
      <w:r>
        <w:t xml:space="preserve"> </w:t>
      </w:r>
      <w:hyperlink r:id="rId57">
        <w:r>
          <w:rPr>
            <w:rStyle w:val="Hyperlink"/>
          </w:rPr>
          <w:t xml:space="preserve">http://dx.doi.org/10.1007/978-981-96-8357-4</w:t>
        </w:r>
      </w:hyperlink>
    </w:p>
    <w:bookmarkEnd w:id="58"/>
    <w:bookmarkStart w:id="60"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59">
        <w:r>
          <w:rPr>
            <w:rStyle w:val="Hyperlink"/>
          </w:rPr>
          <w:t xml:space="preserve">https://www.R-project.org/</w:t>
        </w:r>
      </w:hyperlink>
    </w:p>
    <w:bookmarkEnd w:id="60"/>
    <w:bookmarkStart w:id="62" w:name="ref-RStudio2026"/>
    <w:p>
      <w:pPr>
        <w:pStyle w:val="Bibliography"/>
      </w:pPr>
      <w:r>
        <w:t xml:space="preserve">9. Posit Software, PBC. RStudio: Integrated development environment for r [Internet]. Boston, MA: Posit Software, PBC; 2026. Available from:</w:t>
      </w:r>
      <w:r>
        <w:t xml:space="preserve"> </w:t>
      </w:r>
      <w:hyperlink r:id="rId61">
        <w:r>
          <w:rPr>
            <w:rStyle w:val="Hyperlink"/>
          </w:rPr>
          <w:t xml:space="preserve">https://posit.co/products/open-source/rstudio/</w:t>
        </w:r>
      </w:hyperlink>
    </w:p>
    <w:bookmarkEnd w:id="62"/>
    <w:bookmarkStart w:id="64" w:name="ref-gattrell2024"/>
    <w:p>
      <w:pPr>
        <w:pStyle w:val="Bibliography"/>
      </w:pPr>
      <w:r>
        <w:t xml:space="preserve">10. Gattrell WT, Logullo P, Zuuren EJ van, Price A, Hughes EL, Blazey P, et al.</w:t>
      </w:r>
      <w:r>
        <w:t xml:space="preserve"> </w:t>
      </w:r>
      <w:hyperlink r:id="rId63">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4"/>
    <w:bookmarkEnd w:id="65"/>
    <w:bookmarkEnd w:id="66"/>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1"/>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1"/>
  </w:num>
  <w:num w:numId="105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8">
    <w:abstractNumId w:val="991"/>
  </w:num>
  <w:num w:numId="105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0">
    <w:abstractNumId w:val="991"/>
  </w:num>
  <w:num w:numId="106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2">
    <w:abstractNumId w:val="991"/>
  </w:num>
  <w:num w:numId="106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4">
    <w:abstractNumId w:val="991"/>
  </w:num>
  <w:num w:numId="106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6">
    <w:abstractNumId w:val="991"/>
  </w:num>
  <w:num w:numId="106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8">
    <w:abstractNumId w:val="991"/>
  </w:num>
  <w:num w:numId="106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0">
    <w:abstractNumId w:val="991"/>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1"/>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1"/>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1"/>
  </w:num>
  <w:num w:numId="107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8">
    <w:abstractNumId w:val="991"/>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57" Target="http://dx.doi.org/10.1007/978-981-96-8357-4" TargetMode="External" /><Relationship Type="http://schemas.openxmlformats.org/officeDocument/2006/relationships/hyperlink" Id="rId53" Target="http://dx.doi.org/10.1016/S0140-6736(13)62227-8" TargetMode="External" /><Relationship Type="http://schemas.openxmlformats.org/officeDocument/2006/relationships/hyperlink" Id="rId51" Target="http://dx.doi.org/10.1016/S0140-6736(13)62229-1" TargetMode="External" /><Relationship Type="http://schemas.openxmlformats.org/officeDocument/2006/relationships/hyperlink" Id="rId55" Target="http://dx.doi.org/10.1016/S0140-6736(13)62297-7" TargetMode="External" /><Relationship Type="http://schemas.openxmlformats.org/officeDocument/2006/relationships/hyperlink" Id="rId45" Target="https://doi.org/10.1016/S0140-6736(09)60329-9" TargetMode="External" /><Relationship Type="http://schemas.openxmlformats.org/officeDocument/2006/relationships/hyperlink" Id="rId49" Target="https://doi.org/10.1016/S0140-6736(15)00307-4" TargetMode="External" /><Relationship Type="http://schemas.openxmlformats.org/officeDocument/2006/relationships/hyperlink" Id="rId47" Target="https://doi.org/10.1136/bmj.k4645" TargetMode="External" /><Relationship Type="http://schemas.openxmlformats.org/officeDocument/2006/relationships/hyperlink" Id="rId63" Target="https://doi.org/10.1371/journal.pmed.1004326" TargetMode="External" /><Relationship Type="http://schemas.openxmlformats.org/officeDocument/2006/relationships/hyperlink" Id="rId61" Target="https://posit.co/products/open-source/rstudio/" TargetMode="External" /><Relationship Type="http://schemas.openxmlformats.org/officeDocument/2006/relationships/hyperlink" Id="rId59" Target="https://www.R-project.org/" TargetMode="External" /><Relationship Type="http://schemas.openxmlformats.org/officeDocument/2006/relationships/hyperlink" Id="rId41"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57" Target="http://dx.doi.org/10.1007/978-981-96-8357-4" TargetMode="External" /><Relationship Type="http://schemas.openxmlformats.org/officeDocument/2006/relationships/hyperlink" Id="rId53" Target="http://dx.doi.org/10.1016/S0140-6736(13)62227-8" TargetMode="External" /><Relationship Type="http://schemas.openxmlformats.org/officeDocument/2006/relationships/hyperlink" Id="rId51" Target="http://dx.doi.org/10.1016/S0140-6736(13)62229-1" TargetMode="External" /><Relationship Type="http://schemas.openxmlformats.org/officeDocument/2006/relationships/hyperlink" Id="rId55" Target="http://dx.doi.org/10.1016/S0140-6736(13)62297-7" TargetMode="External" /><Relationship Type="http://schemas.openxmlformats.org/officeDocument/2006/relationships/hyperlink" Id="rId45" Target="https://doi.org/10.1016/S0140-6736(09)60329-9" TargetMode="External" /><Relationship Type="http://schemas.openxmlformats.org/officeDocument/2006/relationships/hyperlink" Id="rId49" Target="https://doi.org/10.1016/S0140-6736(15)00307-4" TargetMode="External" /><Relationship Type="http://schemas.openxmlformats.org/officeDocument/2006/relationships/hyperlink" Id="rId47" Target="https://doi.org/10.1136/bmj.k4645" TargetMode="External" /><Relationship Type="http://schemas.openxmlformats.org/officeDocument/2006/relationships/hyperlink" Id="rId63" Target="https://doi.org/10.1371/journal.pmed.1004326" TargetMode="External" /><Relationship Type="http://schemas.openxmlformats.org/officeDocument/2006/relationships/hyperlink" Id="rId61" Target="https://posit.co/products/open-source/rstudio/" TargetMode="External" /><Relationship Type="http://schemas.openxmlformats.org/officeDocument/2006/relationships/hyperlink" Id="rId59" Target="https://www.R-project.org/" TargetMode="External" /><Relationship Type="http://schemas.openxmlformats.org/officeDocument/2006/relationships/hyperlink" Id="rId41"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2026-10-08T23:39:42Z</dcterms:created>
  <dcterms:modified xsi:type="dcterms:W3CDTF">2026-10-08T23:39:42Z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