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w:t>
      </w:r>
    </w:p>
    <w:p>
      <w:pPr>
        <w:pStyle w:val="Compact"/>
        <w:numPr>
          <w:ilvl w:val="1"/>
          <w:numId w:val="1012"/>
        </w:numPr>
      </w:pPr>
      <w:r>
        <w:t xml:space="preserve">Be a medical student, house officer, resident, teaching assistant, assistant lecturer, or equivalent early-career medical researcher in Egypt; and</w:t>
      </w:r>
    </w:p>
    <w:p>
      <w:pPr>
        <w:pStyle w:val="Compact"/>
        <w:numPr>
          <w:ilvl w:val="1"/>
          <w:numId w:val="1012"/>
        </w:numPr>
      </w:pPr>
      <w:r>
        <w:t xml:space="preserve">have participated in, planned, conducted, analyzed, written at least one research project.</w:t>
      </w:r>
    </w:p>
    <w:p>
      <w:pPr>
        <w:numPr>
          <w:ilvl w:val="0"/>
          <w:numId w:val="1011"/>
        </w:numPr>
      </w:pPr>
      <w:r>
        <w:t xml:space="preserve">Research supervisors</w:t>
      </w:r>
    </w:p>
    <w:p>
      <w:pPr>
        <w:pStyle w:val="Compact"/>
        <w:numPr>
          <w:ilvl w:val="1"/>
          <w:numId w:val="1013"/>
        </w:numPr>
      </w:pPr>
      <w:r>
        <w:t xml:space="preserve">Be a lecturer, associate professor, professor, or equivalent researcher who has supervised medical research involving early-career researchers; and</w:t>
      </w:r>
    </w:p>
    <w:p>
      <w:pPr>
        <w:pStyle w:val="Compact"/>
        <w:numPr>
          <w:ilvl w:val="1"/>
          <w:numId w:val="1013"/>
        </w:numPr>
      </w:pPr>
      <w:r>
        <w:t xml:space="preserve">have current or recent experience in research supervision.</w:t>
      </w:r>
    </w:p>
    <w:p>
      <w:pPr>
        <w:numPr>
          <w:ilvl w:val="0"/>
          <w:numId w:val="1011"/>
        </w:numPr>
      </w:pPr>
      <w:r>
        <w:t xml:space="preserve">Research methodologists/biostatisticians</w:t>
      </w:r>
    </w:p>
    <w:p>
      <w:pPr>
        <w:pStyle w:val="Compact"/>
        <w:numPr>
          <w:ilvl w:val="1"/>
          <w:numId w:val="1014"/>
        </w:numPr>
      </w:pPr>
      <w:r>
        <w:t xml:space="preserve">Have formal or substantial professional experience in epidemiology, biostatistics, research methodology, evidence synthesis, qualitative research, or related methodological disciplines; and</w:t>
      </w:r>
    </w:p>
    <w:p>
      <w:pPr>
        <w:pStyle w:val="Compact"/>
        <w:numPr>
          <w:ilvl w:val="1"/>
          <w:numId w:val="1014"/>
        </w:numPr>
      </w:pPr>
      <w:r>
        <w:t xml:space="preserve">have experience supporting or conducting health research.</w:t>
      </w:r>
    </w:p>
    <w:p>
      <w:pPr>
        <w:numPr>
          <w:ilvl w:val="0"/>
          <w:numId w:val="1011"/>
        </w:numPr>
      </w:pPr>
      <w:r>
        <w:t xml:space="preserve">Ethics/research governance participants</w:t>
      </w:r>
    </w:p>
    <w:p>
      <w:pPr>
        <w:pStyle w:val="Compact"/>
        <w:numPr>
          <w:ilvl w:val="1"/>
          <w:numId w:val="1015"/>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p>
      <w:pPr>
        <w:pStyle w:val="BodyText"/>
      </w:pPr>
      <w:r>
        <w:rPr>
          <w:b/>
          <w:bCs/>
        </w:rPr>
        <w:t xml:space="preserve">Exclusion criteria</w:t>
      </w:r>
    </w:p>
    <w:p>
      <w:pPr>
        <w:pStyle w:val="BodyText"/>
      </w:pPr>
      <w:r>
        <w:t xml:space="preserve">Participants will be excluded if they:</w:t>
      </w:r>
    </w:p>
    <w:p>
      <w:pPr>
        <w:pStyle w:val="Compact"/>
        <w:numPr>
          <w:ilvl w:val="0"/>
          <w:numId w:val="1016"/>
        </w:numPr>
      </w:pPr>
      <w:r>
        <w:t xml:space="preserve">cannot provide informed consent;</w:t>
      </w:r>
    </w:p>
    <w:p>
      <w:pPr>
        <w:pStyle w:val="Compact"/>
        <w:numPr>
          <w:ilvl w:val="0"/>
          <w:numId w:val="1016"/>
        </w:numPr>
      </w:pPr>
      <w:r>
        <w:t xml:space="preserve">have insufficient familiarity with medical research in Egypt to complete the Delphi questionnaire meaningfully;</w:t>
      </w:r>
    </w:p>
    <w:p>
      <w:pPr>
        <w:pStyle w:val="Compact"/>
        <w:numPr>
          <w:ilvl w:val="0"/>
          <w:numId w:val="1016"/>
        </w:numPr>
      </w:pPr>
      <w:r>
        <w:t xml:space="preserve">are unable to complete the questionnaire in English or Arabic, depending on the final validated questionnaire language;</w:t>
      </w:r>
    </w:p>
    <w:p>
      <w:pPr>
        <w:pStyle w:val="Compact"/>
        <w:numPr>
          <w:ilvl w:val="0"/>
          <w:numId w:val="1016"/>
        </w:numPr>
      </w:pPr>
      <w:r>
        <w:t xml:space="preserve">participate only in questionnaire piloting and do not meet the final panel eligibility criteria; or</w:t>
      </w:r>
    </w:p>
    <w:p>
      <w:pPr>
        <w:pStyle w:val="Compact"/>
        <w:numPr>
          <w:ilvl w:val="0"/>
          <w:numId w:val="1016"/>
        </w:numPr>
      </w:pPr>
      <w:r>
        <w:t xml:space="preserve">have a direct conflict of interest that the steering group determines would prevent independent participation.</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The stakeholder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7"/>
        </w:numPr>
      </w:pPr>
      <w:r>
        <w:t xml:space="preserve">describe one barrier or intervention;</w:t>
      </w:r>
    </w:p>
    <w:p>
      <w:pPr>
        <w:pStyle w:val="Compact"/>
        <w:numPr>
          <w:ilvl w:val="0"/>
          <w:numId w:val="1017"/>
        </w:numPr>
      </w:pPr>
      <w:r>
        <w:t xml:space="preserve">use neutral, non-accusatory wording;</w:t>
      </w:r>
    </w:p>
    <w:p>
      <w:pPr>
        <w:pStyle w:val="Compact"/>
        <w:numPr>
          <w:ilvl w:val="0"/>
          <w:numId w:val="1017"/>
        </w:numPr>
      </w:pPr>
      <w:r>
        <w:t xml:space="preserve">avoid double-barrelled concepts;</w:t>
      </w:r>
    </w:p>
    <w:p>
      <w:pPr>
        <w:pStyle w:val="Compact"/>
        <w:numPr>
          <w:ilvl w:val="0"/>
          <w:numId w:val="1017"/>
        </w:numPr>
      </w:pPr>
      <w:r>
        <w:t xml:space="preserve">be understandable to participants from different professional backgrounds; and</w:t>
      </w:r>
    </w:p>
    <w:p>
      <w:pPr>
        <w:pStyle w:val="Compact"/>
        <w:numPr>
          <w:ilvl w:val="0"/>
          <w:numId w:val="1017"/>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26"/>
    <w:bookmarkStart w:id="27"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the University’s online survey platform. Data will be stored on secure password-protected system accessible only to authorized study personnel. Completion of the Round-1 questionnaire is expected to require approximately 20 minutes and Round-2 approximately 15 minutes.</w:t>
      </w:r>
    </w:p>
    <w:p>
      <w:pPr>
        <w:pStyle w:val="BodyText"/>
      </w:pPr>
      <w:r>
        <w:rPr>
          <w:b/>
          <w:bCs/>
        </w:rPr>
        <w:t xml:space="preserve">Barrier ratings</w:t>
      </w:r>
    </w:p>
    <w:p>
      <w:pPr>
        <w:pStyle w:val="BodyText"/>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p>
      <w:pPr>
        <w:pStyle w:val="BodyText"/>
      </w:pPr>
      <w:r>
        <w:rPr>
          <w:b/>
          <w:bCs/>
        </w:rPr>
        <w:t xml:space="preserve">Delphi Round 1</w:t>
      </w:r>
    </w:p>
    <w:p>
      <w:pPr>
        <w:pStyle w:val="BodyText"/>
      </w:pPr>
      <w:r>
        <w:t xml:space="preserve">Participants will receive:</w:t>
      </w:r>
    </w:p>
    <w:p>
      <w:pPr>
        <w:pStyle w:val="Compact"/>
        <w:numPr>
          <w:ilvl w:val="0"/>
          <w:numId w:val="1018"/>
        </w:numPr>
      </w:pPr>
      <w:r>
        <w:t xml:space="preserve">an information sheet and electronic consent form;</w:t>
      </w:r>
    </w:p>
    <w:p>
      <w:pPr>
        <w:pStyle w:val="Compact"/>
        <w:numPr>
          <w:ilvl w:val="0"/>
          <w:numId w:val="1018"/>
        </w:numPr>
      </w:pPr>
      <w:r>
        <w:t xml:space="preserve">brief instructions explaining the Delphi process;</w:t>
      </w:r>
    </w:p>
    <w:p>
      <w:pPr>
        <w:pStyle w:val="Compact"/>
        <w:numPr>
          <w:ilvl w:val="0"/>
          <w:numId w:val="1018"/>
        </w:numPr>
      </w:pPr>
      <w:r>
        <w:t xml:space="preserve">the candidate barrier items;</w:t>
      </w:r>
    </w:p>
    <w:p>
      <w:pPr>
        <w:pStyle w:val="Compact"/>
        <w:numPr>
          <w:ilvl w:val="0"/>
          <w:numId w:val="1018"/>
        </w:numPr>
      </w:pPr>
      <w:r>
        <w:t xml:space="preserve">importance and modifiability rating scales; and</w:t>
      </w:r>
    </w:p>
    <w:p>
      <w:pPr>
        <w:pStyle w:val="Compact"/>
        <w:numPr>
          <w:ilvl w:val="0"/>
          <w:numId w:val="1018"/>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p>
      <w:pPr>
        <w:pStyle w:val="BodyText"/>
      </w:pPr>
      <w:r>
        <w:rPr>
          <w:b/>
          <w:bCs/>
        </w:rPr>
        <w:t xml:space="preserve">Round 1 Item Handling</w:t>
      </w:r>
    </w:p>
    <w:p>
      <w:pPr>
        <w:pStyle w:val="BodyText"/>
      </w:pPr>
      <w:r>
        <w:t xml:space="preserve">The following rules will be applied before Round 2:</w:t>
      </w:r>
    </w:p>
    <w:p>
      <w:pPr>
        <w:pStyle w:val="BodyText"/>
      </w:pPr>
      <w:r>
        <w:rPr>
          <w:b/>
          <w:bCs/>
        </w:rPr>
        <w:t xml:space="preserve">Retain</w:t>
      </w:r>
      <w:r>
        <w:t xml:space="preserve">: Items meeting the predefined importance-consensus criterion will be retained.</w:t>
      </w:r>
    </w:p>
    <w:p>
      <w:pPr>
        <w:pStyle w:val="BodyText"/>
      </w:pPr>
      <w:r>
        <w:rPr>
          <w:b/>
          <w:bCs/>
        </w:rPr>
        <w:t xml:space="preserve">Revise</w:t>
      </w:r>
      <w:r>
        <w:t xml:space="preserve">: Items that do not reach consensus but are potentially important, ambiguous, or substantially modified following panel comments may be revised and presented in Round 2. Material wording changes will be documented.</w:t>
      </w:r>
    </w:p>
    <w:p>
      <w:pPr>
        <w:pStyle w:val="BodyText"/>
      </w:pPr>
      <w:r>
        <w:rPr>
          <w:b/>
          <w:bCs/>
        </w:rPr>
        <w:t xml:space="preserve">Remove</w:t>
      </w:r>
      <w:r>
        <w:t xml:space="preserve">: 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p>
      <w:pPr>
        <w:pStyle w:val="BodyText"/>
      </w:pPr>
      <w:r>
        <w:rPr>
          <w:b/>
          <w:bCs/>
        </w:rPr>
        <w:t xml:space="preserve">Delphi Round 2</w:t>
      </w:r>
    </w:p>
    <w:p>
      <w:pPr>
        <w:pStyle w:val="BodyText"/>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9"/>
        </w:numPr>
      </w:pPr>
      <w:r>
        <w:t xml:space="preserve">number of valid responses;</w:t>
      </w:r>
    </w:p>
    <w:p>
      <w:pPr>
        <w:pStyle w:val="Compact"/>
        <w:numPr>
          <w:ilvl w:val="0"/>
          <w:numId w:val="1019"/>
        </w:numPr>
      </w:pPr>
      <w:r>
        <w:t xml:space="preserve">median rating;</w:t>
      </w:r>
    </w:p>
    <w:p>
      <w:pPr>
        <w:pStyle w:val="Compact"/>
        <w:numPr>
          <w:ilvl w:val="0"/>
          <w:numId w:val="1019"/>
        </w:numPr>
      </w:pPr>
      <w:r>
        <w:t xml:space="preserve">interquartile range; and</w:t>
      </w:r>
    </w:p>
    <w:p>
      <w:pPr>
        <w:pStyle w:val="Compact"/>
        <w:numPr>
          <w:ilvl w:val="0"/>
          <w:numId w:val="1019"/>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20"/>
        </w:numPr>
      </w:pPr>
      <w:r>
        <w:rPr>
          <w:b/>
          <w:bCs/>
        </w:rPr>
        <w:t xml:space="preserve">importance/potential impact:</w:t>
      </w:r>
      <w:r>
        <w:t xml:space="preserve"> </w:t>
      </w:r>
      <w:r>
        <w:t xml:space="preserve">1–9;</w:t>
      </w:r>
    </w:p>
    <w:p>
      <w:pPr>
        <w:pStyle w:val="Compact"/>
        <w:numPr>
          <w:ilvl w:val="0"/>
          <w:numId w:val="1020"/>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p>
      <w:pPr>
        <w:pStyle w:val="BodyText"/>
      </w:pPr>
      <w:r>
        <w:rPr>
          <w:b/>
          <w:bCs/>
        </w:rPr>
        <w:t xml:space="preserve">Consensus Definitions</w:t>
      </w:r>
    </w:p>
    <w:p>
      <w:pPr>
        <w:pStyle w:val="BodyText"/>
      </w:pPr>
      <w:r>
        <w:t xml:space="preserve">Consensus criteria will be specified before Round 1 and will not be changed in response to the observed results.</w:t>
      </w:r>
    </w:p>
    <w:p>
      <w:pPr>
        <w:numPr>
          <w:ilvl w:val="0"/>
          <w:numId w:val="1021"/>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are met: median importance rating ≥7; IQR ≤2; and ≥75% of valid ratings are 7–9. Consensus that a barrier is not important will be defined as median ≤3 and ≥75% of ratings between 1 and 3.</w:t>
      </w:r>
    </w:p>
    <w:p>
      <w:pPr>
        <w:numPr>
          <w:ilvl w:val="0"/>
          <w:numId w:val="1021"/>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1"/>
          <w:numId w:val="1022"/>
        </w:numPr>
      </w:pPr>
      <w:r>
        <w:t xml:space="preserve">median modifiability rating ≥7;</w:t>
      </w:r>
    </w:p>
    <w:p>
      <w:pPr>
        <w:pStyle w:val="Compact"/>
        <w:numPr>
          <w:ilvl w:val="1"/>
          <w:numId w:val="1022"/>
        </w:numPr>
      </w:pPr>
      <w:r>
        <w:t xml:space="preserve">IQR ≤2; and</w:t>
      </w:r>
    </w:p>
    <w:p>
      <w:pPr>
        <w:pStyle w:val="Compact"/>
        <w:numPr>
          <w:ilvl w:val="1"/>
          <w:numId w:val="1022"/>
        </w:numPr>
      </w:pPr>
      <w:r>
        <w:t xml:space="preserve">≥75% of valid ratings are 7–9.</w:t>
      </w:r>
    </w:p>
    <w:p>
      <w:pPr>
        <w:numPr>
          <w:ilvl w:val="0"/>
          <w:numId w:val="1021"/>
        </w:numPr>
      </w:pPr>
      <w:r>
        <w:rPr>
          <w:b/>
          <w:bCs/>
        </w:rPr>
        <w:t xml:space="preserve">High-priority intervention</w:t>
      </w:r>
      <w:r>
        <w:t xml:space="preserve">: An intervention will be classified as a</w:t>
      </w:r>
      <w:r>
        <w:t xml:space="preserve"> </w:t>
      </w:r>
      <w:r>
        <w:rPr>
          <w:b/>
          <w:bCs/>
        </w:rPr>
        <w:t xml:space="preserve">high-priority feasible intervention</w:t>
      </w:r>
      <w:r>
        <w:t xml:space="preserve"> </w:t>
      </w:r>
      <w:r>
        <w:t xml:space="preserve">when:</w:t>
      </w:r>
    </w:p>
    <w:p>
      <w:pPr>
        <w:pStyle w:val="Compact"/>
        <w:numPr>
          <w:ilvl w:val="1"/>
          <w:numId w:val="1023"/>
        </w:numPr>
      </w:pPr>
      <w:r>
        <w:t xml:space="preserve">median importance/potential-impact rating ≥7;</w:t>
      </w:r>
    </w:p>
    <w:p>
      <w:pPr>
        <w:pStyle w:val="Compact"/>
        <w:numPr>
          <w:ilvl w:val="1"/>
          <w:numId w:val="1023"/>
        </w:numPr>
      </w:pPr>
      <w:r>
        <w:t xml:space="preserve">IQR ≤2;</w:t>
      </w:r>
    </w:p>
    <w:p>
      <w:pPr>
        <w:pStyle w:val="Compact"/>
        <w:numPr>
          <w:ilvl w:val="1"/>
          <w:numId w:val="1023"/>
        </w:numPr>
      </w:pPr>
      <w:r>
        <w:t xml:space="preserve">≥75% of valid ratings are 7–9; and</w:t>
      </w:r>
    </w:p>
    <w:p>
      <w:pPr>
        <w:pStyle w:val="Compact"/>
        <w:numPr>
          <w:ilvl w:val="1"/>
          <w:numId w:val="1023"/>
        </w:numPr>
      </w:pPr>
      <w:r>
        <w:t xml:space="preserve">≥70% of valid ratings rate feasibility 7–9.</w:t>
      </w:r>
    </w:p>
    <w:p>
      <w:pPr>
        <w:numPr>
          <w:ilvl w:val="0"/>
          <w:numId w:val="1021"/>
        </w:numPr>
      </w:pPr>
      <w:r>
        <w:rPr>
          <w:b/>
          <w:bCs/>
        </w:rPr>
        <w:t xml:space="preserve">Persistent disagreement:</w:t>
      </w:r>
      <w:r>
        <w:t xml:space="preserve"> </w:t>
      </w: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p>
      <w:pPr>
        <w:pStyle w:val="FirstParagraph"/>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4"/>
        </w:numPr>
      </w:pPr>
      <w:r>
        <w:t xml:space="preserve">invited participants;</w:t>
      </w:r>
    </w:p>
    <w:p>
      <w:pPr>
        <w:pStyle w:val="Compact"/>
        <w:numPr>
          <w:ilvl w:val="0"/>
          <w:numId w:val="1024"/>
        </w:numPr>
      </w:pPr>
      <w:r>
        <w:t xml:space="preserve">participants who completed the questionnaire; and</w:t>
      </w:r>
    </w:p>
    <w:p>
      <w:pPr>
        <w:pStyle w:val="Compact"/>
        <w:numPr>
          <w:ilvl w:val="0"/>
          <w:numId w:val="1024"/>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27"/>
    <w:bookmarkStart w:id="28"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5"/>
        </w:numPr>
      </w:pPr>
      <w:r>
        <w:t xml:space="preserve">verifying valid response ranges;</w:t>
      </w:r>
    </w:p>
    <w:p>
      <w:pPr>
        <w:pStyle w:val="Compact"/>
        <w:numPr>
          <w:ilvl w:val="0"/>
          <w:numId w:val="1025"/>
        </w:numPr>
      </w:pPr>
      <w:r>
        <w:t xml:space="preserve">documenting incomplete questionnaires;</w:t>
      </w:r>
    </w:p>
    <w:p>
      <w:pPr>
        <w:pStyle w:val="Compact"/>
        <w:numPr>
          <w:ilvl w:val="0"/>
          <w:numId w:val="1025"/>
        </w:numPr>
      </w:pPr>
      <w:r>
        <w:t xml:space="preserve">identifying implausible or internally inconsistent administrative data;</w:t>
      </w:r>
    </w:p>
    <w:p>
      <w:pPr>
        <w:pStyle w:val="Compact"/>
        <w:numPr>
          <w:ilvl w:val="0"/>
          <w:numId w:val="1025"/>
        </w:numPr>
      </w:pPr>
      <w:r>
        <w:t xml:space="preserve">maintaining a data-cleaning log; and</w:t>
      </w:r>
    </w:p>
    <w:p>
      <w:pPr>
        <w:pStyle w:val="Compact"/>
        <w:numPr>
          <w:ilvl w:val="0"/>
          <w:numId w:val="1025"/>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28"/>
    <w:bookmarkStart w:id="29"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26"/>
        </w:numPr>
      </w:pPr>
      <w:r>
        <w:t xml:space="preserve">number of valid responses;</w:t>
      </w:r>
    </w:p>
    <w:p>
      <w:pPr>
        <w:pStyle w:val="Compact"/>
        <w:numPr>
          <w:ilvl w:val="0"/>
          <w:numId w:val="1026"/>
        </w:numPr>
      </w:pPr>
      <w:r>
        <w:t xml:space="preserve">median;</w:t>
      </w:r>
    </w:p>
    <w:p>
      <w:pPr>
        <w:pStyle w:val="Compact"/>
        <w:numPr>
          <w:ilvl w:val="0"/>
          <w:numId w:val="1026"/>
        </w:numPr>
      </w:pPr>
      <w:r>
        <w:t xml:space="preserve">IQR;</w:t>
      </w:r>
    </w:p>
    <w:p>
      <w:pPr>
        <w:pStyle w:val="Compact"/>
        <w:numPr>
          <w:ilvl w:val="0"/>
          <w:numId w:val="1026"/>
        </w:numPr>
      </w:pPr>
      <w:r>
        <w:t xml:space="preserve">full response distribution;</w:t>
      </w:r>
    </w:p>
    <w:p>
      <w:pPr>
        <w:pStyle w:val="Compact"/>
        <w:numPr>
          <w:ilvl w:val="0"/>
          <w:numId w:val="1026"/>
        </w:numPr>
      </w:pPr>
      <w:r>
        <w:t xml:space="preserve">percentage rating 7–9;</w:t>
      </w:r>
    </w:p>
    <w:p>
      <w:pPr>
        <w:pStyle w:val="Compact"/>
        <w:numPr>
          <w:ilvl w:val="0"/>
          <w:numId w:val="1026"/>
        </w:numPr>
      </w:pPr>
      <w:r>
        <w:t xml:space="preserve">consensus classification; and</w:t>
      </w:r>
    </w:p>
    <w:p>
      <w:pPr>
        <w:pStyle w:val="Compact"/>
        <w:numPr>
          <w:ilvl w:val="0"/>
          <w:numId w:val="1026"/>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27"/>
        </w:numPr>
      </w:pPr>
      <w:r>
        <w:t xml:space="preserve">early-career researchers;</w:t>
      </w:r>
    </w:p>
    <w:p>
      <w:pPr>
        <w:pStyle w:val="Compact"/>
        <w:numPr>
          <w:ilvl w:val="0"/>
          <w:numId w:val="1027"/>
        </w:numPr>
      </w:pPr>
      <w:r>
        <w:t xml:space="preserve">supervisors;</w:t>
      </w:r>
    </w:p>
    <w:p>
      <w:pPr>
        <w:pStyle w:val="Compact"/>
        <w:numPr>
          <w:ilvl w:val="0"/>
          <w:numId w:val="1027"/>
        </w:numPr>
      </w:pPr>
      <w:r>
        <w:t xml:space="preserve">methodologists/biostatisticians; and</w:t>
      </w:r>
    </w:p>
    <w:p>
      <w:pPr>
        <w:pStyle w:val="Compact"/>
        <w:numPr>
          <w:ilvl w:val="0"/>
          <w:numId w:val="1027"/>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w:t>
      </w:r>
    </w:p>
    <w:p>
      <w:pPr>
        <w:pStyle w:val="Compact"/>
        <w:numPr>
          <w:ilvl w:val="0"/>
          <w:numId w:val="1028"/>
        </w:numPr>
      </w:pPr>
      <w:r>
        <w:t xml:space="preserve">the denominator excludes</w:t>
      </w:r>
      <w:r>
        <w:t xml:space="preserve"> </w:t>
      </w:r>
      <w:r>
        <w:t xml:space="preserve">“cannot judge”</w:t>
      </w:r>
      <w:r>
        <w:t xml:space="preserve"> </w:t>
      </w:r>
      <w:r>
        <w:t xml:space="preserve">responses.</w:t>
      </w:r>
    </w:p>
    <w:p>
      <w:pPr>
        <w:pStyle w:val="Compact"/>
        <w:numPr>
          <w:ilvl w:val="0"/>
          <w:numId w:val="1028"/>
        </w:numPr>
      </w:pPr>
      <w:r>
        <w:t xml:space="preserve">only participants completing both rounds are considered.</w:t>
      </w:r>
    </w:p>
    <w:p>
      <w:pPr>
        <w:pStyle w:val="FirstParagraph"/>
      </w:pPr>
      <w:r>
        <w:t xml:space="preserve">These analyses will be prespecified before the final analysis where feasible.</w:t>
      </w:r>
    </w:p>
    <w:bookmarkEnd w:id="29"/>
    <w:bookmarkStart w:id="30" w:name="bias-and-mitigation-strategies"/>
    <w:p>
      <w:pPr>
        <w:pStyle w:val="Heading1"/>
      </w:pPr>
      <w:r>
        <w:t xml:space="preserve">11. Bias and Mitigation Strategies</w:t>
      </w:r>
    </w:p>
    <w:p>
      <w:pPr>
        <w:numPr>
          <w:ilvl w:val="0"/>
          <w:numId w:val="1029"/>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29"/>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29"/>
        </w:numPr>
      </w:pPr>
      <w:r>
        <w:t xml:space="preserve">Attrition bias: Loss of participants between rounds may alter the final consensus. Attrition will therefore be reported by stakeholder group and considered when interpreting the findings.</w:t>
      </w:r>
    </w:p>
    <w:bookmarkEnd w:id="30"/>
    <w:bookmarkStart w:id="31"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19.6</w:t>
        </w:r>
      </w:hyperlink>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19.5</w:t>
        </w:r>
      </w:hyperlink>
      <w:r>
        <w:t xml:space="preserve">) will include:</w:t>
      </w:r>
    </w:p>
    <w:p>
      <w:pPr>
        <w:pStyle w:val="Compact"/>
        <w:numPr>
          <w:ilvl w:val="0"/>
          <w:numId w:val="1030"/>
        </w:numPr>
      </w:pPr>
      <w:r>
        <w:t xml:space="preserve">the purpose of the study;</w:t>
      </w:r>
    </w:p>
    <w:p>
      <w:pPr>
        <w:pStyle w:val="Compact"/>
        <w:numPr>
          <w:ilvl w:val="0"/>
          <w:numId w:val="1030"/>
        </w:numPr>
      </w:pPr>
      <w:r>
        <w:t xml:space="preserve">what participation involves;</w:t>
      </w:r>
    </w:p>
    <w:p>
      <w:pPr>
        <w:pStyle w:val="Compact"/>
        <w:numPr>
          <w:ilvl w:val="0"/>
          <w:numId w:val="1030"/>
        </w:numPr>
      </w:pPr>
      <w:r>
        <w:t xml:space="preserve">the expected time commitment;</w:t>
      </w:r>
    </w:p>
    <w:p>
      <w:pPr>
        <w:pStyle w:val="Compact"/>
        <w:numPr>
          <w:ilvl w:val="0"/>
          <w:numId w:val="1030"/>
        </w:numPr>
      </w:pPr>
      <w:r>
        <w:t xml:space="preserve">the voluntary nature of participation;</w:t>
      </w:r>
    </w:p>
    <w:p>
      <w:pPr>
        <w:pStyle w:val="Compact"/>
        <w:numPr>
          <w:ilvl w:val="0"/>
          <w:numId w:val="1030"/>
        </w:numPr>
      </w:pPr>
      <w:r>
        <w:t xml:space="preserve">the right to withdraw without penalty;</w:t>
      </w:r>
    </w:p>
    <w:p>
      <w:pPr>
        <w:pStyle w:val="Compact"/>
        <w:numPr>
          <w:ilvl w:val="0"/>
          <w:numId w:val="1030"/>
        </w:numPr>
      </w:pPr>
      <w:r>
        <w:t xml:space="preserve">the right to request removal of data;</w:t>
      </w:r>
    </w:p>
    <w:p>
      <w:pPr>
        <w:pStyle w:val="Compact"/>
        <w:numPr>
          <w:ilvl w:val="0"/>
          <w:numId w:val="1030"/>
        </w:numPr>
      </w:pPr>
      <w:r>
        <w:t xml:space="preserve">confidentiality and anonymity procedures;</w:t>
      </w:r>
    </w:p>
    <w:p>
      <w:pPr>
        <w:pStyle w:val="Compact"/>
        <w:numPr>
          <w:ilvl w:val="0"/>
          <w:numId w:val="1030"/>
        </w:numPr>
      </w:pPr>
      <w:r>
        <w:t xml:space="preserve">the right to request removal of data;</w:t>
      </w:r>
    </w:p>
    <w:p>
      <w:pPr>
        <w:pStyle w:val="Compact"/>
        <w:numPr>
          <w:ilvl w:val="0"/>
          <w:numId w:val="1030"/>
        </w:numPr>
      </w:pPr>
      <w:r>
        <w:t xml:space="preserve">foreseeable risks and benefits;</w:t>
      </w:r>
    </w:p>
    <w:p>
      <w:pPr>
        <w:pStyle w:val="Compact"/>
        <w:numPr>
          <w:ilvl w:val="0"/>
          <w:numId w:val="1030"/>
        </w:numPr>
      </w:pPr>
      <w:r>
        <w:t xml:space="preserve">how data will be used and stored; and</w:t>
      </w:r>
    </w:p>
    <w:p>
      <w:pPr>
        <w:pStyle w:val="Compact"/>
        <w:numPr>
          <w:ilvl w:val="0"/>
          <w:numId w:val="1030"/>
        </w:numPr>
      </w:pPr>
      <w:r>
        <w:t xml:space="preserve">contact information for the research team and ethics committee.</w:t>
      </w:r>
    </w:p>
    <w:p>
      <w:pPr>
        <w:pStyle w:val="FirstParagraph"/>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w:t>
      </w:r>
    </w:p>
    <w:p>
      <w:pPr>
        <w:pStyle w:val="Compact"/>
        <w:numPr>
          <w:ilvl w:val="0"/>
          <w:numId w:val="1031"/>
        </w:numPr>
      </w:pPr>
      <w:r>
        <w:t xml:space="preserve">invitations will be sent directly to potential participants;</w:t>
      </w:r>
    </w:p>
    <w:p>
      <w:pPr>
        <w:pStyle w:val="Compact"/>
        <w:numPr>
          <w:ilvl w:val="0"/>
          <w:numId w:val="1031"/>
        </w:numPr>
      </w:pPr>
      <w:r>
        <w:t xml:space="preserve">participation will not be arranged through a direct supervisor;</w:t>
      </w:r>
    </w:p>
    <w:p>
      <w:pPr>
        <w:pStyle w:val="Compact"/>
        <w:numPr>
          <w:ilvl w:val="0"/>
          <w:numId w:val="1031"/>
        </w:numPr>
      </w:pPr>
      <w:r>
        <w:t xml:space="preserve">supervisors will not know whether a specific junior researcher participated;</w:t>
      </w:r>
    </w:p>
    <w:p>
      <w:pPr>
        <w:pStyle w:val="Compact"/>
        <w:numPr>
          <w:ilvl w:val="0"/>
          <w:numId w:val="1031"/>
        </w:numPr>
      </w:pPr>
      <w:r>
        <w:t xml:space="preserve">reminders will be automated and sent by research staff who are not in a direct supervisory relationship with potential participants;</w:t>
      </w:r>
    </w:p>
    <w:p>
      <w:pPr>
        <w:pStyle w:val="Compact"/>
        <w:numPr>
          <w:ilvl w:val="0"/>
          <w:numId w:val="1031"/>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w:t>
      </w:r>
    </w:p>
    <w:p>
      <w:pPr>
        <w:pStyle w:val="BodyText"/>
      </w:pPr>
      <w:r>
        <w:rPr>
          <w:b/>
          <w:bCs/>
        </w:rPr>
        <w:t xml:space="preserve">Conflicts of Interest</w:t>
      </w:r>
    </w:p>
    <w:p>
      <w:pPr>
        <w:pStyle w:val="BodyText"/>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31"/>
    <w:bookmarkStart w:id="32"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 including relevant variation across stakeholder groups. If the prespecified representation criteria are not met, the findings will be labeled as limited in representativeness and interpreted cautiously.</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32"/>
        </w:numPr>
      </w:pPr>
      <w:r>
        <w:t xml:space="preserve">important and modifiable barriers to valid, relevant, and high-value medical research among early-career researchers in Egypt; and</w:t>
      </w:r>
    </w:p>
    <w:p>
      <w:pPr>
        <w:numPr>
          <w:ilvl w:val="0"/>
          <w:numId w:val="1032"/>
        </w:numPr>
      </w:pPr>
      <w:r>
        <w:t xml:space="preserve">important, feasible interventions to address these barriers.</w:t>
      </w:r>
    </w:p>
    <w:p>
      <w:pPr>
        <w:pStyle w:val="FirstParagraph"/>
      </w:pPr>
      <w:r>
        <w:t xml:space="preserve">The resulting priority framework may organize identified interventions across the following levels:</w:t>
      </w:r>
    </w:p>
    <w:p>
      <w:pPr>
        <w:pStyle w:val="TableCaption"/>
      </w:pPr>
      <w:r>
        <w:t xml:space="preserve">The study will generate a consensus-based priority framework to inform subsequent research-capacity planning and implementation research. The framework will represent stakeholder judgments about priorities; it will not establish the causal effectiveness of individual interventions.</w:t>
      </w:r>
    </w:p>
    <w:tbl>
      <w:tblPr>
        <w:tblStyle w:val="Table"/>
        <w:tblW w:type="pct" w:w="5000"/>
        <w:tblLayout w:type="fixed"/>
        <w:tblLook w:firstRow="1" w:lastRow="0" w:firstColumn="0" w:lastColumn="0" w:noHBand="0" w:noVBand="0" w:val="0020"/>
        <w:tblCaption w:val="The study will generate a consensus-based priority framework to inform subsequent research-capacity planning and implementation research. The framework will represent stakeholder judgments about priorities; it will not establish the causal effectiveness of individual interventions."/>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2"/>
    <w:bookmarkStart w:id="33" w:name="stakeholder-validation-workshop"/>
    <w:p>
      <w:pPr>
        <w:pStyle w:val="Heading1"/>
      </w:pPr>
      <w:r>
        <w:t xml:space="preserve">14. Stakeholder Validation Workshop</w:t>
      </w:r>
    </w:p>
    <w:p>
      <w:pPr>
        <w:pStyle w:val="FirstParagraph"/>
      </w:pPr>
      <w:r>
        <w:t xml:space="preserve">After completion of the Delphi rounds, a stakeholder validation workshop may be convened to examine the practical interpretation and implementation implications of the consensus findings. Participation in the validation workshop will be voluntary and will require separate invitation and consent. The workshop will not be used to alter the predefined Delphi consensus classifications. Its purpose will be to:</w:t>
      </w:r>
    </w:p>
    <w:p>
      <w:pPr>
        <w:pStyle w:val="Compact"/>
        <w:numPr>
          <w:ilvl w:val="0"/>
          <w:numId w:val="1033"/>
        </w:numPr>
      </w:pPr>
      <w:r>
        <w:t xml:space="preserve">assess whether the final framework is understandable and practically useful;</w:t>
      </w:r>
    </w:p>
    <w:p>
      <w:pPr>
        <w:pStyle w:val="Compact"/>
        <w:numPr>
          <w:ilvl w:val="0"/>
          <w:numId w:val="1033"/>
        </w:numPr>
      </w:pPr>
      <w:r>
        <w:t xml:space="preserve">identify implementation considerations;</w:t>
      </w:r>
    </w:p>
    <w:p>
      <w:pPr>
        <w:pStyle w:val="Compact"/>
        <w:numPr>
          <w:ilvl w:val="0"/>
          <w:numId w:val="1033"/>
        </w:numPr>
      </w:pPr>
      <w:r>
        <w:t xml:space="preserve">identify unintended consequences or feasibility concerns;</w:t>
      </w:r>
    </w:p>
    <w:p>
      <w:pPr>
        <w:pStyle w:val="Compact"/>
        <w:numPr>
          <w:ilvl w:val="0"/>
          <w:numId w:val="1033"/>
        </w:numPr>
      </w:pPr>
      <w:r>
        <w:t xml:space="preserve">identify gaps requiring future empirical research; and</w:t>
      </w:r>
    </w:p>
    <w:p>
      <w:pPr>
        <w:pStyle w:val="Compact"/>
        <w:numPr>
          <w:ilvl w:val="0"/>
          <w:numId w:val="1033"/>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33"/>
    <w:bookmarkStart w:id="34" w:name="funding-registration-and-open-science"/>
    <w:p>
      <w:pPr>
        <w:pStyle w:val="Heading1"/>
      </w:pPr>
      <w:r>
        <w:t xml:space="preserve">15.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bookmarkEnd w:id="34"/>
    <w:bookmarkStart w:id="35" w:name="timeline"/>
    <w:p>
      <w:pPr>
        <w:pStyle w:val="Heading1"/>
      </w:pPr>
      <w:r>
        <w:t xml:space="preserve">16. Timeline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5"/>
    <w:bookmarkStart w:id="36" w:name="dissemination"/>
    <w:p>
      <w:pPr>
        <w:pStyle w:val="Heading1"/>
      </w:pPr>
      <w:r>
        <w:t xml:space="preserve">17. Dissemination</w:t>
      </w:r>
    </w:p>
    <w:p>
      <w:pPr>
        <w:pStyle w:val="FirstParagraph"/>
      </w:pPr>
      <w:r>
        <w:t xml:space="preserve">Findings will be disseminated through:</w:t>
      </w:r>
    </w:p>
    <w:p>
      <w:pPr>
        <w:pStyle w:val="Compact"/>
        <w:numPr>
          <w:ilvl w:val="0"/>
          <w:numId w:val="1034"/>
        </w:numPr>
      </w:pPr>
      <w:r>
        <w:t xml:space="preserve">peer-reviewed scientific publication;</w:t>
      </w:r>
    </w:p>
    <w:p>
      <w:pPr>
        <w:pStyle w:val="Compact"/>
        <w:numPr>
          <w:ilvl w:val="0"/>
          <w:numId w:val="1034"/>
        </w:numPr>
      </w:pPr>
      <w:r>
        <w:t xml:space="preserve">a policy brief; and</w:t>
      </w:r>
    </w:p>
    <w:p>
      <w:pPr>
        <w:pStyle w:val="Compact"/>
        <w:numPr>
          <w:ilvl w:val="0"/>
          <w:numId w:val="1034"/>
        </w:numPr>
      </w:pPr>
      <w:r>
        <w:t xml:space="preserve">stakeholder-focused webinars;</w:t>
      </w:r>
    </w:p>
    <w:p>
      <w:pPr>
        <w:pStyle w:val="FirstParagraph"/>
      </w:pPr>
      <w:r>
        <w:t xml:space="preserve">Dissemination materials will distinguish between:</w:t>
      </w:r>
    </w:p>
    <w:p>
      <w:pPr>
        <w:pStyle w:val="Compact"/>
        <w:numPr>
          <w:ilvl w:val="0"/>
          <w:numId w:val="1035"/>
        </w:numPr>
      </w:pPr>
      <w:r>
        <w:t xml:space="preserve">barriers that achieved consensus;</w:t>
      </w:r>
    </w:p>
    <w:p>
      <w:pPr>
        <w:pStyle w:val="Compact"/>
        <w:numPr>
          <w:ilvl w:val="0"/>
          <w:numId w:val="1035"/>
        </w:numPr>
      </w:pPr>
      <w:r>
        <w:t xml:space="preserve">interventions that achieved consensus as important and feasible;</w:t>
      </w:r>
    </w:p>
    <w:p>
      <w:pPr>
        <w:pStyle w:val="Compact"/>
        <w:numPr>
          <w:ilvl w:val="0"/>
          <w:numId w:val="1035"/>
        </w:numPr>
      </w:pPr>
      <w:r>
        <w:t xml:space="preserve">areas of persistent disagreement; and</w:t>
      </w:r>
    </w:p>
    <w:p>
      <w:pPr>
        <w:pStyle w:val="Compact"/>
        <w:numPr>
          <w:ilvl w:val="0"/>
          <w:numId w:val="1035"/>
        </w:numPr>
      </w:pPr>
      <w:r>
        <w:t xml:space="preserve">recommendations that require subsequent empirical evaluation.</w:t>
      </w:r>
    </w:p>
    <w:bookmarkEnd w:id="36"/>
    <w:bookmarkStart w:id="37" w:name="limitations"/>
    <w:p>
      <w:pPr>
        <w:pStyle w:val="Heading1"/>
      </w:pPr>
      <w:r>
        <w:t xml:space="preserve">18.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37"/>
    <w:bookmarkStart w:id="45" w:name="appendices"/>
    <w:p>
      <w:pPr>
        <w:pStyle w:val="Heading1"/>
      </w:pPr>
      <w:r>
        <w:t xml:space="preserve">19. Appendices</w:t>
      </w:r>
    </w:p>
    <w:bookmarkStart w:id="38" w:name="appendix-1.-investigators-and-roles"/>
    <w:p>
      <w:pPr>
        <w:pStyle w:val="Heading2"/>
      </w:pPr>
      <w:r>
        <w:t xml:space="preserve">19.1 Appendix 1. Investigators and Roles</w:t>
      </w:r>
    </w:p>
    <w:p>
      <w:pPr>
        <w:pStyle w:val="Compact"/>
        <w:numPr>
          <w:ilvl w:val="0"/>
          <w:numId w:val="1036"/>
        </w:numPr>
      </w:pPr>
      <w:r>
        <w:rPr>
          <w:b/>
          <w:bCs/>
        </w:rPr>
        <w:t xml:space="preserve">Principal Investigator (PI):</w:t>
      </w:r>
      <w:r>
        <w:t xml:space="preserve"> </w:t>
      </w:r>
      <w:r>
        <w:t xml:space="preserve">Prof. Ashraf Nabhan (Faculty of Medicine, MTI University).</w:t>
      </w:r>
    </w:p>
    <w:p>
      <w:pPr>
        <w:pStyle w:val="Compact"/>
        <w:numPr>
          <w:ilvl w:val="0"/>
          <w:numId w:val="1036"/>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6"/>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6"/>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38"/>
    <w:bookmarkStart w:id="39" w:name="appendix-2.-proposed-barrier-domains"/>
    <w:p>
      <w:pPr>
        <w:pStyle w:val="Heading2"/>
      </w:pPr>
      <w:r>
        <w:t xml:space="preserve">19.2 Appendix 2. Proposed barrier domains</w:t>
      </w:r>
    </w:p>
    <w:p>
      <w:pPr>
        <w:pStyle w:val="Compact"/>
        <w:numPr>
          <w:ilvl w:val="0"/>
          <w:numId w:val="1037"/>
        </w:numPr>
      </w:pPr>
      <w:r>
        <w:t xml:space="preserve">Research question selection and prioritization</w:t>
      </w:r>
    </w:p>
    <w:p>
      <w:pPr>
        <w:pStyle w:val="Compact"/>
        <w:numPr>
          <w:ilvl w:val="0"/>
          <w:numId w:val="1037"/>
        </w:numPr>
      </w:pPr>
      <w:r>
        <w:t xml:space="preserve">Evidence searching and synthesis</w:t>
      </w:r>
    </w:p>
    <w:p>
      <w:pPr>
        <w:pStyle w:val="Compact"/>
        <w:numPr>
          <w:ilvl w:val="0"/>
          <w:numId w:val="1037"/>
        </w:numPr>
      </w:pPr>
      <w:r>
        <w:t xml:space="preserve">Research-methodology knowledge</w:t>
      </w:r>
    </w:p>
    <w:p>
      <w:pPr>
        <w:pStyle w:val="Compact"/>
        <w:numPr>
          <w:ilvl w:val="0"/>
          <w:numId w:val="1037"/>
        </w:numPr>
      </w:pPr>
      <w:r>
        <w:t xml:space="preserve">Biostatistics and data analysis</w:t>
      </w:r>
    </w:p>
    <w:p>
      <w:pPr>
        <w:pStyle w:val="Compact"/>
        <w:numPr>
          <w:ilvl w:val="0"/>
          <w:numId w:val="1037"/>
        </w:numPr>
      </w:pPr>
      <w:r>
        <w:t xml:space="preserve">Scientific writing and reporting</w:t>
      </w:r>
    </w:p>
    <w:p>
      <w:pPr>
        <w:pStyle w:val="Compact"/>
        <w:numPr>
          <w:ilvl w:val="0"/>
          <w:numId w:val="1037"/>
        </w:numPr>
      </w:pPr>
      <w:r>
        <w:t xml:space="preserve">Research supervision and mentorship</w:t>
      </w:r>
    </w:p>
    <w:p>
      <w:pPr>
        <w:pStyle w:val="Compact"/>
        <w:numPr>
          <w:ilvl w:val="0"/>
          <w:numId w:val="1037"/>
        </w:numPr>
      </w:pPr>
      <w:r>
        <w:t xml:space="preserve">Protected research time</w:t>
      </w:r>
    </w:p>
    <w:p>
      <w:pPr>
        <w:pStyle w:val="Compact"/>
        <w:numPr>
          <w:ilvl w:val="0"/>
          <w:numId w:val="1037"/>
        </w:numPr>
      </w:pPr>
      <w:r>
        <w:t xml:space="preserve">Funding and financial resources</w:t>
      </w:r>
    </w:p>
    <w:p>
      <w:pPr>
        <w:pStyle w:val="Compact"/>
        <w:numPr>
          <w:ilvl w:val="0"/>
          <w:numId w:val="1037"/>
        </w:numPr>
      </w:pPr>
      <w:r>
        <w:t xml:space="preserve">Data availability and access</w:t>
      </w:r>
    </w:p>
    <w:p>
      <w:pPr>
        <w:pStyle w:val="Compact"/>
        <w:numPr>
          <w:ilvl w:val="0"/>
          <w:numId w:val="1037"/>
        </w:numPr>
      </w:pPr>
      <w:r>
        <w:t xml:space="preserve">Laboratory and technical infrastructure</w:t>
      </w:r>
    </w:p>
    <w:p>
      <w:pPr>
        <w:pStyle w:val="Compact"/>
        <w:numPr>
          <w:ilvl w:val="0"/>
          <w:numId w:val="1037"/>
        </w:numPr>
      </w:pPr>
      <w:r>
        <w:t xml:space="preserve">Research ethics and administrative processes</w:t>
      </w:r>
    </w:p>
    <w:p>
      <w:pPr>
        <w:pStyle w:val="Compact"/>
        <w:numPr>
          <w:ilvl w:val="0"/>
          <w:numId w:val="1037"/>
        </w:numPr>
      </w:pPr>
      <w:r>
        <w:t xml:space="preserve">Collaboration and multidisciplinary research</w:t>
      </w:r>
    </w:p>
    <w:p>
      <w:pPr>
        <w:pStyle w:val="Compact"/>
        <w:numPr>
          <w:ilvl w:val="0"/>
          <w:numId w:val="1037"/>
        </w:numPr>
      </w:pPr>
      <w:r>
        <w:t xml:space="preserve">Institutional research culture</w:t>
      </w:r>
    </w:p>
    <w:p>
      <w:pPr>
        <w:pStyle w:val="Compact"/>
        <w:numPr>
          <w:ilvl w:val="0"/>
          <w:numId w:val="1037"/>
        </w:numPr>
      </w:pPr>
      <w:r>
        <w:t xml:space="preserve">Academic promotion and incentive structures</w:t>
      </w:r>
    </w:p>
    <w:p>
      <w:pPr>
        <w:pStyle w:val="Compact"/>
        <w:numPr>
          <w:ilvl w:val="0"/>
          <w:numId w:val="1037"/>
        </w:numPr>
      </w:pPr>
      <w:r>
        <w:t xml:space="preserve">Publication and dissemination</w:t>
      </w:r>
    </w:p>
    <w:p>
      <w:pPr>
        <w:pStyle w:val="Compact"/>
        <w:numPr>
          <w:ilvl w:val="0"/>
          <w:numId w:val="1037"/>
        </w:numPr>
      </w:pPr>
      <w:r>
        <w:t xml:space="preserve">Research governance and integrity</w:t>
      </w:r>
    </w:p>
    <w:p>
      <w:pPr>
        <w:pStyle w:val="Compact"/>
        <w:numPr>
          <w:ilvl w:val="0"/>
          <w:numId w:val="1037"/>
        </w:numPr>
      </w:pPr>
      <w:r>
        <w:t xml:space="preserve">National research policy and infrastructure</w:t>
      </w:r>
    </w:p>
    <w:bookmarkEnd w:id="39"/>
    <w:bookmarkStart w:id="40" w:name="Xbad515ac281b62739dfb411df580324f52669ee"/>
    <w:p>
      <w:pPr>
        <w:pStyle w:val="Heading2"/>
      </w:pPr>
      <w:r>
        <w:t xml:space="preserve">19.3 Appendix 3. Proposed intervention domains</w:t>
      </w:r>
    </w:p>
    <w:p>
      <w:pPr>
        <w:pStyle w:val="Compact"/>
        <w:numPr>
          <w:ilvl w:val="0"/>
          <w:numId w:val="1038"/>
        </w:numPr>
      </w:pPr>
      <w:r>
        <w:t xml:space="preserve">Structured research-methodology curricula</w:t>
      </w:r>
    </w:p>
    <w:p>
      <w:pPr>
        <w:pStyle w:val="Compact"/>
        <w:numPr>
          <w:ilvl w:val="0"/>
          <w:numId w:val="1038"/>
        </w:numPr>
      </w:pPr>
      <w:r>
        <w:t xml:space="preserve">Supervisor-development programmes</w:t>
      </w:r>
    </w:p>
    <w:p>
      <w:pPr>
        <w:pStyle w:val="Compact"/>
        <w:numPr>
          <w:ilvl w:val="0"/>
          <w:numId w:val="1038"/>
        </w:numPr>
      </w:pPr>
      <w:r>
        <w:t xml:space="preserve">Formal mentorship systems</w:t>
      </w:r>
    </w:p>
    <w:p>
      <w:pPr>
        <w:pStyle w:val="Compact"/>
        <w:numPr>
          <w:ilvl w:val="0"/>
          <w:numId w:val="1038"/>
        </w:numPr>
      </w:pPr>
      <w:r>
        <w:t xml:space="preserve">Institutional statistical/methodological consultation</w:t>
      </w:r>
    </w:p>
    <w:p>
      <w:pPr>
        <w:pStyle w:val="Compact"/>
        <w:numPr>
          <w:ilvl w:val="0"/>
          <w:numId w:val="1038"/>
        </w:numPr>
      </w:pPr>
      <w:r>
        <w:t xml:space="preserve">Protected research time</w:t>
      </w:r>
    </w:p>
    <w:p>
      <w:pPr>
        <w:pStyle w:val="Compact"/>
        <w:numPr>
          <w:ilvl w:val="0"/>
          <w:numId w:val="1038"/>
        </w:numPr>
      </w:pPr>
      <w:r>
        <w:t xml:space="preserve">Small-grant and seed-funding mechanisms</w:t>
      </w:r>
    </w:p>
    <w:p>
      <w:pPr>
        <w:pStyle w:val="Compact"/>
        <w:numPr>
          <w:ilvl w:val="0"/>
          <w:numId w:val="1038"/>
        </w:numPr>
      </w:pPr>
      <w:r>
        <w:t xml:space="preserve">Shared research infrastructure</w:t>
      </w:r>
    </w:p>
    <w:p>
      <w:pPr>
        <w:pStyle w:val="Compact"/>
        <w:numPr>
          <w:ilvl w:val="0"/>
          <w:numId w:val="1038"/>
        </w:numPr>
      </w:pPr>
      <w:r>
        <w:t xml:space="preserve">Research-support offices</w:t>
      </w:r>
    </w:p>
    <w:p>
      <w:pPr>
        <w:pStyle w:val="Compact"/>
        <w:numPr>
          <w:ilvl w:val="0"/>
          <w:numId w:val="1038"/>
        </w:numPr>
      </w:pPr>
      <w:r>
        <w:t xml:space="preserve">Data-access systems</w:t>
      </w:r>
    </w:p>
    <w:p>
      <w:pPr>
        <w:pStyle w:val="Compact"/>
        <w:numPr>
          <w:ilvl w:val="0"/>
          <w:numId w:val="1038"/>
        </w:numPr>
      </w:pPr>
      <w:r>
        <w:t xml:space="preserve">Research collaboration networks</w:t>
      </w:r>
    </w:p>
    <w:p>
      <w:pPr>
        <w:pStyle w:val="Compact"/>
        <w:numPr>
          <w:ilvl w:val="0"/>
          <w:numId w:val="1038"/>
        </w:numPr>
      </w:pPr>
      <w:r>
        <w:t xml:space="preserve">Research-integrity and reporting training</w:t>
      </w:r>
    </w:p>
    <w:p>
      <w:pPr>
        <w:pStyle w:val="Compact"/>
        <w:numPr>
          <w:ilvl w:val="0"/>
          <w:numId w:val="1038"/>
        </w:numPr>
      </w:pPr>
      <w:r>
        <w:t xml:space="preserve">Incentive and promotion reform</w:t>
      </w:r>
    </w:p>
    <w:p>
      <w:pPr>
        <w:pStyle w:val="Compact"/>
        <w:numPr>
          <w:ilvl w:val="0"/>
          <w:numId w:val="1038"/>
        </w:numPr>
      </w:pPr>
      <w:r>
        <w:t xml:space="preserve">Research-priority setting</w:t>
      </w:r>
    </w:p>
    <w:p>
      <w:pPr>
        <w:pStyle w:val="Compact"/>
        <w:numPr>
          <w:ilvl w:val="0"/>
          <w:numId w:val="1038"/>
        </w:numPr>
      </w:pPr>
      <w:r>
        <w:t xml:space="preserve">National research-capacity programmes</w:t>
      </w:r>
    </w:p>
    <w:p>
      <w:pPr>
        <w:pStyle w:val="Compact"/>
        <w:numPr>
          <w:ilvl w:val="0"/>
          <w:numId w:val="1038"/>
        </w:numPr>
      </w:pPr>
      <w:r>
        <w:t xml:space="preserve">Mechanisms for dissemination and uptake of research findings</w:t>
      </w:r>
    </w:p>
    <w:bookmarkEnd w:id="40"/>
    <w:bookmarkStart w:id="41" w:name="appendix-4.-study-level-audit-trail"/>
    <w:p>
      <w:pPr>
        <w:pStyle w:val="Heading2"/>
      </w:pPr>
      <w:r>
        <w:t xml:space="preserve">19.4 Appendix 4. Study-level audit trail</w:t>
      </w:r>
    </w:p>
    <w:p>
      <w:pPr>
        <w:pStyle w:val="FirstParagraph"/>
      </w:pPr>
      <w:r>
        <w:t xml:space="preserve">The research team will maintain a study-level audit trail containing:</w:t>
      </w:r>
    </w:p>
    <w:p>
      <w:pPr>
        <w:pStyle w:val="Compact"/>
        <w:numPr>
          <w:ilvl w:val="0"/>
          <w:numId w:val="1039"/>
        </w:numPr>
      </w:pPr>
      <w:r>
        <w:t xml:space="preserve">protocol version;</w:t>
      </w:r>
    </w:p>
    <w:p>
      <w:pPr>
        <w:pStyle w:val="Compact"/>
        <w:numPr>
          <w:ilvl w:val="0"/>
          <w:numId w:val="1039"/>
        </w:numPr>
      </w:pPr>
      <w:r>
        <w:t xml:space="preserve">item wording and revisions;</w:t>
      </w:r>
    </w:p>
    <w:p>
      <w:pPr>
        <w:pStyle w:val="Compact"/>
        <w:numPr>
          <w:ilvl w:val="0"/>
          <w:numId w:val="1039"/>
        </w:numPr>
      </w:pPr>
      <w:r>
        <w:t xml:space="preserve">reason for each material item change;</w:t>
      </w:r>
    </w:p>
    <w:p>
      <w:pPr>
        <w:pStyle w:val="Compact"/>
        <w:numPr>
          <w:ilvl w:val="0"/>
          <w:numId w:val="1039"/>
        </w:numPr>
      </w:pPr>
      <w:r>
        <w:t xml:space="preserve">participant recruitment numbers;</w:t>
      </w:r>
    </w:p>
    <w:p>
      <w:pPr>
        <w:pStyle w:val="Compact"/>
        <w:numPr>
          <w:ilvl w:val="0"/>
          <w:numId w:val="1039"/>
        </w:numPr>
      </w:pPr>
      <w:r>
        <w:t xml:space="preserve">stakeholder category;</w:t>
      </w:r>
    </w:p>
    <w:p>
      <w:pPr>
        <w:pStyle w:val="Compact"/>
        <w:numPr>
          <w:ilvl w:val="0"/>
          <w:numId w:val="1039"/>
        </w:numPr>
      </w:pPr>
      <w:r>
        <w:t xml:space="preserve">round-specific response rates;</w:t>
      </w:r>
    </w:p>
    <w:p>
      <w:pPr>
        <w:pStyle w:val="Compact"/>
        <w:numPr>
          <w:ilvl w:val="0"/>
          <w:numId w:val="1039"/>
        </w:numPr>
      </w:pPr>
      <w:r>
        <w:t xml:space="preserve">item-level response distributions;</w:t>
      </w:r>
    </w:p>
    <w:p>
      <w:pPr>
        <w:pStyle w:val="Compact"/>
        <w:numPr>
          <w:ilvl w:val="0"/>
          <w:numId w:val="1039"/>
        </w:numPr>
      </w:pPr>
      <w:r>
        <w:t xml:space="preserve">median and IQR;</w:t>
      </w:r>
    </w:p>
    <w:p>
      <w:pPr>
        <w:pStyle w:val="Compact"/>
        <w:numPr>
          <w:ilvl w:val="0"/>
          <w:numId w:val="1039"/>
        </w:numPr>
      </w:pPr>
      <w:r>
        <w:t xml:space="preserve">consensus classification;</w:t>
      </w:r>
    </w:p>
    <w:p>
      <w:pPr>
        <w:pStyle w:val="Compact"/>
        <w:numPr>
          <w:ilvl w:val="0"/>
          <w:numId w:val="1039"/>
        </w:numPr>
      </w:pPr>
      <w:r>
        <w:t xml:space="preserve">feedback provided to participants;</w:t>
      </w:r>
    </w:p>
    <w:p>
      <w:pPr>
        <w:pStyle w:val="Compact"/>
        <w:numPr>
          <w:ilvl w:val="0"/>
          <w:numId w:val="1039"/>
        </w:numPr>
      </w:pPr>
      <w:r>
        <w:t xml:space="preserve">Round-2 disposition;</w:t>
      </w:r>
    </w:p>
    <w:p>
      <w:pPr>
        <w:pStyle w:val="Compact"/>
        <w:numPr>
          <w:ilvl w:val="0"/>
          <w:numId w:val="1039"/>
        </w:numPr>
      </w:pPr>
      <w:r>
        <w:t xml:space="preserve">subgroup findings;</w:t>
      </w:r>
    </w:p>
    <w:p>
      <w:pPr>
        <w:pStyle w:val="Compact"/>
        <w:numPr>
          <w:ilvl w:val="0"/>
          <w:numId w:val="1039"/>
        </w:numPr>
      </w:pPr>
      <w:r>
        <w:t xml:space="preserve">and documented protocol deviations.</w:t>
      </w:r>
    </w:p>
    <w:bookmarkEnd w:id="41"/>
    <w:bookmarkStart w:id="43" w:name="sec-pis"/>
    <w:p>
      <w:pPr>
        <w:pStyle w:val="Heading2"/>
      </w:pPr>
      <w:r>
        <w:t xml:space="preserve">19.5 Appendix 5. Participant Information Sheet</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Principal Investigator: Prof. Ashraf Nabhan (Faculty of Medicine, MTI University)</w:t>
      </w:r>
    </w:p>
    <w:p>
      <w:pPr>
        <w:pStyle w:val="BodyText"/>
      </w:pPr>
      <w:r>
        <w:t xml:space="preserve">Research Coordinators: Sara Ibrahim Abdelkader and Omar Ahmed Salem</w:t>
      </w:r>
    </w:p>
    <w:p>
      <w:pPr>
        <w:pStyle w:val="BodyText"/>
      </w:pPr>
      <w:r>
        <w:rPr>
          <w:b/>
          <w:bCs/>
        </w:rPr>
        <w:t xml:space="preserve">Invitation to take part</w:t>
      </w:r>
    </w:p>
    <w:p>
      <w:pPr>
        <w:pStyle w:val="BodyText"/>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p>
      <w:pPr>
        <w:pStyle w:val="BodyText"/>
      </w:pPr>
      <w:r>
        <w:rPr>
          <w:b/>
          <w:bCs/>
        </w:rPr>
        <w:t xml:space="preserve">Why is this study being conducted?</w:t>
      </w:r>
    </w:p>
    <w:p>
      <w:pPr>
        <w:pStyle w:val="BodyText"/>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0"/>
        </w:numPr>
      </w:pPr>
      <w:r>
        <w:t xml:space="preserve">The barriers considered most important in limiting valid, relevant, and high-value medical research among early-career researchers in Egypt.</w:t>
      </w:r>
    </w:p>
    <w:p>
      <w:pPr>
        <w:pStyle w:val="Compact"/>
        <w:numPr>
          <w:ilvl w:val="0"/>
          <w:numId w:val="1040"/>
        </w:numPr>
      </w:pPr>
      <w:r>
        <w:t xml:space="preserve">Which barriers are considered modifiable.</w:t>
      </w:r>
    </w:p>
    <w:p>
      <w:pPr>
        <w:pStyle w:val="Compact"/>
        <w:numPr>
          <w:ilvl w:val="0"/>
          <w:numId w:val="1040"/>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p>
      <w:pPr>
        <w:pStyle w:val="BodyText"/>
      </w:pPr>
      <w:r>
        <w:rPr>
          <w:b/>
          <w:bCs/>
        </w:rPr>
        <w:t xml:space="preserve">Why have I been invited?</w:t>
      </w:r>
    </w:p>
    <w:p>
      <w:pPr>
        <w:pStyle w:val="BodyText"/>
      </w:pPr>
      <w:r>
        <w:t xml:space="preserve">You have been invited because of your experience in one or more areas relevant to medical research in Egypt. Eligible participants may include:</w:t>
      </w:r>
    </w:p>
    <w:p>
      <w:pPr>
        <w:pStyle w:val="Compact"/>
        <w:numPr>
          <w:ilvl w:val="0"/>
          <w:numId w:val="1041"/>
        </w:numPr>
      </w:pPr>
      <w:r>
        <w:t xml:space="preserve">Medical students, house officers, residents, teaching assistants, assistant lecturers, or equivalent early-career medical researchers.</w:t>
      </w:r>
    </w:p>
    <w:p>
      <w:pPr>
        <w:pStyle w:val="Compact"/>
        <w:numPr>
          <w:ilvl w:val="0"/>
          <w:numId w:val="1041"/>
        </w:numPr>
      </w:pPr>
      <w:r>
        <w:t xml:space="preserve">Research supervisors.</w:t>
      </w:r>
    </w:p>
    <w:p>
      <w:pPr>
        <w:pStyle w:val="Compact"/>
        <w:numPr>
          <w:ilvl w:val="0"/>
          <w:numId w:val="1041"/>
        </w:numPr>
      </w:pPr>
      <w:r>
        <w:t xml:space="preserve">Biostatisticians, epidemiologists, research methodologists, evidence-synthesis specialists, qualitative researchers, or related experts.</w:t>
      </w:r>
    </w:p>
    <w:p>
      <w:pPr>
        <w:pStyle w:val="Compact"/>
        <w:numPr>
          <w:ilvl w:val="0"/>
          <w:numId w:val="1041"/>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p>
      <w:pPr>
        <w:pStyle w:val="BodyText"/>
      </w:pPr>
      <w:r>
        <w:rPr>
          <w:b/>
          <w:bCs/>
        </w:rPr>
        <w:t xml:space="preserve">What will happen if I take part?</w:t>
      </w:r>
    </w:p>
    <w:p>
      <w:pPr>
        <w:pStyle w:val="BodyText"/>
      </w:pPr>
      <w:r>
        <w:t xml:space="preserve">This is a two-round online modified Delphi study.</w:t>
      </w:r>
    </w:p>
    <w:p>
      <w:pPr>
        <w:pStyle w:val="BodyText"/>
      </w:pPr>
      <w:r>
        <w:rPr>
          <w:b/>
          <w:bCs/>
        </w:rPr>
        <w:t xml:space="preserve">Round 1</w:t>
      </w:r>
    </w:p>
    <w:p>
      <w:pPr>
        <w:pStyle w:val="BodyText"/>
      </w:pPr>
      <w:r>
        <w:t xml:space="preserve">If you agree to participate:</w:t>
      </w:r>
    </w:p>
    <w:p>
      <w:pPr>
        <w:pStyle w:val="Compact"/>
        <w:numPr>
          <w:ilvl w:val="0"/>
          <w:numId w:val="1042"/>
        </w:numPr>
      </w:pPr>
      <w:r>
        <w:t xml:space="preserve">You will complete an electronic consent form.</w:t>
      </w:r>
    </w:p>
    <w:p>
      <w:pPr>
        <w:pStyle w:val="Compact"/>
        <w:numPr>
          <w:ilvl w:val="0"/>
          <w:numId w:val="1042"/>
        </w:numPr>
      </w:pPr>
      <w:r>
        <w:t xml:space="preserve">You will be asked a small number of background questions, such as your stakeholder category, career stage, type of institution, and research-related experience.</w:t>
      </w:r>
    </w:p>
    <w:p>
      <w:pPr>
        <w:pStyle w:val="Compact"/>
        <w:numPr>
          <w:ilvl w:val="0"/>
          <w:numId w:val="1042"/>
        </w:numPr>
      </w:pPr>
      <w:r>
        <w:t xml:space="preserve">You will rate a series of candidate barriers on two 9-point scales:</w:t>
      </w:r>
    </w:p>
    <w:p>
      <w:pPr>
        <w:pStyle w:val="Compact"/>
        <w:numPr>
          <w:ilvl w:val="1"/>
          <w:numId w:val="1043"/>
        </w:numPr>
      </w:pPr>
      <w:r>
        <w:rPr>
          <w:b/>
          <w:bCs/>
        </w:rPr>
        <w:t xml:space="preserve">Importance:</w:t>
      </w:r>
      <w:r>
        <w:t xml:space="preserve"> </w:t>
      </w:r>
      <w:r>
        <w:t xml:space="preserve">from 1 = not important at all to 9 = extremely important.</w:t>
      </w:r>
    </w:p>
    <w:p>
      <w:pPr>
        <w:pStyle w:val="Compact"/>
        <w:numPr>
          <w:ilvl w:val="1"/>
          <w:numId w:val="1043"/>
        </w:numPr>
      </w:pPr>
      <w:r>
        <w:rPr>
          <w:b/>
          <w:bCs/>
        </w:rPr>
        <w:t xml:space="preserve">Modifiability:</w:t>
      </w:r>
      <w:r>
        <w:t xml:space="preserve"> </w:t>
      </w:r>
      <w:r>
        <w:t xml:space="preserve">from 1 = not modifiable to 9 = highly modifiable.</w:t>
      </w:r>
    </w:p>
    <w:p>
      <w:pPr>
        <w:pStyle w:val="Compact"/>
        <w:numPr>
          <w:ilvl w:val="0"/>
          <w:numId w:val="1042"/>
        </w:numPr>
      </w:pPr>
      <w:r>
        <w:t xml:space="preserve">You may select “cannot judge / insufficient experience” for any item you do not feel able to rate.</w:t>
      </w:r>
    </w:p>
    <w:p>
      <w:pPr>
        <w:pStyle w:val="Compact"/>
        <w:numPr>
          <w:ilvl w:val="0"/>
          <w:numId w:val="1042"/>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p>
      <w:pPr>
        <w:pStyle w:val="BodyText"/>
      </w:pPr>
      <w:r>
        <w:rPr>
          <w:b/>
          <w:bCs/>
        </w:rPr>
        <w:t xml:space="preserve">Round 2</w:t>
      </w:r>
    </w:p>
    <w:p>
      <w:pPr>
        <w:pStyle w:val="BodyText"/>
      </w:pPr>
      <w:r>
        <w:t xml:space="preserve">Participants who complete Round 1 may be invited to take part in Round 2. In Round 2:</w:t>
      </w:r>
    </w:p>
    <w:p>
      <w:pPr>
        <w:pStyle w:val="Compact"/>
        <w:numPr>
          <w:ilvl w:val="0"/>
          <w:numId w:val="1044"/>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44"/>
        </w:numPr>
      </w:pPr>
      <w:r>
        <w:t xml:space="preserve">You will be asked to reconsider and re-rate retained or revised barrier items.</w:t>
      </w:r>
    </w:p>
    <w:p>
      <w:pPr>
        <w:pStyle w:val="Compact"/>
        <w:numPr>
          <w:ilvl w:val="0"/>
          <w:numId w:val="1044"/>
        </w:numPr>
      </w:pPr>
      <w:r>
        <w:t xml:space="preserve">You will rate candidate interventions according to:</w:t>
      </w:r>
    </w:p>
    <w:p>
      <w:pPr>
        <w:pStyle w:val="Compact"/>
        <w:numPr>
          <w:ilvl w:val="1"/>
          <w:numId w:val="1045"/>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45"/>
        </w:numPr>
      </w:pPr>
      <w:r>
        <w:rPr>
          <w:b/>
          <w:bCs/>
        </w:rPr>
        <w:t xml:space="preserve">Feasibility:</w:t>
      </w:r>
      <w:r>
        <w:t xml:space="preserve"> </w:t>
      </w:r>
      <w:r>
        <w:t xml:space="preserve">from 1 = not feasible to 9 = highly feasible.</w:t>
      </w:r>
    </w:p>
    <w:p>
      <w:pPr>
        <w:pStyle w:val="Compact"/>
        <w:numPr>
          <w:ilvl w:val="0"/>
          <w:numId w:val="1044"/>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p>
      <w:pPr>
        <w:pStyle w:val="BodyText"/>
      </w:pPr>
      <w:r>
        <w:rPr>
          <w:b/>
          <w:bCs/>
        </w:rPr>
        <w:t xml:space="preserve">What should I consider when responding?</w:t>
      </w:r>
    </w:p>
    <w:p>
      <w:pPr>
        <w:pStyle w:val="BodyText"/>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6"/>
        </w:numPr>
      </w:pPr>
      <w:r>
        <w:t xml:space="preserve">Names of colleagues, supervisors, students, institutions, departments, hospitals, or organizations.</w:t>
      </w:r>
    </w:p>
    <w:p>
      <w:pPr>
        <w:pStyle w:val="Compact"/>
        <w:numPr>
          <w:ilvl w:val="0"/>
          <w:numId w:val="1046"/>
        </w:numPr>
      </w:pPr>
      <w:r>
        <w:t xml:space="preserve">Confidential organizational information.</w:t>
      </w:r>
    </w:p>
    <w:p>
      <w:pPr>
        <w:pStyle w:val="Compact"/>
        <w:numPr>
          <w:ilvl w:val="0"/>
          <w:numId w:val="1046"/>
        </w:numPr>
      </w:pPr>
      <w:r>
        <w:t xml:space="preserve">Allegations about named individuals.</w:t>
      </w:r>
    </w:p>
    <w:p>
      <w:pPr>
        <w:pStyle w:val="Compact"/>
        <w:numPr>
          <w:ilvl w:val="0"/>
          <w:numId w:val="1046"/>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p>
      <w:pPr>
        <w:pStyle w:val="BodyText"/>
      </w:pPr>
      <w:r>
        <w:rPr>
          <w:b/>
          <w:bCs/>
        </w:rPr>
        <w:t xml:space="preserve">Is participation voluntary?</w:t>
      </w:r>
    </w:p>
    <w:p>
      <w:pPr>
        <w:pStyle w:val="BodyText"/>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p>
      <w:pPr>
        <w:pStyle w:val="BodyText"/>
      </w:pPr>
      <w:r>
        <w:rPr>
          <w:b/>
          <w:bCs/>
        </w:rPr>
        <w:t xml:space="preserve">Can I withdraw?</w:t>
      </w:r>
    </w:p>
    <w:p>
      <w:pPr>
        <w:pStyle w:val="BodyText"/>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42">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p>
      <w:pPr>
        <w:pStyle w:val="BodyText"/>
      </w:pPr>
      <w:r>
        <w:rPr>
          <w:b/>
          <w:bCs/>
        </w:rPr>
        <w:t xml:space="preserve">What are the possible risks?</w:t>
      </w:r>
    </w:p>
    <w:p>
      <w:pPr>
        <w:pStyle w:val="BodyText"/>
      </w:pPr>
      <w:r>
        <w:t xml:space="preserve">This study is expected to involve no more than minimal risk.</w:t>
      </w:r>
    </w:p>
    <w:p>
      <w:pPr>
        <w:pStyle w:val="BodyText"/>
      </w:pPr>
      <w:r>
        <w:t xml:space="preserve">Possible risks include:</w:t>
      </w:r>
    </w:p>
    <w:p>
      <w:pPr>
        <w:pStyle w:val="Compact"/>
        <w:numPr>
          <w:ilvl w:val="0"/>
          <w:numId w:val="1047"/>
        </w:numPr>
      </w:pPr>
      <w:r>
        <w:t xml:space="preserve">Minimal discomfort when considering barriers related to supervision, institutional support, research governance, or research culture.</w:t>
      </w:r>
    </w:p>
    <w:p>
      <w:pPr>
        <w:pStyle w:val="Compact"/>
        <w:numPr>
          <w:ilvl w:val="0"/>
          <w:numId w:val="1047"/>
        </w:numPr>
      </w:pPr>
      <w:r>
        <w:t xml:space="preserve">Concern that professional or institutional views could be recognized.</w:t>
      </w:r>
    </w:p>
    <w:p>
      <w:pPr>
        <w:pStyle w:val="FirstParagraph"/>
      </w:pPr>
      <w:r>
        <w:t xml:space="preserve">To reduce these risks:</w:t>
      </w:r>
    </w:p>
    <w:p>
      <w:pPr>
        <w:pStyle w:val="Compact"/>
        <w:numPr>
          <w:ilvl w:val="0"/>
          <w:numId w:val="1048"/>
        </w:numPr>
      </w:pPr>
      <w:r>
        <w:t xml:space="preserve">Participation will occur through an electronic survey rather than a group discussion.</w:t>
      </w:r>
    </w:p>
    <w:p>
      <w:pPr>
        <w:pStyle w:val="Compact"/>
        <w:numPr>
          <w:ilvl w:val="0"/>
          <w:numId w:val="1048"/>
        </w:numPr>
      </w:pPr>
      <w:r>
        <w:t xml:space="preserve">Individual ratings will not be shown to other participants.</w:t>
      </w:r>
    </w:p>
    <w:p>
      <w:pPr>
        <w:pStyle w:val="Compact"/>
        <w:numPr>
          <w:ilvl w:val="0"/>
          <w:numId w:val="1048"/>
        </w:numPr>
      </w:pPr>
      <w:r>
        <w:t xml:space="preserve">Feedback between rounds will be presented only in aggregate form.</w:t>
      </w:r>
    </w:p>
    <w:p>
      <w:pPr>
        <w:pStyle w:val="Compact"/>
        <w:numPr>
          <w:ilvl w:val="0"/>
          <w:numId w:val="1048"/>
        </w:numPr>
      </w:pPr>
      <w:r>
        <w:t xml:space="preserve">Identifying contact information will be stored separately from survey responses.</w:t>
      </w:r>
    </w:p>
    <w:p>
      <w:pPr>
        <w:pStyle w:val="Compact"/>
        <w:numPr>
          <w:ilvl w:val="0"/>
          <w:numId w:val="1048"/>
        </w:numPr>
      </w:pPr>
      <w:r>
        <w:t xml:space="preserve">The analysis dataset will use a study identifier rather than your name or email address.</w:t>
      </w:r>
    </w:p>
    <w:p>
      <w:pPr>
        <w:pStyle w:val="Compact"/>
        <w:numPr>
          <w:ilvl w:val="0"/>
          <w:numId w:val="1048"/>
        </w:numPr>
      </w:pPr>
      <w:r>
        <w:t xml:space="preserve">Reports will present aggregated findings and will avoid reporting small cells or details that could identify an individual or institution.</w:t>
      </w:r>
    </w:p>
    <w:p>
      <w:pPr>
        <w:pStyle w:val="Compact"/>
        <w:numPr>
          <w:ilvl w:val="0"/>
          <w:numId w:val="1048"/>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p>
      <w:pPr>
        <w:pStyle w:val="BodyText"/>
      </w:pPr>
      <w:r>
        <w:rPr>
          <w:b/>
          <w:bCs/>
        </w:rPr>
        <w:t xml:space="preserve">Are there benefits to taking part?</w:t>
      </w:r>
    </w:p>
    <w:p>
      <w:pPr>
        <w:pStyle w:val="BodyText"/>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p>
      <w:pPr>
        <w:pStyle w:val="BodyText"/>
      </w:pPr>
      <w:r>
        <w:rPr>
          <w:b/>
          <w:bCs/>
        </w:rPr>
        <w:t xml:space="preserve">Will I be paid or reimbursed?</w:t>
      </w:r>
    </w:p>
    <w:p>
      <w:pPr>
        <w:pStyle w:val="BodyText"/>
      </w:pPr>
      <w:r>
        <w:t xml:space="preserve">You will not receive payment. Participants who complete both rounds may receive a certificate of participation, if requested. The certificate will not include your ratings or comments.</w:t>
      </w:r>
    </w:p>
    <w:p>
      <w:pPr>
        <w:pStyle w:val="BodyText"/>
      </w:pPr>
      <w:r>
        <w:rPr>
          <w:b/>
          <w:bCs/>
        </w:rPr>
        <w:t xml:space="preserve">How will my information be kept confidential?</w:t>
      </w:r>
    </w:p>
    <w:p>
      <w:pPr>
        <w:pStyle w:val="BodyText"/>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Microsoft University servers and exported to secure, password-protected, access-controlled institutional storage .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p>
      <w:pPr>
        <w:pStyle w:val="BodyText"/>
      </w:pPr>
      <w:r>
        <w:rPr>
          <w:b/>
          <w:bCs/>
        </w:rPr>
        <w:t xml:space="preserve">How long will data be kept?</w:t>
      </w:r>
    </w:p>
    <w:p>
      <w:pPr>
        <w:pStyle w:val="BodyText"/>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p>
      <w:pPr>
        <w:pStyle w:val="BodyText"/>
      </w:pPr>
      <w:r>
        <w:rPr>
          <w:b/>
          <w:bCs/>
        </w:rPr>
        <w:t xml:space="preserve">Will my information be shared?</w:t>
      </w:r>
    </w:p>
    <w:p>
      <w:pPr>
        <w:pStyle w:val="BodyText"/>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9"/>
        </w:numPr>
      </w:pPr>
      <w:r>
        <w:t xml:space="preserve">Aggregated study findings.</w:t>
      </w:r>
    </w:p>
    <w:p>
      <w:pPr>
        <w:pStyle w:val="Compact"/>
        <w:numPr>
          <w:ilvl w:val="0"/>
          <w:numId w:val="1049"/>
        </w:numPr>
      </w:pPr>
      <w:r>
        <w:t xml:space="preserve">The final questionnaire.</w:t>
      </w:r>
    </w:p>
    <w:p>
      <w:pPr>
        <w:pStyle w:val="Compact"/>
        <w:numPr>
          <w:ilvl w:val="0"/>
          <w:numId w:val="1049"/>
        </w:numPr>
      </w:pPr>
      <w:r>
        <w:t xml:space="preserve">Item-development documentation.</w:t>
      </w:r>
    </w:p>
    <w:p>
      <w:pPr>
        <w:pStyle w:val="Compact"/>
        <w:numPr>
          <w:ilvl w:val="0"/>
          <w:numId w:val="1049"/>
        </w:numPr>
      </w:pPr>
      <w:r>
        <w:t xml:space="preserve">De-identified numerical data.</w:t>
      </w:r>
    </w:p>
    <w:p>
      <w:pPr>
        <w:pStyle w:val="Compact"/>
        <w:numPr>
          <w:ilvl w:val="0"/>
          <w:numId w:val="1049"/>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0"/>
        </w:numPr>
      </w:pPr>
      <w:r>
        <w:t xml:space="preserve">Names, email addresses, and contact information.</w:t>
      </w:r>
    </w:p>
    <w:p>
      <w:pPr>
        <w:pStyle w:val="Compact"/>
        <w:numPr>
          <w:ilvl w:val="0"/>
          <w:numId w:val="1050"/>
        </w:numPr>
      </w:pPr>
      <w:r>
        <w:t xml:space="preserve">Consent records.</w:t>
      </w:r>
    </w:p>
    <w:p>
      <w:pPr>
        <w:pStyle w:val="Compact"/>
        <w:numPr>
          <w:ilvl w:val="0"/>
          <w:numId w:val="1050"/>
        </w:numPr>
      </w:pPr>
      <w:r>
        <w:t xml:space="preserve">The linkage file.</w:t>
      </w:r>
    </w:p>
    <w:p>
      <w:pPr>
        <w:pStyle w:val="Compact"/>
        <w:numPr>
          <w:ilvl w:val="0"/>
          <w:numId w:val="1050"/>
        </w:numPr>
      </w:pPr>
      <w:r>
        <w:t xml:space="preserve">Raw identifiable comments.</w:t>
      </w:r>
    </w:p>
    <w:p>
      <w:pPr>
        <w:pStyle w:val="Compact"/>
        <w:numPr>
          <w:ilvl w:val="0"/>
          <w:numId w:val="1050"/>
        </w:numPr>
      </w:pPr>
      <w:r>
        <w:t xml:space="preserve">Information that could reasonably identify an individual, institution, department, or organization.</w:t>
      </w:r>
    </w:p>
    <w:p>
      <w:pPr>
        <w:pStyle w:val="FirstParagraph"/>
      </w:pPr>
      <w:r>
        <w:rPr>
          <w:b/>
          <w:bCs/>
        </w:rPr>
        <w:t xml:space="preserve">Who has reviewed this study?</w:t>
      </w:r>
    </w:p>
    <w:p>
      <w:pPr>
        <w:pStyle w:val="BodyText"/>
      </w:pPr>
      <w:r>
        <w:t xml:space="preserve">This study has been reviewed by</w:t>
      </w:r>
      <w:r>
        <w:t xml:space="preserve"> </w:t>
      </w:r>
      <w:r>
        <w:rPr>
          <w:b/>
          <w:bCs/>
        </w:rPr>
        <w:t xml:space="preserve">Institutional Review Board, Faculty of Medicine, MTI University</w:t>
      </w:r>
    </w:p>
    <w:p>
      <w:pPr>
        <w:pStyle w:val="BodyText"/>
      </w:pPr>
      <w:r>
        <w:rPr>
          <w:b/>
          <w:bCs/>
        </w:rPr>
        <w:t xml:space="preserve">Who can I contact?</w:t>
      </w:r>
    </w:p>
    <w:p>
      <w:pPr>
        <w:pStyle w:val="BodyText"/>
      </w:pPr>
      <w:r>
        <w:t xml:space="preserve">For questions about the study, participation, withdrawal, or data handling, please contact the study team at</w:t>
      </w:r>
      <w:r>
        <w:t xml:space="preserve"> </w:t>
      </w:r>
      <w:hyperlink r:id="rId42">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p>
    <w:bookmarkEnd w:id="43"/>
    <w:bookmarkStart w:id="44" w:name="sec-consent"/>
    <w:p>
      <w:pPr>
        <w:pStyle w:val="Heading2"/>
      </w:pPr>
      <w:r>
        <w:t xml:space="preserve">19.6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51"/>
        </w:numPr>
      </w:pPr>
      <w:r>
        <w:t xml:space="preserve">I confirm that I am aged 18 years or older.</w:t>
      </w:r>
    </w:p>
    <w:p>
      <w:pPr>
        <w:pStyle w:val="Compact"/>
        <w:numPr>
          <w:ilvl w:val="0"/>
          <w:numId w:val="1052"/>
        </w:numPr>
      </w:pPr>
      <w:r>
        <w:t xml:space="preserve">Yes</w:t>
      </w:r>
    </w:p>
    <w:p>
      <w:pPr>
        <w:pStyle w:val="Compact"/>
        <w:numPr>
          <w:ilvl w:val="0"/>
          <w:numId w:val="1052"/>
        </w:numPr>
      </w:pPr>
      <w:r>
        <w:t xml:space="preserve">No</w:t>
      </w:r>
    </w:p>
    <w:p>
      <w:pPr>
        <w:pStyle w:val="Compact"/>
        <w:numPr>
          <w:ilvl w:val="0"/>
          <w:numId w:val="1053"/>
        </w:numPr>
      </w:pPr>
      <w:r>
        <w:t xml:space="preserve">I confirm that I have sufficient familiarity with the Egyptian medical research environment to provide informed judgments.</w:t>
      </w:r>
    </w:p>
    <w:p>
      <w:pPr>
        <w:pStyle w:val="Compact"/>
        <w:numPr>
          <w:ilvl w:val="0"/>
          <w:numId w:val="1054"/>
        </w:numPr>
      </w:pPr>
      <w:r>
        <w:t xml:space="preserve">Yes</w:t>
      </w:r>
    </w:p>
    <w:p>
      <w:pPr>
        <w:pStyle w:val="Compact"/>
        <w:numPr>
          <w:ilvl w:val="0"/>
          <w:numId w:val="1054"/>
        </w:numPr>
      </w:pPr>
      <w:r>
        <w:t xml:space="preserve">No</w:t>
      </w:r>
    </w:p>
    <w:p>
      <w:pPr>
        <w:pStyle w:val="Compact"/>
        <w:numPr>
          <w:ilvl w:val="0"/>
          <w:numId w:val="1055"/>
        </w:numPr>
      </w:pPr>
      <w:r>
        <w:t xml:space="preserve">I confirm that I meet at least one study eligibility criterion described in the Participant Information Sheet.</w:t>
      </w:r>
    </w:p>
    <w:p>
      <w:pPr>
        <w:pStyle w:val="Compact"/>
        <w:numPr>
          <w:ilvl w:val="0"/>
          <w:numId w:val="1056"/>
        </w:numPr>
      </w:pPr>
      <w:r>
        <w:t xml:space="preserve">Yes</w:t>
      </w:r>
    </w:p>
    <w:p>
      <w:pPr>
        <w:pStyle w:val="Compact"/>
        <w:numPr>
          <w:ilvl w:val="0"/>
          <w:numId w:val="1056"/>
        </w:numPr>
      </w:pPr>
      <w:r>
        <w:t xml:space="preserve">No</w:t>
      </w:r>
    </w:p>
    <w:p>
      <w:pPr>
        <w:pStyle w:val="Compact"/>
        <w:numPr>
          <w:ilvl w:val="0"/>
          <w:numId w:val="1057"/>
        </w:numPr>
      </w:pPr>
      <w:r>
        <w:t xml:space="preserve">I confirm that I can complete the questionnaire in the language provided.</w:t>
      </w:r>
    </w:p>
    <w:p>
      <w:pPr>
        <w:pStyle w:val="Compact"/>
        <w:numPr>
          <w:ilvl w:val="0"/>
          <w:numId w:val="1058"/>
        </w:numPr>
      </w:pPr>
      <w:r>
        <w:t xml:space="preserve">Yes</w:t>
      </w:r>
    </w:p>
    <w:p>
      <w:pPr>
        <w:pStyle w:val="Compact"/>
        <w:numPr>
          <w:ilvl w:val="0"/>
          <w:numId w:val="1058"/>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59"/>
        </w:numPr>
      </w:pPr>
      <w:r>
        <w:t xml:space="preserve">I have read the Participant Information Sheet and have had the opportunity to ask questions about the study.</w:t>
      </w:r>
    </w:p>
    <w:p>
      <w:pPr>
        <w:pStyle w:val="Compact"/>
        <w:numPr>
          <w:ilvl w:val="0"/>
          <w:numId w:val="1060"/>
        </w:numPr>
      </w:pPr>
      <w:r>
        <w:t xml:space="preserve">Yes</w:t>
      </w:r>
    </w:p>
    <w:p>
      <w:pPr>
        <w:pStyle w:val="Compact"/>
        <w:numPr>
          <w:ilvl w:val="0"/>
          <w:numId w:val="1060"/>
        </w:numPr>
      </w:pPr>
      <w:r>
        <w:t xml:space="preserve">No</w:t>
      </w:r>
    </w:p>
    <w:p>
      <w:pPr>
        <w:pStyle w:val="Compact"/>
        <w:numPr>
          <w:ilvl w:val="0"/>
          <w:numId w:val="1061"/>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2"/>
        </w:numPr>
      </w:pPr>
      <w:r>
        <w:t xml:space="preserve">Yes</w:t>
      </w:r>
    </w:p>
    <w:p>
      <w:pPr>
        <w:pStyle w:val="Compact"/>
        <w:numPr>
          <w:ilvl w:val="0"/>
          <w:numId w:val="1062"/>
        </w:numPr>
      </w:pPr>
      <w:r>
        <w:t xml:space="preserve">No</w:t>
      </w:r>
    </w:p>
    <w:p>
      <w:pPr>
        <w:pStyle w:val="Compact"/>
        <w:numPr>
          <w:ilvl w:val="0"/>
          <w:numId w:val="1063"/>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4"/>
        </w:numPr>
      </w:pPr>
      <w:r>
        <w:t xml:space="preserve">Yes</w:t>
      </w:r>
    </w:p>
    <w:p>
      <w:pPr>
        <w:pStyle w:val="Compact"/>
        <w:numPr>
          <w:ilvl w:val="0"/>
          <w:numId w:val="1064"/>
        </w:numPr>
      </w:pPr>
      <w:r>
        <w:t xml:space="preserve">No</w:t>
      </w:r>
    </w:p>
    <w:p>
      <w:pPr>
        <w:pStyle w:val="Compact"/>
        <w:numPr>
          <w:ilvl w:val="0"/>
          <w:numId w:val="1065"/>
        </w:numPr>
      </w:pPr>
      <w:r>
        <w:t xml:space="preserve">I understand that the study involves a Round-1 questionnaire and, if I complete Round 1, a possible invitation to Round 2.</w:t>
      </w:r>
    </w:p>
    <w:p>
      <w:pPr>
        <w:pStyle w:val="Compact"/>
        <w:numPr>
          <w:ilvl w:val="0"/>
          <w:numId w:val="1066"/>
        </w:numPr>
      </w:pPr>
      <w:r>
        <w:t xml:space="preserve">Yes</w:t>
      </w:r>
    </w:p>
    <w:p>
      <w:pPr>
        <w:pStyle w:val="Compact"/>
        <w:numPr>
          <w:ilvl w:val="0"/>
          <w:numId w:val="1066"/>
        </w:numPr>
      </w:pPr>
      <w:r>
        <w:t xml:space="preserve">No</w:t>
      </w:r>
    </w:p>
    <w:p>
      <w:pPr>
        <w:pStyle w:val="Compact"/>
        <w:numPr>
          <w:ilvl w:val="0"/>
          <w:numId w:val="1067"/>
        </w:numPr>
      </w:pPr>
      <w:r>
        <w:t xml:space="preserve">I understand that Round 2 will include anonymized group-level feedback and that I may be asked to re-rate barriers and rate possible interventions.</w:t>
      </w:r>
    </w:p>
    <w:p>
      <w:pPr>
        <w:pStyle w:val="Compact"/>
        <w:numPr>
          <w:ilvl w:val="0"/>
          <w:numId w:val="1068"/>
        </w:numPr>
      </w:pPr>
      <w:r>
        <w:t xml:space="preserve">Yes</w:t>
      </w:r>
    </w:p>
    <w:p>
      <w:pPr>
        <w:pStyle w:val="Compact"/>
        <w:numPr>
          <w:ilvl w:val="0"/>
          <w:numId w:val="1068"/>
        </w:numPr>
      </w:pPr>
      <w:r>
        <w:t xml:space="preserve">No</w:t>
      </w:r>
    </w:p>
    <w:p>
      <w:pPr>
        <w:pStyle w:val="Compact"/>
        <w:numPr>
          <w:ilvl w:val="0"/>
          <w:numId w:val="1069"/>
        </w:numPr>
      </w:pPr>
      <w:r>
        <w:t xml:space="preserve">I consent to participate in Round 1 of this study.</w:t>
      </w:r>
    </w:p>
    <w:p>
      <w:pPr>
        <w:pStyle w:val="Compact"/>
        <w:numPr>
          <w:ilvl w:val="0"/>
          <w:numId w:val="1070"/>
        </w:numPr>
      </w:pPr>
      <w:r>
        <w:t xml:space="preserve">Yes</w:t>
      </w:r>
    </w:p>
    <w:p>
      <w:pPr>
        <w:pStyle w:val="Compact"/>
        <w:numPr>
          <w:ilvl w:val="0"/>
          <w:numId w:val="1070"/>
        </w:numPr>
      </w:pPr>
      <w:r>
        <w:t xml:space="preserve">No</w:t>
      </w:r>
    </w:p>
    <w:p>
      <w:pPr>
        <w:pStyle w:val="FirstParagraph"/>
      </w:pPr>
      <w:r>
        <w:rPr>
          <w:b/>
          <w:bCs/>
        </w:rPr>
        <w:t xml:space="preserve">Consent for contact and linkage</w:t>
      </w:r>
    </w:p>
    <w:p>
      <w:pPr>
        <w:pStyle w:val="Compact"/>
        <w:numPr>
          <w:ilvl w:val="0"/>
          <w:numId w:val="1071"/>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2"/>
        </w:numPr>
      </w:pPr>
      <w:r>
        <w:t xml:space="preserve">Yes</w:t>
      </w:r>
    </w:p>
    <w:p>
      <w:pPr>
        <w:pStyle w:val="Compact"/>
        <w:numPr>
          <w:ilvl w:val="0"/>
          <w:numId w:val="1072"/>
        </w:numPr>
      </w:pPr>
      <w:r>
        <w:t xml:space="preserve">No</w:t>
      </w:r>
    </w:p>
    <w:p>
      <w:pPr>
        <w:pStyle w:val="Compact"/>
        <w:numPr>
          <w:ilvl w:val="0"/>
          <w:numId w:val="1073"/>
        </w:numPr>
      </w:pPr>
      <w:r>
        <w:t xml:space="preserve">I consent to the use of a unique study identifier to link my Round-1 and Round-2 responses.</w:t>
      </w:r>
    </w:p>
    <w:p>
      <w:pPr>
        <w:pStyle w:val="Compact"/>
        <w:numPr>
          <w:ilvl w:val="0"/>
          <w:numId w:val="1074"/>
        </w:numPr>
      </w:pPr>
      <w:r>
        <w:t xml:space="preserve">Yes</w:t>
      </w:r>
    </w:p>
    <w:p>
      <w:pPr>
        <w:pStyle w:val="Compact"/>
        <w:numPr>
          <w:ilvl w:val="0"/>
          <w:numId w:val="1074"/>
        </w:numPr>
      </w:pPr>
      <w:r>
        <w:t xml:space="preserve">No</w:t>
      </w:r>
    </w:p>
    <w:p>
      <w:pPr>
        <w:pStyle w:val="Compact"/>
        <w:numPr>
          <w:ilvl w:val="0"/>
          <w:numId w:val="1075"/>
        </w:numPr>
      </w:pPr>
      <w:r>
        <w:t xml:space="preserve">I understand that my individual ratings and comments will not be shared with other participants, supervisors, institutional leaders, or steering-group members in identifiable form.</w:t>
      </w:r>
    </w:p>
    <w:p>
      <w:pPr>
        <w:pStyle w:val="Compact"/>
        <w:numPr>
          <w:ilvl w:val="0"/>
          <w:numId w:val="1076"/>
        </w:numPr>
      </w:pPr>
      <w:r>
        <w:t xml:space="preserve">Yes</w:t>
      </w:r>
    </w:p>
    <w:p>
      <w:pPr>
        <w:pStyle w:val="Compact"/>
        <w:numPr>
          <w:ilvl w:val="0"/>
          <w:numId w:val="1076"/>
        </w:numPr>
      </w:pPr>
      <w:r>
        <w:t xml:space="preserve">No</w:t>
      </w:r>
    </w:p>
    <w:p>
      <w:pPr>
        <w:pStyle w:val="Compact"/>
        <w:numPr>
          <w:ilvl w:val="0"/>
          <w:numId w:val="1077"/>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78"/>
        </w:numPr>
      </w:pPr>
      <w:r>
        <w:t xml:space="preserve">Yes</w:t>
      </w:r>
    </w:p>
    <w:p>
      <w:pPr>
        <w:pStyle w:val="Compact"/>
        <w:numPr>
          <w:ilvl w:val="0"/>
          <w:numId w:val="1078"/>
        </w:numPr>
      </w:pPr>
      <w:r>
        <w:t xml:space="preserve">No</w:t>
      </w:r>
    </w:p>
    <w:p>
      <w:pPr>
        <w:pStyle w:val="FirstParagraph"/>
      </w:pPr>
      <w:r>
        <w:rPr>
          <w:b/>
          <w:bCs/>
        </w:rPr>
        <w:t xml:space="preserve">Consent for quotations</w:t>
      </w:r>
    </w:p>
    <w:p>
      <w:pPr>
        <w:pStyle w:val="Compact"/>
        <w:numPr>
          <w:ilvl w:val="0"/>
          <w:numId w:val="1079"/>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0"/>
        </w:numPr>
      </w:pPr>
      <w:r>
        <w:t xml:space="preserve">Yes</w:t>
      </w:r>
    </w:p>
    <w:p>
      <w:pPr>
        <w:pStyle w:val="Compact"/>
        <w:numPr>
          <w:ilvl w:val="0"/>
          <w:numId w:val="1080"/>
        </w:numPr>
      </w:pPr>
      <w:r>
        <w:t xml:space="preserve">No</w:t>
      </w:r>
    </w:p>
    <w:p>
      <w:pPr>
        <w:pStyle w:val="Compact"/>
        <w:numPr>
          <w:ilvl w:val="0"/>
          <w:numId w:val="1080"/>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p>
      <w:pPr>
        <w:pStyle w:val="BodyText"/>
      </w:pPr>
      <w:r>
        <w:rPr>
          <w:b/>
          <w:bCs/>
        </w:rPr>
        <w:t xml:space="preserve">Consent for future use and data sharing</w:t>
      </w:r>
    </w:p>
    <w:p>
      <w:pPr>
        <w:pStyle w:val="Compact"/>
        <w:numPr>
          <w:ilvl w:val="0"/>
          <w:numId w:val="1081"/>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2"/>
        </w:numPr>
      </w:pPr>
      <w:r>
        <w:t xml:space="preserve">Yes</w:t>
      </w:r>
    </w:p>
    <w:p>
      <w:pPr>
        <w:pStyle w:val="Compact"/>
        <w:numPr>
          <w:ilvl w:val="0"/>
          <w:numId w:val="1082"/>
        </w:numPr>
      </w:pPr>
      <w:r>
        <w:t xml:space="preserve">No</w:t>
      </w:r>
    </w:p>
    <w:p>
      <w:pPr>
        <w:pStyle w:val="Compact"/>
        <w:numPr>
          <w:ilvl w:val="0"/>
          <w:numId w:val="1083"/>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4"/>
        </w:numPr>
      </w:pPr>
      <w:r>
        <w:t xml:space="preserve">Yes</w:t>
      </w:r>
    </w:p>
    <w:p>
      <w:pPr>
        <w:pStyle w:val="Compact"/>
        <w:numPr>
          <w:ilvl w:val="0"/>
          <w:numId w:val="1084"/>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85"/>
        </w:numPr>
      </w:pPr>
      <w:r>
        <w:t xml:space="preserve">By selecting “I agree” below, I confirm that I voluntarily consent to participate in this study.</w:t>
      </w:r>
    </w:p>
    <w:p>
      <w:pPr>
        <w:pStyle w:val="Compact"/>
        <w:numPr>
          <w:ilvl w:val="0"/>
          <w:numId w:val="1086"/>
        </w:numPr>
      </w:pPr>
      <w:r>
        <w:t xml:space="preserve">I agree and wish to continue to the Round-1 questionnaire.</w:t>
      </w:r>
    </w:p>
    <w:p>
      <w:pPr>
        <w:pStyle w:val="Compact"/>
        <w:numPr>
          <w:ilvl w:val="0"/>
          <w:numId w:val="1086"/>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2">
        <w:r>
          <w:rPr>
            <w:rStyle w:val="Hyperlink"/>
          </w:rPr>
          <w:t xml:space="preserve">ecr@med.asu.edu.eg</w:t>
        </w:r>
      </w:hyperlink>
      <w:r>
        <w:t xml:space="preserve">.</w:t>
      </w:r>
    </w:p>
    <w:bookmarkEnd w:id="44"/>
    <w:bookmarkEnd w:id="45"/>
    <w:bookmarkStart w:id="67" w:name="references"/>
    <w:p>
      <w:pPr>
        <w:pStyle w:val="Heading1"/>
      </w:pPr>
      <w:r>
        <w:t xml:space="preserve">20. References</w:t>
      </w:r>
    </w:p>
    <w:bookmarkStart w:id="66" w:name="refs"/>
    <w:bookmarkStart w:id="47" w:name="ref-chalmers2009"/>
    <w:p>
      <w:pPr>
        <w:pStyle w:val="Bibliography"/>
      </w:pPr>
      <w:r>
        <w:t xml:space="preserve">1. Chalmers I, Glasziou P.</w:t>
      </w:r>
      <w:r>
        <w:t xml:space="preserve"> </w:t>
      </w:r>
      <w:hyperlink r:id="rId46">
        <w:r>
          <w:rPr>
            <w:rStyle w:val="Hyperlink"/>
          </w:rPr>
          <w:t xml:space="preserve">Avoidable waste in the production and reporting of research evidence</w:t>
        </w:r>
      </w:hyperlink>
      <w:r>
        <w:t xml:space="preserve">. The Lancet. 2009;374:86–9.</w:t>
      </w:r>
    </w:p>
    <w:bookmarkEnd w:id="47"/>
    <w:bookmarkStart w:id="49" w:name="ref-glaziou2018"/>
    <w:p>
      <w:pPr>
        <w:pStyle w:val="Bibliography"/>
      </w:pPr>
      <w:r>
        <w:t xml:space="preserve">2. Glasziou P, Chalmers I.</w:t>
      </w:r>
      <w:r>
        <w:t xml:space="preserve"> </w:t>
      </w:r>
      <w:hyperlink r:id="rId48">
        <w:r>
          <w:rPr>
            <w:rStyle w:val="Hyperlink"/>
          </w:rPr>
          <w:t xml:space="preserve">Research waste is still a scandal–an essay by paul glasziou and iain chalmers</w:t>
        </w:r>
      </w:hyperlink>
      <w:r>
        <w:t xml:space="preserve">. BMJ. 2018;363:k4645.</w:t>
      </w:r>
    </w:p>
    <w:bookmarkEnd w:id="49"/>
    <w:bookmarkStart w:id="51" w:name="ref-moher2016"/>
    <w:p>
      <w:pPr>
        <w:pStyle w:val="Bibliography"/>
      </w:pPr>
      <w:r>
        <w:t xml:space="preserve">3. Moher D, Glasziou P, Chalmers I, Nasser M, Bossuyt PMM, Korevaar DA, et al.</w:t>
      </w:r>
      <w:r>
        <w:t xml:space="preserve"> </w:t>
      </w:r>
      <w:hyperlink r:id="rId50">
        <w:r>
          <w:rPr>
            <w:rStyle w:val="Hyperlink"/>
          </w:rPr>
          <w:t xml:space="preserve">Increasing value and reducing waste in biomedical research: Who’s listening?</w:t>
        </w:r>
      </w:hyperlink>
      <w:r>
        <w:t xml:space="preserve"> The Lancet. 2016;387:1573–86.</w:t>
      </w:r>
    </w:p>
    <w:bookmarkEnd w:id="51"/>
    <w:bookmarkStart w:id="53"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52">
        <w:r>
          <w:rPr>
            <w:rStyle w:val="Hyperlink"/>
          </w:rPr>
          <w:t xml:space="preserve">http://dx.doi.org/10.1016/S0140-6736(13)62229-1</w:t>
        </w:r>
      </w:hyperlink>
    </w:p>
    <w:bookmarkEnd w:id="53"/>
    <w:bookmarkStart w:id="55"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54">
        <w:r>
          <w:rPr>
            <w:rStyle w:val="Hyperlink"/>
          </w:rPr>
          <w:t xml:space="preserve">http://dx.doi.org/10.1016/S0140-6736(13)62227-8</w:t>
        </w:r>
      </w:hyperlink>
    </w:p>
    <w:bookmarkEnd w:id="55"/>
    <w:bookmarkStart w:id="57"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56">
        <w:r>
          <w:rPr>
            <w:rStyle w:val="Hyperlink"/>
          </w:rPr>
          <w:t xml:space="preserve">http://dx.doi.org/10.1016/S0140-6736(13)62297-7</w:t>
        </w:r>
      </w:hyperlink>
    </w:p>
    <w:bookmarkEnd w:id="57"/>
    <w:bookmarkStart w:id="59" w:name="ref-jorm2025"/>
    <w:p>
      <w:pPr>
        <w:pStyle w:val="Bibliography"/>
      </w:pPr>
      <w:r>
        <w:t xml:space="preserve">7. Jorm A. Using the delphi method to establish expert consensus [Internet]. Springer Nature Singapore; 2025. Available from:</w:t>
      </w:r>
      <w:r>
        <w:t xml:space="preserve"> </w:t>
      </w:r>
      <w:hyperlink r:id="rId58">
        <w:r>
          <w:rPr>
            <w:rStyle w:val="Hyperlink"/>
          </w:rPr>
          <w:t xml:space="preserve">http://dx.doi.org/10.1007/978-981-96-8357-4</w:t>
        </w:r>
      </w:hyperlink>
    </w:p>
    <w:bookmarkEnd w:id="59"/>
    <w:bookmarkStart w:id="61" w:name="ref-RStudio2026"/>
    <w:p>
      <w:pPr>
        <w:pStyle w:val="Bibliography"/>
      </w:pPr>
      <w:r>
        <w:t xml:space="preserve">8. Posit Software, PBC. RStudio: Integrated development environment for r [Internet]. Boston, MA: Posit Software, PBC; 2026. Available from:</w:t>
      </w:r>
      <w:r>
        <w:t xml:space="preserve"> </w:t>
      </w:r>
      <w:hyperlink r:id="rId60">
        <w:r>
          <w:rPr>
            <w:rStyle w:val="Hyperlink"/>
          </w:rPr>
          <w:t xml:space="preserve">https://posit.co/products/open-source/rstudio/</w:t>
        </w:r>
      </w:hyperlink>
    </w:p>
    <w:bookmarkEnd w:id="61"/>
    <w:bookmarkStart w:id="63"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62">
        <w:r>
          <w:rPr>
            <w:rStyle w:val="Hyperlink"/>
          </w:rPr>
          <w:t xml:space="preserve">https://www.R-project.org/</w:t>
        </w:r>
      </w:hyperlink>
    </w:p>
    <w:bookmarkEnd w:id="63"/>
    <w:bookmarkStart w:id="65" w:name="ref-gattrell2024"/>
    <w:p>
      <w:pPr>
        <w:pStyle w:val="Bibliography"/>
      </w:pPr>
      <w:r>
        <w:t xml:space="preserve">10. Gattrell WT, Logullo P, Zuuren EJ van, Price A, Hughes EL, Blazey P, et al.</w:t>
      </w:r>
      <w:r>
        <w:t xml:space="preserve"> </w:t>
      </w:r>
      <w:hyperlink r:id="rId64">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65"/>
    <w:bookmarkEnd w:id="66"/>
    <w:bookmarkEnd w:id="67"/>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1"/>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1"/>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1"/>
  </w:num>
  <w:num w:numId="106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0">
    <w:abstractNumId w:val="991"/>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1"/>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1"/>
  </w:num>
  <w:num w:numId="107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6">
    <w:abstractNumId w:val="991"/>
  </w:num>
  <w:num w:numId="107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8">
    <w:abstractNumId w:val="991"/>
  </w:num>
  <w:num w:numId="107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0">
    <w:abstractNumId w:val="991"/>
  </w:num>
  <w:num w:numId="108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2">
    <w:abstractNumId w:val="991"/>
  </w:num>
  <w:num w:numId="108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4">
    <w:abstractNumId w:val="991"/>
  </w:num>
  <w:num w:numId="108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58" Target="http://dx.doi.org/10.1007/978-981-96-8357-4" TargetMode="External" /><Relationship Type="http://schemas.openxmlformats.org/officeDocument/2006/relationships/hyperlink" Id="rId54" Target="http://dx.doi.org/10.1016/S0140-6736(13)62227-8" TargetMode="External" /><Relationship Type="http://schemas.openxmlformats.org/officeDocument/2006/relationships/hyperlink" Id="rId52" Target="http://dx.doi.org/10.1016/S0140-6736(13)62229-1" TargetMode="External" /><Relationship Type="http://schemas.openxmlformats.org/officeDocument/2006/relationships/hyperlink" Id="rId56" Target="http://dx.doi.org/10.1016/S0140-6736(13)62297-7" TargetMode="External" /><Relationship Type="http://schemas.openxmlformats.org/officeDocument/2006/relationships/hyperlink" Id="rId46" Target="https://doi.org/10.1016/S0140-6736(09)60329-9" TargetMode="External" /><Relationship Type="http://schemas.openxmlformats.org/officeDocument/2006/relationships/hyperlink" Id="rId50" Target="https://doi.org/10.1016/S0140-6736(15)00307-4" TargetMode="External" /><Relationship Type="http://schemas.openxmlformats.org/officeDocument/2006/relationships/hyperlink" Id="rId48" Target="https://doi.org/10.1136/bmj.k4645" TargetMode="External" /><Relationship Type="http://schemas.openxmlformats.org/officeDocument/2006/relationships/hyperlink" Id="rId64" Target="https://doi.org/10.1371/journal.pmed.1004326" TargetMode="External" /><Relationship Type="http://schemas.openxmlformats.org/officeDocument/2006/relationships/hyperlink" Id="rId60" Target="https://posit.co/products/open-source/rstudio/" TargetMode="External" /><Relationship Type="http://schemas.openxmlformats.org/officeDocument/2006/relationships/hyperlink" Id="rId62" Target="https://www.R-project.org/" TargetMode="External" /><Relationship Type="http://schemas.openxmlformats.org/officeDocument/2006/relationships/hyperlink" Id="rId42"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58" Target="http://dx.doi.org/10.1007/978-981-96-8357-4" TargetMode="External" /><Relationship Type="http://schemas.openxmlformats.org/officeDocument/2006/relationships/hyperlink" Id="rId54" Target="http://dx.doi.org/10.1016/S0140-6736(13)62227-8" TargetMode="External" /><Relationship Type="http://schemas.openxmlformats.org/officeDocument/2006/relationships/hyperlink" Id="rId52" Target="http://dx.doi.org/10.1016/S0140-6736(13)62229-1" TargetMode="External" /><Relationship Type="http://schemas.openxmlformats.org/officeDocument/2006/relationships/hyperlink" Id="rId56" Target="http://dx.doi.org/10.1016/S0140-6736(13)62297-7" TargetMode="External" /><Relationship Type="http://schemas.openxmlformats.org/officeDocument/2006/relationships/hyperlink" Id="rId46" Target="https://doi.org/10.1016/S0140-6736(09)60329-9" TargetMode="External" /><Relationship Type="http://schemas.openxmlformats.org/officeDocument/2006/relationships/hyperlink" Id="rId50" Target="https://doi.org/10.1016/S0140-6736(15)00307-4" TargetMode="External" /><Relationship Type="http://schemas.openxmlformats.org/officeDocument/2006/relationships/hyperlink" Id="rId48" Target="https://doi.org/10.1136/bmj.k4645" TargetMode="External" /><Relationship Type="http://schemas.openxmlformats.org/officeDocument/2006/relationships/hyperlink" Id="rId64" Target="https://doi.org/10.1371/journal.pmed.1004326" TargetMode="External" /><Relationship Type="http://schemas.openxmlformats.org/officeDocument/2006/relationships/hyperlink" Id="rId60" Target="https://posit.co/products/open-source/rstudio/" TargetMode="External" /><Relationship Type="http://schemas.openxmlformats.org/officeDocument/2006/relationships/hyperlink" Id="rId62" Target="https://www.R-project.org/" TargetMode="External" /><Relationship Type="http://schemas.openxmlformats.org/officeDocument/2006/relationships/hyperlink" Id="rId42"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2026-10-08T16:15:29Z</dcterms:created>
  <dcterms:modified xsi:type="dcterms:W3CDTF">2026-10-08T16:15:29Z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