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Objectives</w:t>
      </w:r>
    </w:p>
    <w:bookmarkStart w:id="23" w:name="primary-objective"/>
    <w:p>
      <w:pPr>
        <w:pStyle w:val="Heading2"/>
      </w:pPr>
      <w:r>
        <w:t xml:space="preserve">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consensus-based priority framework that summarizes important and modifiable barriers, priority interventions, and areas of stakeholder agreement or disagreement..</w:t>
      </w:r>
    </w:p>
    <w:bookmarkEnd w:id="24"/>
    <w:bookmarkEnd w:id="25"/>
    <w:bookmarkStart w:id="26" w:name="conceptual-framework"/>
    <w:p>
      <w:pPr>
        <w:pStyle w:val="Heading1"/>
      </w:pPr>
      <w:r>
        <w:t xml:space="preserve">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6" w:name="participants-and-eligibility"/>
    <w:p>
      <w:pPr>
        <w:pStyle w:val="Heading1"/>
      </w:pPr>
      <w:r>
        <w:t xml:space="preserve">Participants and Eligibility</w:t>
      </w:r>
    </w:p>
    <w:bookmarkStart w:id="34" w:name="delphi-panel-eligibility"/>
    <w:p>
      <w:pPr>
        <w:pStyle w:val="Heading2"/>
      </w:pPr>
      <w:r>
        <w:t xml:space="preserve">Delphi panel eligibility</w:t>
      </w:r>
    </w:p>
    <w:p>
      <w:pPr>
        <w:pStyle w:val="FirstParagraph"/>
      </w:pPr>
      <w:r>
        <w:t xml:space="preserve">Participants must meet at least one of the following criteria:</w:t>
      </w:r>
    </w:p>
    <w:bookmarkStart w:id="30" w:name="early-career-researchers"/>
    <w:p>
      <w:pPr>
        <w:pStyle w:val="Heading3"/>
      </w:pPr>
      <w:r>
        <w:t xml:space="preserve">Early-career researchers</w:t>
      </w:r>
    </w:p>
    <w:p>
      <w:pPr>
        <w:pStyle w:val="Compact"/>
        <w:numPr>
          <w:ilvl w:val="0"/>
          <w:numId w:val="1011"/>
        </w:numPr>
      </w:pPr>
      <w:r>
        <w:t xml:space="preserve">Be a medical student, house officer, resident, teaching assistant, assistant lecturer, or equivalent early-career medical researcher in Egypt; and</w:t>
      </w:r>
    </w:p>
    <w:p>
      <w:pPr>
        <w:pStyle w:val="Compact"/>
        <w:numPr>
          <w:ilvl w:val="0"/>
          <w:numId w:val="1011"/>
        </w:numPr>
      </w:pPr>
      <w:r>
        <w:t xml:space="preserve">have participated in, planned, conducted, analyzed, written at least one research project.</w:t>
      </w:r>
    </w:p>
    <w:bookmarkEnd w:id="30"/>
    <w:bookmarkStart w:id="31" w:name="research-supervisors"/>
    <w:p>
      <w:pPr>
        <w:pStyle w:val="Heading3"/>
      </w:pPr>
      <w:r>
        <w:t xml:space="preserve">Research supervisors</w:t>
      </w:r>
    </w:p>
    <w:p>
      <w:pPr>
        <w:pStyle w:val="Compact"/>
        <w:numPr>
          <w:ilvl w:val="0"/>
          <w:numId w:val="1012"/>
        </w:numPr>
      </w:pPr>
      <w:r>
        <w:t xml:space="preserve">Be a lecturer, associate professor, professor, or equivalent researcher who has supervised medical research involving early-career researchers; and</w:t>
      </w:r>
    </w:p>
    <w:p>
      <w:pPr>
        <w:pStyle w:val="Compact"/>
        <w:numPr>
          <w:ilvl w:val="0"/>
          <w:numId w:val="1012"/>
        </w:numPr>
      </w:pPr>
      <w:r>
        <w:t xml:space="preserve">have current or recent experience in research supervision.</w:t>
      </w:r>
    </w:p>
    <w:bookmarkEnd w:id="31"/>
    <w:bookmarkStart w:id="32" w:name="research-methodologistsbiostatisticians"/>
    <w:p>
      <w:pPr>
        <w:pStyle w:val="Heading3"/>
      </w:pPr>
      <w:r>
        <w:t xml:space="preserve">Research methodologists/biostatisticians</w:t>
      </w:r>
    </w:p>
    <w:p>
      <w:pPr>
        <w:pStyle w:val="Compact"/>
        <w:numPr>
          <w:ilvl w:val="0"/>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0"/>
          <w:numId w:val="1013"/>
        </w:numPr>
      </w:pPr>
      <w:r>
        <w:t xml:space="preserve">have experience supporting or conducting health research.</w:t>
      </w:r>
    </w:p>
    <w:bookmarkEnd w:id="32"/>
    <w:bookmarkStart w:id="33" w:name="ethicsresearch-governance-participants"/>
    <w:p>
      <w:pPr>
        <w:pStyle w:val="Heading3"/>
      </w:pPr>
      <w:r>
        <w:t xml:space="preserve">Ethics/research governance participants</w:t>
      </w:r>
    </w:p>
    <w:p>
      <w:pPr>
        <w:pStyle w:val="Compact"/>
        <w:numPr>
          <w:ilvl w:val="0"/>
          <w:numId w:val="1014"/>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bookmarkEnd w:id="33"/>
    <w:bookmarkEnd w:id="34"/>
    <w:bookmarkStart w:id="35" w:name="exclusion-criteria"/>
    <w:p>
      <w:pPr>
        <w:pStyle w:val="Heading2"/>
      </w:pPr>
      <w:r>
        <w:t xml:space="preserve">Exclusion criteria</w:t>
      </w:r>
    </w:p>
    <w:p>
      <w:pPr>
        <w:pStyle w:val="FirstParagraph"/>
      </w:pPr>
      <w:r>
        <w:t xml:space="preserve">Participants will be excluded if they:</w:t>
      </w:r>
    </w:p>
    <w:p>
      <w:pPr>
        <w:pStyle w:val="Compact"/>
        <w:numPr>
          <w:ilvl w:val="0"/>
          <w:numId w:val="1015"/>
        </w:numPr>
      </w:pPr>
      <w:r>
        <w:t xml:space="preserve">cannot provide informed consent;</w:t>
      </w:r>
    </w:p>
    <w:p>
      <w:pPr>
        <w:pStyle w:val="Compact"/>
        <w:numPr>
          <w:ilvl w:val="0"/>
          <w:numId w:val="1015"/>
        </w:numPr>
      </w:pPr>
      <w:r>
        <w:t xml:space="preserve">have insufficient familiarity with medical research in Egypt to complete the Delphi questionnaire meaningfully;</w:t>
      </w:r>
    </w:p>
    <w:p>
      <w:pPr>
        <w:pStyle w:val="Compact"/>
        <w:numPr>
          <w:ilvl w:val="0"/>
          <w:numId w:val="1015"/>
        </w:numPr>
      </w:pPr>
      <w:r>
        <w:t xml:space="preserve">are unable to complete the questionnaire in English or Arabic, depending on the final validated questionnaire language;</w:t>
      </w:r>
    </w:p>
    <w:p>
      <w:pPr>
        <w:pStyle w:val="Compact"/>
        <w:numPr>
          <w:ilvl w:val="0"/>
          <w:numId w:val="1015"/>
        </w:numPr>
      </w:pPr>
      <w:r>
        <w:t xml:space="preserve">participate only in questionnaire piloting and do not meet the final panel eligibility criteria; or</w:t>
      </w:r>
    </w:p>
    <w:p>
      <w:pPr>
        <w:pStyle w:val="Compact"/>
        <w:numPr>
          <w:ilvl w:val="0"/>
          <w:numId w:val="1015"/>
        </w:numPr>
      </w:pPr>
      <w:r>
        <w:t xml:space="preserve">have a direct conflict of interest that the steering group determines would prevent independent participation.</w:t>
      </w:r>
    </w:p>
    <w:bookmarkEnd w:id="35"/>
    <w:bookmarkEnd w:id="36"/>
    <w:bookmarkStart w:id="38" w:name="panel-composition-and-sampling"/>
    <w:p>
      <w:pPr>
        <w:pStyle w:val="Heading1"/>
      </w:pPr>
      <w:r>
        <w:t xml:space="preserve">Panel Composition and Sampling</w:t>
      </w:r>
    </w:p>
    <w:p>
      <w:pPr>
        <w:pStyle w:val="FirstParagraph"/>
      </w:pPr>
      <w:r>
        <w:t xml:space="preserve">A purposive maximum-variation sampling strategy will be used.</w:t>
      </w:r>
    </w:p>
    <w:p>
      <w:pPr>
        <w:pStyle w:val="BodyText"/>
      </w:pPr>
      <w:r>
        <w:t xml:space="preserve">The stakeholder groups were selected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7" w:name="recruitment-procedures"/>
    <w:p>
      <w:pPr>
        <w:pStyle w:val="Heading2"/>
      </w:pPr>
      <w:r>
        <w:t xml:space="preserve">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7"/>
    <w:bookmarkEnd w:id="38"/>
    <w:bookmarkStart w:id="41" w:name="item-generation"/>
    <w:p>
      <w:pPr>
        <w:pStyle w:val="Heading1"/>
      </w:pPr>
      <w:r>
        <w:t xml:space="preserve">Item Generation</w:t>
      </w:r>
    </w:p>
    <w:bookmarkStart w:id="39" w:name="evidence-review"/>
    <w:p>
      <w:pPr>
        <w:pStyle w:val="Heading2"/>
      </w:pPr>
      <w:r>
        <w:t xml:space="preserve">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39"/>
    <w:bookmarkStart w:id="40" w:name="development-of-the-initial-item-pool"/>
    <w:p>
      <w:pPr>
        <w:pStyle w:val="Heading2"/>
      </w:pPr>
      <w:r>
        <w:t xml:space="preserve">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6"/>
        </w:numPr>
      </w:pPr>
      <w:r>
        <w:t xml:space="preserve">describe one barrier or intervention;</w:t>
      </w:r>
    </w:p>
    <w:p>
      <w:pPr>
        <w:pStyle w:val="Compact"/>
        <w:numPr>
          <w:ilvl w:val="0"/>
          <w:numId w:val="1016"/>
        </w:numPr>
      </w:pPr>
      <w:r>
        <w:t xml:space="preserve">use neutral, non-accusatory wording;</w:t>
      </w:r>
    </w:p>
    <w:p>
      <w:pPr>
        <w:pStyle w:val="Compact"/>
        <w:numPr>
          <w:ilvl w:val="0"/>
          <w:numId w:val="1016"/>
        </w:numPr>
      </w:pPr>
      <w:r>
        <w:t xml:space="preserve">avoid double-barrelled concepts;</w:t>
      </w:r>
    </w:p>
    <w:p>
      <w:pPr>
        <w:pStyle w:val="Compact"/>
        <w:numPr>
          <w:ilvl w:val="0"/>
          <w:numId w:val="1016"/>
        </w:numPr>
      </w:pPr>
      <w:r>
        <w:t xml:space="preserve">be understandable to participants from different professional backgrounds; and</w:t>
      </w:r>
    </w:p>
    <w:p>
      <w:pPr>
        <w:pStyle w:val="Compact"/>
        <w:numPr>
          <w:ilvl w:val="0"/>
          <w:numId w:val="1016"/>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40"/>
    <w:bookmarkEnd w:id="41"/>
    <w:bookmarkStart w:id="43" w:name="delphi-questionnaire"/>
    <w:p>
      <w:pPr>
        <w:pStyle w:val="Heading1"/>
      </w:pPr>
      <w:r>
        <w:t xml:space="preserve">Delphi Questionnaire</w:t>
      </w:r>
    </w:p>
    <w:p>
      <w:pPr>
        <w:pStyle w:val="FirstParagraph"/>
      </w:pPr>
      <w:r>
        <w:t xml:space="preserve">The survey will be administered using the University’s online survey platform. Data will be stored on secure password-protected system accessible only to authorized study personnel.</w:t>
      </w:r>
    </w:p>
    <w:p>
      <w:pPr>
        <w:pStyle w:val="BodyText"/>
      </w:pPr>
      <w:r>
        <w:t xml:space="preserve">Completion of the Round-1 questionnaire is expected to require approximately 20 minutes and Round-2 approximately 15 minutes.</w:t>
      </w:r>
    </w:p>
    <w:bookmarkStart w:id="42" w:name="barrier-ratings"/>
    <w:p>
      <w:pPr>
        <w:pStyle w:val="Heading2"/>
      </w:pPr>
      <w:r>
        <w:t xml:space="preserve">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42"/>
    <w:bookmarkEnd w:id="43"/>
    <w:bookmarkStart w:id="44" w:name="delphi-round-1"/>
    <w:p>
      <w:pPr>
        <w:pStyle w:val="Heading1"/>
      </w:pPr>
      <w:r>
        <w:t xml:space="preserve">Delphi Round 1</w:t>
      </w:r>
    </w:p>
    <w:p>
      <w:pPr>
        <w:pStyle w:val="FirstParagraph"/>
      </w:pPr>
      <w:r>
        <w:t xml:space="preserve">Participants will receive:</w:t>
      </w:r>
    </w:p>
    <w:p>
      <w:pPr>
        <w:pStyle w:val="Compact"/>
        <w:numPr>
          <w:ilvl w:val="0"/>
          <w:numId w:val="1017"/>
        </w:numPr>
      </w:pPr>
      <w:r>
        <w:t xml:space="preserve">an information sheet and electronic consent form;</w:t>
      </w:r>
    </w:p>
    <w:p>
      <w:pPr>
        <w:pStyle w:val="Compact"/>
        <w:numPr>
          <w:ilvl w:val="0"/>
          <w:numId w:val="1017"/>
        </w:numPr>
      </w:pPr>
      <w:r>
        <w:t xml:space="preserve">brief instructions explaining the Delphi process;</w:t>
      </w:r>
    </w:p>
    <w:p>
      <w:pPr>
        <w:pStyle w:val="Compact"/>
        <w:numPr>
          <w:ilvl w:val="0"/>
          <w:numId w:val="1017"/>
        </w:numPr>
      </w:pPr>
      <w:r>
        <w:t xml:space="preserve">the candidate barrier items;</w:t>
      </w:r>
    </w:p>
    <w:p>
      <w:pPr>
        <w:pStyle w:val="Compact"/>
        <w:numPr>
          <w:ilvl w:val="0"/>
          <w:numId w:val="1017"/>
        </w:numPr>
      </w:pPr>
      <w:r>
        <w:t xml:space="preserve">importance and modifiability rating scales; and</w:t>
      </w:r>
    </w:p>
    <w:p>
      <w:pPr>
        <w:pStyle w:val="Compact"/>
        <w:numPr>
          <w:ilvl w:val="0"/>
          <w:numId w:val="1017"/>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44"/>
    <w:bookmarkStart w:id="48" w:name="round-1-item-handling"/>
    <w:p>
      <w:pPr>
        <w:pStyle w:val="Heading1"/>
      </w:pPr>
      <w:r>
        <w:t xml:space="preserve">Round 1 Item Handling</w:t>
      </w:r>
    </w:p>
    <w:p>
      <w:pPr>
        <w:pStyle w:val="FirstParagraph"/>
      </w:pPr>
      <w:r>
        <w:t xml:space="preserve">The following rules will be applied before Round 2:</w:t>
      </w:r>
    </w:p>
    <w:bookmarkStart w:id="45" w:name="retain"/>
    <w:p>
      <w:pPr>
        <w:pStyle w:val="Heading3"/>
      </w:pPr>
      <w:r>
        <w:t xml:space="preserve">Retain</w:t>
      </w:r>
    </w:p>
    <w:p>
      <w:pPr>
        <w:pStyle w:val="FirstParagraph"/>
      </w:pPr>
      <w:r>
        <w:t xml:space="preserve">Items meeting the predefined importance-consensus criterion will be retained.</w:t>
      </w:r>
    </w:p>
    <w:bookmarkEnd w:id="45"/>
    <w:bookmarkStart w:id="46" w:name="revise"/>
    <w:p>
      <w:pPr>
        <w:pStyle w:val="Heading3"/>
      </w:pPr>
      <w:r>
        <w:t xml:space="preserve">Revise</w:t>
      </w:r>
    </w:p>
    <w:p>
      <w:pPr>
        <w:pStyle w:val="FirstParagraph"/>
      </w:pPr>
      <w:r>
        <w:t xml:space="preserve">Items that do not reach consensus but are potentially important, ambiguous, or substantially modified following panel comments may be revised and presented in Round 2. Material wording changes will be documented.</w:t>
      </w:r>
    </w:p>
    <w:bookmarkEnd w:id="46"/>
    <w:bookmarkStart w:id="47" w:name="remove"/>
    <w:p>
      <w:pPr>
        <w:pStyle w:val="Heading3"/>
      </w:pPr>
      <w:r>
        <w:t xml:space="preserve">Remove</w:t>
      </w:r>
    </w:p>
    <w:p>
      <w:pPr>
        <w:pStyle w:val="FirstParagraph"/>
      </w:pPr>
      <w:r>
        <w:t xml:space="preserve">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7"/>
    <w:bookmarkEnd w:id="48"/>
    <w:bookmarkStart w:id="49" w:name="delphi-round-2"/>
    <w:p>
      <w:pPr>
        <w:pStyle w:val="Heading1"/>
      </w:pPr>
      <w:r>
        <w:t xml:space="preserve">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8"/>
        </w:numPr>
      </w:pPr>
      <w:r>
        <w:t xml:space="preserve">number of valid responses;</w:t>
      </w:r>
    </w:p>
    <w:p>
      <w:pPr>
        <w:pStyle w:val="Compact"/>
        <w:numPr>
          <w:ilvl w:val="0"/>
          <w:numId w:val="1018"/>
        </w:numPr>
      </w:pPr>
      <w:r>
        <w:t xml:space="preserve">median rating;</w:t>
      </w:r>
    </w:p>
    <w:p>
      <w:pPr>
        <w:pStyle w:val="Compact"/>
        <w:numPr>
          <w:ilvl w:val="0"/>
          <w:numId w:val="1018"/>
        </w:numPr>
      </w:pPr>
      <w:r>
        <w:t xml:space="preserve">interquartile range; and</w:t>
      </w:r>
    </w:p>
    <w:p>
      <w:pPr>
        <w:pStyle w:val="Compact"/>
        <w:numPr>
          <w:ilvl w:val="0"/>
          <w:numId w:val="1018"/>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19"/>
        </w:numPr>
      </w:pPr>
      <w:r>
        <w:rPr>
          <w:b/>
          <w:bCs/>
        </w:rPr>
        <w:t xml:space="preserve">importance/potential impact:</w:t>
      </w:r>
      <w:r>
        <w:t xml:space="preserve"> </w:t>
      </w:r>
      <w:r>
        <w:t xml:space="preserve">1–9;</w:t>
      </w:r>
    </w:p>
    <w:p>
      <w:pPr>
        <w:pStyle w:val="Compact"/>
        <w:numPr>
          <w:ilvl w:val="0"/>
          <w:numId w:val="1019"/>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49"/>
    <w:bookmarkStart w:id="54" w:name="consensus-definitions"/>
    <w:p>
      <w:pPr>
        <w:pStyle w:val="Heading1"/>
      </w:pPr>
      <w:r>
        <w:t xml:space="preserve">Consensus Definitions</w:t>
      </w:r>
    </w:p>
    <w:p>
      <w:pPr>
        <w:pStyle w:val="FirstParagraph"/>
      </w:pPr>
      <w:r>
        <w:t xml:space="preserve">Consensus criteria will be specified before Round 1 and will not be changed in response to the observed results.</w:t>
      </w:r>
    </w:p>
    <w:bookmarkStart w:id="50" w:name="important-barrier"/>
    <w:p>
      <w:pPr>
        <w:pStyle w:val="Heading2"/>
      </w:pPr>
      <w:r>
        <w:t xml:space="preserve">Important barrier</w:t>
      </w:r>
    </w:p>
    <w:p>
      <w:pPr>
        <w:pStyle w:val="FirstParagraph"/>
      </w:pPr>
      <w:r>
        <w:t xml:space="preserve">A barrier will be classified as having consensus as an</w:t>
      </w:r>
      <w:r>
        <w:t xml:space="preserve"> </w:t>
      </w:r>
      <w:r>
        <w:rPr>
          <w:b/>
          <w:bCs/>
        </w:rPr>
        <w:t xml:space="preserve">important barrier</w:t>
      </w:r>
      <w:r>
        <w:t xml:space="preserve"> </w:t>
      </w:r>
      <w:r>
        <w:t xml:space="preserve">when all of the following are met:</w:t>
      </w:r>
    </w:p>
    <w:p>
      <w:pPr>
        <w:pStyle w:val="Compact"/>
        <w:numPr>
          <w:ilvl w:val="0"/>
          <w:numId w:val="1020"/>
        </w:numPr>
      </w:pPr>
      <w:r>
        <w:t xml:space="preserve">median importance rating ≥7;</w:t>
      </w:r>
    </w:p>
    <w:p>
      <w:pPr>
        <w:pStyle w:val="Compact"/>
        <w:numPr>
          <w:ilvl w:val="0"/>
          <w:numId w:val="1020"/>
        </w:numPr>
      </w:pPr>
      <w:r>
        <w:t xml:space="preserve">IQR ≤2; and</w:t>
      </w:r>
    </w:p>
    <w:p>
      <w:pPr>
        <w:pStyle w:val="Compact"/>
        <w:numPr>
          <w:ilvl w:val="0"/>
          <w:numId w:val="1020"/>
        </w:numPr>
      </w:pPr>
      <w:r>
        <w:t xml:space="preserve">≥75% of valid ratings are 7–9.</w:t>
      </w:r>
    </w:p>
    <w:p>
      <w:pPr>
        <w:pStyle w:val="FirstParagraph"/>
      </w:pPr>
      <w:r>
        <w:t xml:space="preserve">Consensus that a barrier is not important will be defined as median ≤3 and ≥75% of ratings between 1 and 3.</w:t>
      </w:r>
    </w:p>
    <w:bookmarkEnd w:id="50"/>
    <w:bookmarkStart w:id="51" w:name="highly-modifiable-barrier"/>
    <w:p>
      <w:pPr>
        <w:pStyle w:val="Heading2"/>
      </w:pPr>
      <w:r>
        <w:t xml:space="preserve">Highly modifiable barrier</w:t>
      </w:r>
    </w:p>
    <w:p>
      <w:pPr>
        <w:pStyle w:val="FirstParagraph"/>
      </w:pP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0"/>
          <w:numId w:val="1021"/>
        </w:numPr>
      </w:pPr>
      <w:r>
        <w:t xml:space="preserve">median modifiability rating ≥7;</w:t>
      </w:r>
    </w:p>
    <w:p>
      <w:pPr>
        <w:pStyle w:val="Compact"/>
        <w:numPr>
          <w:ilvl w:val="0"/>
          <w:numId w:val="1021"/>
        </w:numPr>
      </w:pPr>
      <w:r>
        <w:t xml:space="preserve">IQR ≤2; and</w:t>
      </w:r>
    </w:p>
    <w:p>
      <w:pPr>
        <w:pStyle w:val="Compact"/>
        <w:numPr>
          <w:ilvl w:val="0"/>
          <w:numId w:val="1021"/>
        </w:numPr>
      </w:pPr>
      <w:r>
        <w:t xml:space="preserve">≥75% of valid ratings are 7–9.</w:t>
      </w:r>
    </w:p>
    <w:bookmarkEnd w:id="51"/>
    <w:bookmarkStart w:id="52" w:name="high-priority-intervention"/>
    <w:p>
      <w:pPr>
        <w:pStyle w:val="Heading2"/>
      </w:pPr>
      <w:r>
        <w:t xml:space="preserve">High-priority intervention</w:t>
      </w:r>
    </w:p>
    <w:p>
      <w:pPr>
        <w:pStyle w:val="FirstParagraph"/>
      </w:pPr>
      <w:r>
        <w:t xml:space="preserve">An intervention will be classified as a</w:t>
      </w:r>
      <w:r>
        <w:t xml:space="preserve"> </w:t>
      </w:r>
      <w:r>
        <w:rPr>
          <w:b/>
          <w:bCs/>
        </w:rPr>
        <w:t xml:space="preserve">high-priority feasible intervention</w:t>
      </w:r>
      <w:r>
        <w:t xml:space="preserve"> </w:t>
      </w:r>
      <w:r>
        <w:t xml:space="preserve">when:</w:t>
      </w:r>
    </w:p>
    <w:p>
      <w:pPr>
        <w:pStyle w:val="Compact"/>
        <w:numPr>
          <w:ilvl w:val="0"/>
          <w:numId w:val="1022"/>
        </w:numPr>
      </w:pPr>
      <w:r>
        <w:t xml:space="preserve">median importance/potential-impact rating ≥7;</w:t>
      </w:r>
    </w:p>
    <w:p>
      <w:pPr>
        <w:pStyle w:val="Compact"/>
        <w:numPr>
          <w:ilvl w:val="0"/>
          <w:numId w:val="1022"/>
        </w:numPr>
      </w:pPr>
      <w:r>
        <w:t xml:space="preserve">IQR ≤2;</w:t>
      </w:r>
    </w:p>
    <w:p>
      <w:pPr>
        <w:pStyle w:val="Compact"/>
        <w:numPr>
          <w:ilvl w:val="0"/>
          <w:numId w:val="1022"/>
        </w:numPr>
      </w:pPr>
      <w:r>
        <w:t xml:space="preserve">≥75% of valid ratings are 7–9; and</w:t>
      </w:r>
    </w:p>
    <w:p>
      <w:pPr>
        <w:pStyle w:val="Compact"/>
        <w:numPr>
          <w:ilvl w:val="0"/>
          <w:numId w:val="1022"/>
        </w:numPr>
      </w:pPr>
      <w:r>
        <w:t xml:space="preserve">≥70% of valid ratings rate feasibility 7–9.</w:t>
      </w:r>
    </w:p>
    <w:p>
      <w:pPr>
        <w:pStyle w:val="FirstParagraph"/>
      </w:pPr>
      <w:r>
        <w:t xml:space="preserve">The slightly lower feasibility threshold is intentional because interventions can be highly desirable while not being uniformly perceived as feasible.</w:t>
      </w:r>
    </w:p>
    <w:bookmarkEnd w:id="52"/>
    <w:bookmarkStart w:id="53" w:name="persistent-disagreement"/>
    <w:p>
      <w:pPr>
        <w:pStyle w:val="Heading2"/>
      </w:pPr>
      <w:r>
        <w:t xml:space="preserve">Persistent disagreement</w:t>
      </w:r>
    </w:p>
    <w:p>
      <w:pPr>
        <w:pStyle w:val="FirstParagraph"/>
      </w:pP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53"/>
    <w:bookmarkEnd w:id="54"/>
    <w:bookmarkStart w:id="55" w:name="feedback-and-anonymity"/>
    <w:p>
      <w:pPr>
        <w:pStyle w:val="Heading1"/>
      </w:pPr>
      <w:r>
        <w:t xml:space="preserve">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55"/>
    <w:bookmarkStart w:id="56" w:name="panel-attrition-and-response-monitoring"/>
    <w:p>
      <w:pPr>
        <w:pStyle w:val="Heading1"/>
      </w:pPr>
      <w:r>
        <w:t xml:space="preserve">Panel Attrition and Response Monitoring</w:t>
      </w:r>
    </w:p>
    <w:p>
      <w:pPr>
        <w:pStyle w:val="FirstParagraph"/>
      </w:pPr>
      <w:r>
        <w:t xml:space="preserve">Response rates will be calculated separately for each round using clearly specified denominators:</w:t>
      </w:r>
    </w:p>
    <w:p>
      <w:pPr>
        <w:pStyle w:val="Compact"/>
        <w:numPr>
          <w:ilvl w:val="0"/>
          <w:numId w:val="1023"/>
        </w:numPr>
      </w:pPr>
      <w:r>
        <w:t xml:space="preserve">invited participants;</w:t>
      </w:r>
    </w:p>
    <w:p>
      <w:pPr>
        <w:pStyle w:val="Compact"/>
        <w:numPr>
          <w:ilvl w:val="0"/>
          <w:numId w:val="1023"/>
        </w:numPr>
      </w:pPr>
      <w:r>
        <w:t xml:space="preserve">participants who completed the questionnaire; and</w:t>
      </w:r>
    </w:p>
    <w:p>
      <w:pPr>
        <w:pStyle w:val="Compact"/>
        <w:numPr>
          <w:ilvl w:val="0"/>
          <w:numId w:val="1023"/>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56"/>
    <w:bookmarkStart w:id="57" w:name="data-management"/>
    <w:p>
      <w:pPr>
        <w:pStyle w:val="Heading1"/>
      </w:pPr>
      <w:r>
        <w:t xml:space="preserve">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4"/>
        </w:numPr>
      </w:pPr>
      <w:r>
        <w:t xml:space="preserve">verifying valid response ranges;</w:t>
      </w:r>
    </w:p>
    <w:p>
      <w:pPr>
        <w:pStyle w:val="Compact"/>
        <w:numPr>
          <w:ilvl w:val="0"/>
          <w:numId w:val="1024"/>
        </w:numPr>
      </w:pPr>
      <w:r>
        <w:t xml:space="preserve">documenting incomplete questionnaires;</w:t>
      </w:r>
    </w:p>
    <w:p>
      <w:pPr>
        <w:pStyle w:val="Compact"/>
        <w:numPr>
          <w:ilvl w:val="0"/>
          <w:numId w:val="1024"/>
        </w:numPr>
      </w:pPr>
      <w:r>
        <w:t xml:space="preserve">identifying implausible or internally inconsistent administrative data;</w:t>
      </w:r>
    </w:p>
    <w:p>
      <w:pPr>
        <w:pStyle w:val="Compact"/>
        <w:numPr>
          <w:ilvl w:val="0"/>
          <w:numId w:val="1024"/>
        </w:numPr>
      </w:pPr>
      <w:r>
        <w:t xml:space="preserve">maintaining a data-cleaning log; and</w:t>
      </w:r>
    </w:p>
    <w:p>
      <w:pPr>
        <w:pStyle w:val="Compact"/>
        <w:numPr>
          <w:ilvl w:val="0"/>
          <w:numId w:val="1024"/>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57"/>
    <w:bookmarkStart w:id="61" w:name="statistical-analysis"/>
    <w:p>
      <w:pPr>
        <w:pStyle w:val="Heading1"/>
      </w:pPr>
      <w:r>
        <w:t xml:space="preserve">Statistical Analysis</w:t>
      </w:r>
    </w:p>
    <w:p>
      <w:pPr>
        <w:pStyle w:val="FirstParagraph"/>
      </w:pPr>
      <w:r>
        <w:t xml:space="preserve">Analysis will be primarily descriptive and consensus-based. For each item and each round, the following will be reported:</w:t>
      </w:r>
    </w:p>
    <w:p>
      <w:pPr>
        <w:pStyle w:val="Compact"/>
        <w:numPr>
          <w:ilvl w:val="0"/>
          <w:numId w:val="1025"/>
        </w:numPr>
      </w:pPr>
      <w:r>
        <w:t xml:space="preserve">number of valid responses;</w:t>
      </w:r>
    </w:p>
    <w:p>
      <w:pPr>
        <w:pStyle w:val="Compact"/>
        <w:numPr>
          <w:ilvl w:val="0"/>
          <w:numId w:val="1025"/>
        </w:numPr>
      </w:pPr>
      <w:r>
        <w:t xml:space="preserve">median;</w:t>
      </w:r>
    </w:p>
    <w:p>
      <w:pPr>
        <w:pStyle w:val="Compact"/>
        <w:numPr>
          <w:ilvl w:val="0"/>
          <w:numId w:val="1025"/>
        </w:numPr>
      </w:pPr>
      <w:r>
        <w:t xml:space="preserve">IQR;</w:t>
      </w:r>
    </w:p>
    <w:p>
      <w:pPr>
        <w:pStyle w:val="Compact"/>
        <w:numPr>
          <w:ilvl w:val="0"/>
          <w:numId w:val="1025"/>
        </w:numPr>
      </w:pPr>
      <w:r>
        <w:t xml:space="preserve">full response distribution;</w:t>
      </w:r>
    </w:p>
    <w:p>
      <w:pPr>
        <w:pStyle w:val="Compact"/>
        <w:numPr>
          <w:ilvl w:val="0"/>
          <w:numId w:val="1025"/>
        </w:numPr>
      </w:pPr>
      <w:r>
        <w:t xml:space="preserve">percentage rating 7–9;</w:t>
      </w:r>
    </w:p>
    <w:p>
      <w:pPr>
        <w:pStyle w:val="Compact"/>
        <w:numPr>
          <w:ilvl w:val="0"/>
          <w:numId w:val="1025"/>
        </w:numPr>
      </w:pPr>
      <w:r>
        <w:t xml:space="preserve">consensus classification; and</w:t>
      </w:r>
    </w:p>
    <w:p>
      <w:pPr>
        <w:pStyle w:val="Compact"/>
        <w:numPr>
          <w:ilvl w:val="0"/>
          <w:numId w:val="1025"/>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58" w:name="change-between-rounds"/>
    <w:p>
      <w:pPr>
        <w:pStyle w:val="Heading2"/>
      </w:pPr>
      <w:r>
        <w:t xml:space="preserve">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58"/>
    <w:bookmarkStart w:id="59" w:name="subgroup-analysis"/>
    <w:p>
      <w:pPr>
        <w:pStyle w:val="Heading2"/>
      </w:pPr>
      <w:r>
        <w:t xml:space="preserve">Subgroup analysis</w:t>
      </w:r>
    </w:p>
    <w:p>
      <w:pPr>
        <w:pStyle w:val="FirstParagraph"/>
      </w:pPr>
      <w:r>
        <w:t xml:space="preserve">Ratings will be examined descriptively by predefined stakeholder group:</w:t>
      </w:r>
    </w:p>
    <w:p>
      <w:pPr>
        <w:pStyle w:val="Compact"/>
        <w:numPr>
          <w:ilvl w:val="0"/>
          <w:numId w:val="1026"/>
        </w:numPr>
      </w:pPr>
      <w:r>
        <w:t xml:space="preserve">early-career researchers;</w:t>
      </w:r>
    </w:p>
    <w:p>
      <w:pPr>
        <w:pStyle w:val="Compact"/>
        <w:numPr>
          <w:ilvl w:val="0"/>
          <w:numId w:val="1026"/>
        </w:numPr>
      </w:pPr>
      <w:r>
        <w:t xml:space="preserve">supervisors;</w:t>
      </w:r>
    </w:p>
    <w:p>
      <w:pPr>
        <w:pStyle w:val="Compact"/>
        <w:numPr>
          <w:ilvl w:val="0"/>
          <w:numId w:val="1026"/>
        </w:numPr>
      </w:pPr>
      <w:r>
        <w:t xml:space="preserve">methodologists/biostatisticians; and</w:t>
      </w:r>
    </w:p>
    <w:p>
      <w:pPr>
        <w:pStyle w:val="Compact"/>
        <w:numPr>
          <w:ilvl w:val="0"/>
          <w:numId w:val="1026"/>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59"/>
    <w:bookmarkStart w:id="60" w:name="sensitivity-analyses"/>
    <w:p>
      <w:pPr>
        <w:pStyle w:val="Heading2"/>
      </w:pPr>
      <w:r>
        <w:t xml:space="preserve">Sensitivity analyses</w:t>
      </w:r>
    </w:p>
    <w:p>
      <w:pPr>
        <w:pStyle w:val="FirstParagraph"/>
      </w:pPr>
      <w:r>
        <w:t xml:space="preserve">Sensitivity analyses will examine whether conclusions change when:</w:t>
      </w:r>
    </w:p>
    <w:p>
      <w:pPr>
        <w:pStyle w:val="Compact"/>
        <w:numPr>
          <w:ilvl w:val="0"/>
          <w:numId w:val="1027"/>
        </w:numPr>
      </w:pPr>
      <w:r>
        <w:t xml:space="preserve">the denominator excludes</w:t>
      </w:r>
      <w:r>
        <w:t xml:space="preserve"> </w:t>
      </w:r>
      <w:r>
        <w:t xml:space="preserve">“cannot judge”</w:t>
      </w:r>
      <w:r>
        <w:t xml:space="preserve"> </w:t>
      </w:r>
      <w:r>
        <w:t xml:space="preserve">responses.</w:t>
      </w:r>
    </w:p>
    <w:p>
      <w:pPr>
        <w:pStyle w:val="Compact"/>
        <w:numPr>
          <w:ilvl w:val="0"/>
          <w:numId w:val="1027"/>
        </w:numPr>
      </w:pPr>
      <w:r>
        <w:t xml:space="preserve">only participants completing both rounds are considered.</w:t>
      </w:r>
    </w:p>
    <w:p>
      <w:pPr>
        <w:pStyle w:val="FirstParagraph"/>
      </w:pPr>
      <w:r>
        <w:t xml:space="preserve">These analyses will be prespecified before the final analysis where feasible.</w:t>
      </w:r>
    </w:p>
    <w:bookmarkEnd w:id="60"/>
    <w:bookmarkEnd w:id="61"/>
    <w:bookmarkStart w:id="68" w:name="bias-and-methodological-considerations"/>
    <w:p>
      <w:pPr>
        <w:pStyle w:val="Heading1"/>
      </w:pPr>
      <w:r>
        <w:t xml:space="preserve">Bias and Methodological Considerations</w:t>
      </w:r>
    </w:p>
    <w:bookmarkStart w:id="62" w:name="selection-bias"/>
    <w:p>
      <w:pPr>
        <w:pStyle w:val="Heading2"/>
      </w:pPr>
      <w:r>
        <w:t xml:space="preserve">Selection bias</w:t>
      </w:r>
    </w:p>
    <w:p>
      <w:pPr>
        <w:pStyle w:val="FirstParagraph"/>
      </w:pPr>
      <w:r>
        <w:t xml:space="preserve">Purposive recruitment may overrepresent individuals who are already interested in research quality. To reduce this risk, recruitment will seek variation in career stage, institution, geographic region, discipline, research experience, and stakeholder role.</w:t>
      </w:r>
    </w:p>
    <w:p>
      <w:pPr>
        <w:pStyle w:val="BodyText"/>
      </w:pPr>
      <w:r>
        <w:t xml:space="preserve">Response rates will be reported by stakeholder group where possible.</w:t>
      </w:r>
    </w:p>
    <w:bookmarkEnd w:id="62"/>
    <w:bookmarkStart w:id="63" w:name="Xe9d5539a731f267fca08449f3f1f8a78fbacf58"/>
    <w:p>
      <w:pPr>
        <w:pStyle w:val="Heading2"/>
      </w:pPr>
      <w:r>
        <w:t xml:space="preserve">Professional hierarchy and social desirability</w:t>
      </w:r>
    </w:p>
    <w:p>
      <w:pPr>
        <w:pStyle w:val="FirstParagraph"/>
      </w:pPr>
      <w:r>
        <w:t xml:space="preserve">Because junior researchers may be supervised by senior panelists, perceived hierarchy could affect participation or responses. Invitations and surveys will emphasize independence, anonymity, and the absence of academic consequences from participation or non-participation.</w:t>
      </w:r>
    </w:p>
    <w:bookmarkEnd w:id="63"/>
    <w:bookmarkStart w:id="64" w:name="dominance-bias"/>
    <w:p>
      <w:pPr>
        <w:pStyle w:val="Heading2"/>
      </w:pPr>
      <w:r>
        <w:t xml:space="preserve">Dominance bias</w:t>
      </w:r>
    </w:p>
    <w:p>
      <w:pPr>
        <w:pStyle w:val="FirstParagraph"/>
      </w:pPr>
      <w:r>
        <w:t xml:space="preserve">The anonymous electronic Delphi format will reduce the opportunity for senior or highly prominent participants to dominate the views of others.</w:t>
      </w:r>
    </w:p>
    <w:bookmarkEnd w:id="64"/>
    <w:bookmarkStart w:id="65" w:name="attrition-bias"/>
    <w:p>
      <w:pPr>
        <w:pStyle w:val="Heading2"/>
      </w:pPr>
      <w:r>
        <w:t xml:space="preserve">Attrition bias</w:t>
      </w:r>
    </w:p>
    <w:p>
      <w:pPr>
        <w:pStyle w:val="FirstParagraph"/>
      </w:pPr>
      <w:r>
        <w:t xml:space="preserve">Loss of participants between rounds may alter the final consensus. Attrition will therefore be reported by stakeholder group and considered when interpreting the findings.</w:t>
      </w:r>
    </w:p>
    <w:bookmarkEnd w:id="65"/>
    <w:bookmarkStart w:id="66" w:name="framing-bias"/>
    <w:p>
      <w:pPr>
        <w:pStyle w:val="Heading2"/>
      </w:pPr>
      <w:r>
        <w:t xml:space="preserve">Framing bias</w:t>
      </w:r>
    </w:p>
    <w:p>
      <w:pPr>
        <w:pStyle w:val="FirstParagraph"/>
      </w:pPr>
      <w:r>
        <w:t xml:space="preserve">Because the initial item pool is informed by prior evidence and the investigators’ conceptual framework, some relevant barriers may be underrepresented.</w:t>
      </w:r>
    </w:p>
    <w:bookmarkEnd w:id="66"/>
    <w:bookmarkStart w:id="67" w:name="steering-group-influence"/>
    <w:p>
      <w:pPr>
        <w:pStyle w:val="Heading2"/>
      </w:pPr>
      <w:r>
        <w:t xml:space="preserve">Steering-group influence</w:t>
      </w:r>
    </w:p>
    <w:p>
      <w:pPr>
        <w:pStyle w:val="FirstParagraph"/>
      </w:pPr>
      <w:r>
        <w:t xml:space="preserve">All item additions, revisions, and removals will be documented. Predefined rules will be used to minimize post hoc manipulation of item status.</w:t>
      </w:r>
    </w:p>
    <w:bookmarkEnd w:id="67"/>
    <w:bookmarkEnd w:id="68"/>
    <w:bookmarkStart w:id="74" w:name="ethical-considerations-and-governance"/>
    <w:p>
      <w:pPr>
        <w:pStyle w:val="Heading1"/>
      </w:pPr>
      <w:r>
        <w:t xml:space="preserve">Ethical Considerations and Governance</w:t>
      </w:r>
    </w:p>
    <w:p>
      <w:pPr>
        <w:pStyle w:val="FirstParagraph"/>
      </w:pPr>
      <w:r>
        <w:t xml:space="preserve">Ethical approval will be sought from the Institutional Review Board (IRB) of the Faculty of Medicine, MTI University.</w:t>
      </w:r>
    </w:p>
    <w:bookmarkStart w:id="69" w:name="informed-consent"/>
    <w:p>
      <w:pPr>
        <w:pStyle w:val="Heading2"/>
      </w:pPr>
      <w:r>
        <w:t xml:space="preserve">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w:t>
      </w:r>
    </w:p>
    <w:p>
      <w:pPr>
        <w:pStyle w:val="BodyText"/>
      </w:pPr>
      <w:r>
        <w:t xml:space="preserve">The information sheet will explain:</w:t>
      </w:r>
    </w:p>
    <w:p>
      <w:pPr>
        <w:pStyle w:val="Compact"/>
        <w:numPr>
          <w:ilvl w:val="0"/>
          <w:numId w:val="1028"/>
        </w:numPr>
      </w:pPr>
      <w:r>
        <w:t xml:space="preserve">the purpose of the study;</w:t>
      </w:r>
    </w:p>
    <w:p>
      <w:pPr>
        <w:pStyle w:val="Compact"/>
        <w:numPr>
          <w:ilvl w:val="0"/>
          <w:numId w:val="1028"/>
        </w:numPr>
      </w:pPr>
      <w:r>
        <w:t xml:space="preserve">what participation involves;</w:t>
      </w:r>
    </w:p>
    <w:p>
      <w:pPr>
        <w:pStyle w:val="Compact"/>
        <w:numPr>
          <w:ilvl w:val="0"/>
          <w:numId w:val="1028"/>
        </w:numPr>
      </w:pPr>
      <w:r>
        <w:t xml:space="preserve">the expected time commitment;</w:t>
      </w:r>
    </w:p>
    <w:p>
      <w:pPr>
        <w:pStyle w:val="Compact"/>
        <w:numPr>
          <w:ilvl w:val="0"/>
          <w:numId w:val="1028"/>
        </w:numPr>
      </w:pPr>
      <w:r>
        <w:t xml:space="preserve">the voluntary nature of participation;</w:t>
      </w:r>
    </w:p>
    <w:p>
      <w:pPr>
        <w:pStyle w:val="Compact"/>
        <w:numPr>
          <w:ilvl w:val="0"/>
          <w:numId w:val="1028"/>
        </w:numPr>
      </w:pPr>
      <w:r>
        <w:t xml:space="preserve">the right to withdraw without penalty;</w:t>
      </w:r>
    </w:p>
    <w:p>
      <w:pPr>
        <w:pStyle w:val="Compact"/>
        <w:numPr>
          <w:ilvl w:val="0"/>
          <w:numId w:val="1028"/>
        </w:numPr>
      </w:pPr>
      <w:r>
        <w:t xml:space="preserve">confidentiality and anonymity procedures;</w:t>
      </w:r>
    </w:p>
    <w:p>
      <w:pPr>
        <w:pStyle w:val="Compact"/>
        <w:numPr>
          <w:ilvl w:val="0"/>
          <w:numId w:val="1028"/>
        </w:numPr>
      </w:pPr>
      <w:r>
        <w:t xml:space="preserve">the right to request removal of data;</w:t>
      </w:r>
    </w:p>
    <w:p>
      <w:pPr>
        <w:pStyle w:val="Compact"/>
        <w:numPr>
          <w:ilvl w:val="0"/>
          <w:numId w:val="1028"/>
        </w:numPr>
      </w:pPr>
      <w:r>
        <w:t xml:space="preserve">foreseeable risks and benefits;</w:t>
      </w:r>
    </w:p>
    <w:p>
      <w:pPr>
        <w:pStyle w:val="Compact"/>
        <w:numPr>
          <w:ilvl w:val="0"/>
          <w:numId w:val="1028"/>
        </w:numPr>
      </w:pPr>
      <w:r>
        <w:t xml:space="preserve">how data will be used and stored; and</w:t>
      </w:r>
    </w:p>
    <w:p>
      <w:pPr>
        <w:pStyle w:val="Compact"/>
        <w:numPr>
          <w:ilvl w:val="0"/>
          <w:numId w:val="1028"/>
        </w:numPr>
      </w:pPr>
      <w:r>
        <w:t xml:space="preserve">contact information for the research team and ethics committee.</w:t>
      </w:r>
    </w:p>
    <w:p>
      <w:pPr>
        <w:pStyle w:val="FirstParagraph"/>
      </w:pPr>
      <w:r>
        <w:t xml:space="preserve">Participants will be free to skip any question they do not wish to answer.</w:t>
      </w:r>
    </w:p>
    <w:p>
      <w:pPr>
        <w:pStyle w:val="BodyText"/>
      </w:pPr>
      <w:r>
        <w:t xml:space="preserve">Participants may withdraw at any time before submission. After submission, participants may request removal of their data until the dataset has been de-identified, locked, or incorporated into aggregate analyses, after which individual responses may no longer be identifiable or removable. The information sheet will state the applicable withdrawal deadline and procedure.</w:t>
      </w:r>
    </w:p>
    <w:bookmarkEnd w:id="69"/>
    <w:bookmarkStart w:id="70" w:name="confidentiality"/>
    <w:p>
      <w:pPr>
        <w:pStyle w:val="Heading2"/>
      </w:pPr>
      <w:r>
        <w:t xml:space="preserve">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70"/>
    <w:bookmarkStart w:id="71" w:name="protection-of-junior-participants"/>
    <w:p>
      <w:pPr>
        <w:pStyle w:val="Heading2"/>
      </w:pPr>
      <w:r>
        <w:t xml:space="preserve">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29"/>
        </w:numPr>
      </w:pPr>
      <w:r>
        <w:t xml:space="preserve">invitations will be sent directly to potential participants;</w:t>
      </w:r>
    </w:p>
    <w:p>
      <w:pPr>
        <w:pStyle w:val="Compact"/>
        <w:numPr>
          <w:ilvl w:val="0"/>
          <w:numId w:val="1029"/>
        </w:numPr>
      </w:pPr>
      <w:r>
        <w:t xml:space="preserve">participation will not be arranged through a direct supervisor;</w:t>
      </w:r>
    </w:p>
    <w:p>
      <w:pPr>
        <w:pStyle w:val="Compact"/>
        <w:numPr>
          <w:ilvl w:val="0"/>
          <w:numId w:val="1029"/>
        </w:numPr>
      </w:pPr>
      <w:r>
        <w:t xml:space="preserve">supervisors will not know whether a specific junior researcher participated;</w:t>
      </w:r>
    </w:p>
    <w:p>
      <w:pPr>
        <w:pStyle w:val="Compact"/>
        <w:numPr>
          <w:ilvl w:val="0"/>
          <w:numId w:val="1029"/>
        </w:numPr>
      </w:pPr>
      <w:r>
        <w:t xml:space="preserve">reminders will be automated and sent by research staff who are not in a direct supervisory relationship with potential participants;</w:t>
      </w:r>
    </w:p>
    <w:p>
      <w:pPr>
        <w:pStyle w:val="Compact"/>
        <w:numPr>
          <w:ilvl w:val="0"/>
          <w:numId w:val="1029"/>
        </w:numPr>
      </w:pPr>
      <w:r>
        <w:t xml:space="preserve">participants will not be asked to discuss identifiable supervisory conflicts.</w:t>
      </w:r>
    </w:p>
    <w:bookmarkEnd w:id="71"/>
    <w:bookmarkStart w:id="72" w:name="risks-and-benefits"/>
    <w:p>
      <w:pPr>
        <w:pStyle w:val="Heading2"/>
      </w:pPr>
      <w:r>
        <w:t xml:space="preserve">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72"/>
    <w:bookmarkStart w:id="73" w:name="compensation-and-reimbursement"/>
    <w:p>
      <w:pPr>
        <w:pStyle w:val="Heading2"/>
      </w:pPr>
      <w:r>
        <w:t xml:space="preserve">Compensation and reimbursement</w:t>
      </w:r>
    </w:p>
    <w:p>
      <w:pPr>
        <w:pStyle w:val="FirstParagraph"/>
      </w:pPr>
      <w:r>
        <w:t xml:space="preserve">Participants will not receive financial compensation. No reimbursement is anticipated because participation is remote.</w:t>
      </w:r>
    </w:p>
    <w:bookmarkEnd w:id="73"/>
    <w:bookmarkEnd w:id="74"/>
    <w:bookmarkStart w:id="75" w:name="conflicts-of-interest"/>
    <w:p>
      <w:pPr>
        <w:pStyle w:val="Heading1"/>
      </w:pPr>
      <w:r>
        <w:t xml:space="preserve">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75"/>
    <w:bookmarkStart w:id="76" w:name="protocol-registration-and-amendments"/>
    <w:p>
      <w:pPr>
        <w:pStyle w:val="Heading1"/>
      </w:pPr>
      <w:r>
        <w:t xml:space="preserve">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76"/>
    <w:bookmarkStart w:id="77" w:name="quality-assurance"/>
    <w:p>
      <w:pPr>
        <w:pStyle w:val="Heading1"/>
      </w:pPr>
      <w:r>
        <w:t xml:space="preserve">Quality Assurance</w:t>
      </w:r>
    </w:p>
    <w:p>
      <w:pPr>
        <w:pStyle w:val="FirstParagraph"/>
      </w:pPr>
      <w:r>
        <w:t xml:space="preserve">Before launch:</w:t>
      </w:r>
    </w:p>
    <w:p>
      <w:pPr>
        <w:pStyle w:val="Compact"/>
        <w:numPr>
          <w:ilvl w:val="0"/>
          <w:numId w:val="1030"/>
        </w:numPr>
      </w:pPr>
      <w:r>
        <w:t xml:space="preserve">the initial item pool will be reviewed by the steering group.</w:t>
      </w:r>
    </w:p>
    <w:p>
      <w:pPr>
        <w:pStyle w:val="Compact"/>
        <w:numPr>
          <w:ilvl w:val="0"/>
          <w:numId w:val="1030"/>
        </w:numPr>
      </w:pPr>
      <w:r>
        <w:t xml:space="preserve">the questionnaire will be checked for clarity.</w:t>
      </w:r>
    </w:p>
    <w:p>
      <w:pPr>
        <w:pStyle w:val="Compact"/>
        <w:numPr>
          <w:ilvl w:val="0"/>
          <w:numId w:val="1030"/>
        </w:numPr>
      </w:pPr>
      <w:r>
        <w:t xml:space="preserve">the electronic survey will undergo technical testing;</w:t>
      </w:r>
    </w:p>
    <w:p>
      <w:pPr>
        <w:pStyle w:val="Compact"/>
        <w:numPr>
          <w:ilvl w:val="0"/>
          <w:numId w:val="1030"/>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1"/>
        </w:numPr>
      </w:pPr>
      <w:r>
        <w:t xml:space="preserve">the initial item sources;</w:t>
      </w:r>
    </w:p>
    <w:p>
      <w:pPr>
        <w:pStyle w:val="Compact"/>
        <w:numPr>
          <w:ilvl w:val="0"/>
          <w:numId w:val="1031"/>
        </w:numPr>
      </w:pPr>
      <w:r>
        <w:t xml:space="preserve">item revisions;</w:t>
      </w:r>
    </w:p>
    <w:p>
      <w:pPr>
        <w:pStyle w:val="Compact"/>
        <w:numPr>
          <w:ilvl w:val="0"/>
          <w:numId w:val="1031"/>
        </w:numPr>
      </w:pPr>
      <w:r>
        <w:t xml:space="preserve">panel recruitment;</w:t>
      </w:r>
    </w:p>
    <w:p>
      <w:pPr>
        <w:pStyle w:val="Compact"/>
        <w:numPr>
          <w:ilvl w:val="0"/>
          <w:numId w:val="1031"/>
        </w:numPr>
      </w:pPr>
      <w:r>
        <w:t xml:space="preserve">response rates;</w:t>
      </w:r>
    </w:p>
    <w:p>
      <w:pPr>
        <w:pStyle w:val="Compact"/>
        <w:numPr>
          <w:ilvl w:val="0"/>
          <w:numId w:val="1031"/>
        </w:numPr>
      </w:pPr>
      <w:r>
        <w:t xml:space="preserve">consensus decisions;</w:t>
      </w:r>
    </w:p>
    <w:p>
      <w:pPr>
        <w:pStyle w:val="Compact"/>
        <w:numPr>
          <w:ilvl w:val="0"/>
          <w:numId w:val="1031"/>
        </w:numPr>
      </w:pPr>
      <w:r>
        <w:t xml:space="preserve">feedback provided;</w:t>
      </w:r>
    </w:p>
    <w:p>
      <w:pPr>
        <w:pStyle w:val="Compact"/>
        <w:numPr>
          <w:ilvl w:val="0"/>
          <w:numId w:val="1031"/>
        </w:numPr>
      </w:pPr>
      <w:r>
        <w:t xml:space="preserve">attrition;</w:t>
      </w:r>
    </w:p>
    <w:p>
      <w:pPr>
        <w:pStyle w:val="Compact"/>
        <w:numPr>
          <w:ilvl w:val="0"/>
          <w:numId w:val="1031"/>
        </w:numPr>
      </w:pPr>
      <w:r>
        <w:t xml:space="preserve">and final item disposition.</w:t>
      </w:r>
    </w:p>
    <w:bookmarkEnd w:id="77"/>
    <w:bookmarkStart w:id="78" w:name="expected-outputs"/>
    <w:p>
      <w:pPr>
        <w:pStyle w:val="Heading1"/>
      </w:pPr>
      <w:r>
        <w:t xml:space="preserve">Expected Outputs</w:t>
      </w:r>
    </w:p>
    <w:p>
      <w:pPr>
        <w:pStyle w:val="FirstParagraph"/>
      </w:pPr>
      <w:r>
        <w:t xml:space="preserve">The study will generate a consensus-based priority framework identifying:</w:t>
      </w:r>
    </w:p>
    <w:p>
      <w:pPr>
        <w:numPr>
          <w:ilvl w:val="0"/>
          <w:numId w:val="1032"/>
        </w:numPr>
      </w:pPr>
      <w:r>
        <w:t xml:space="preserve">important and modifiable barriers to valid, relevant, and high-value medical research among early-career researchers in Egypt; and</w:t>
      </w:r>
    </w:p>
    <w:p>
      <w:pPr>
        <w:numPr>
          <w:ilvl w:val="0"/>
          <w:numId w:val="1032"/>
        </w:numPr>
      </w:pPr>
      <w:r>
        <w:t xml:space="preserve">important, feasible interventions to address these barriers.</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study will generate a consensus-based priority framework to inform subsequent research-capacity planning and implementation research. The framework will represent stakeholder judgments about priorities; it will not establish the causal effectiveness of individual interventions.</w:t>
      </w:r>
    </w:p>
    <w:bookmarkEnd w:id="78"/>
    <w:bookmarkStart w:id="79" w:name="funding-and-sponsorship"/>
    <w:p>
      <w:pPr>
        <w:pStyle w:val="Heading1"/>
      </w:pPr>
      <w:r>
        <w:t xml:space="preserve">Funding and Sponsorship</w:t>
      </w:r>
    </w:p>
    <w:p>
      <w:pPr>
        <w:pStyle w:val="FirstParagraph"/>
      </w:pPr>
      <w:r>
        <w:t xml:space="preserve">The study is investigator-initiated and unfunded.</w:t>
      </w:r>
    </w:p>
    <w:bookmarkEnd w:id="79"/>
    <w:bookmarkStart w:id="80" w:name="data-availability-and-open-science"/>
    <w:p>
      <w:pPr>
        <w:pStyle w:val="Heading1"/>
      </w:pPr>
      <w:r>
        <w:t xml:space="preserve">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80"/>
    <w:bookmarkStart w:id="81" w:name="stakeholder-validation"/>
    <w:p>
      <w:pPr>
        <w:pStyle w:val="Heading1"/>
      </w:pPr>
      <w:r>
        <w:t xml:space="preserve">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Participation in the validation workshop will be voluntary and will require separate invitation and consent.</w:t>
      </w:r>
    </w:p>
    <w:p>
      <w:pPr>
        <w:pStyle w:val="BodyText"/>
      </w:pPr>
      <w:r>
        <w:t xml:space="preserve">The workshop will not be used to alter the predefined Delphi consensus classifications. Its purpose will be to:</w:t>
      </w:r>
    </w:p>
    <w:p>
      <w:pPr>
        <w:pStyle w:val="Compact"/>
        <w:numPr>
          <w:ilvl w:val="0"/>
          <w:numId w:val="1033"/>
        </w:numPr>
      </w:pPr>
      <w:r>
        <w:t xml:space="preserve">assess whether the final framework is understandable and practically useful;</w:t>
      </w:r>
    </w:p>
    <w:p>
      <w:pPr>
        <w:pStyle w:val="Compact"/>
        <w:numPr>
          <w:ilvl w:val="0"/>
          <w:numId w:val="1033"/>
        </w:numPr>
      </w:pPr>
      <w:r>
        <w:t xml:space="preserve">identify implementation considerations;</w:t>
      </w:r>
    </w:p>
    <w:p>
      <w:pPr>
        <w:pStyle w:val="Compact"/>
        <w:numPr>
          <w:ilvl w:val="0"/>
          <w:numId w:val="1033"/>
        </w:numPr>
      </w:pPr>
      <w:r>
        <w:t xml:space="preserve">identify unintended consequences or feasibility concerns;</w:t>
      </w:r>
    </w:p>
    <w:p>
      <w:pPr>
        <w:pStyle w:val="Compact"/>
        <w:numPr>
          <w:ilvl w:val="0"/>
          <w:numId w:val="1033"/>
        </w:numPr>
      </w:pPr>
      <w:r>
        <w:t xml:space="preserve">identify gaps requiring future empirical research; and</w:t>
      </w:r>
    </w:p>
    <w:p>
      <w:pPr>
        <w:pStyle w:val="Compact"/>
        <w:numPr>
          <w:ilvl w:val="0"/>
          <w:numId w:val="1033"/>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81"/>
    <w:bookmarkStart w:id="82" w:name="timeline"/>
    <w:p>
      <w:pPr>
        <w:pStyle w:val="Heading1"/>
      </w:pPr>
      <w:r>
        <w:t xml:space="preserve">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82"/>
    <w:bookmarkStart w:id="83" w:name="dissemination"/>
    <w:p>
      <w:pPr>
        <w:pStyle w:val="Heading1"/>
      </w:pPr>
      <w:r>
        <w:t xml:space="preserve">Dissemination</w:t>
      </w:r>
    </w:p>
    <w:p>
      <w:pPr>
        <w:pStyle w:val="FirstParagraph"/>
      </w:pPr>
      <w:r>
        <w:t xml:space="preserve">Findings will be disseminated through:</w:t>
      </w:r>
    </w:p>
    <w:p>
      <w:pPr>
        <w:pStyle w:val="Compact"/>
        <w:numPr>
          <w:ilvl w:val="0"/>
          <w:numId w:val="1034"/>
        </w:numPr>
      </w:pPr>
      <w:r>
        <w:t xml:space="preserve">peer-reviewed scientific publication;</w:t>
      </w:r>
    </w:p>
    <w:p>
      <w:pPr>
        <w:pStyle w:val="Compact"/>
        <w:numPr>
          <w:ilvl w:val="0"/>
          <w:numId w:val="1034"/>
        </w:numPr>
      </w:pPr>
      <w:r>
        <w:t xml:space="preserve">a policy brief; and</w:t>
      </w:r>
    </w:p>
    <w:p>
      <w:pPr>
        <w:pStyle w:val="Compact"/>
        <w:numPr>
          <w:ilvl w:val="0"/>
          <w:numId w:val="1034"/>
        </w:numPr>
      </w:pPr>
      <w:r>
        <w:t xml:space="preserve">stakeholder-focused webinars;</w:t>
      </w:r>
    </w:p>
    <w:p>
      <w:pPr>
        <w:pStyle w:val="FirstParagraph"/>
      </w:pPr>
      <w:r>
        <w:t xml:space="preserve">Dissemination materials will distinguish between:</w:t>
      </w:r>
    </w:p>
    <w:p>
      <w:pPr>
        <w:pStyle w:val="Compact"/>
        <w:numPr>
          <w:ilvl w:val="0"/>
          <w:numId w:val="1035"/>
        </w:numPr>
      </w:pPr>
      <w:r>
        <w:t xml:space="preserve">barriers that achieved consensus;</w:t>
      </w:r>
    </w:p>
    <w:p>
      <w:pPr>
        <w:pStyle w:val="Compact"/>
        <w:numPr>
          <w:ilvl w:val="0"/>
          <w:numId w:val="1035"/>
        </w:numPr>
      </w:pPr>
      <w:r>
        <w:t xml:space="preserve">interventions that achieved consensus as important and feasible;</w:t>
      </w:r>
    </w:p>
    <w:p>
      <w:pPr>
        <w:pStyle w:val="Compact"/>
        <w:numPr>
          <w:ilvl w:val="0"/>
          <w:numId w:val="1035"/>
        </w:numPr>
      </w:pPr>
      <w:r>
        <w:t xml:space="preserve">areas of persistent disagreement; and</w:t>
      </w:r>
    </w:p>
    <w:p>
      <w:pPr>
        <w:pStyle w:val="Compact"/>
        <w:numPr>
          <w:ilvl w:val="0"/>
          <w:numId w:val="1035"/>
        </w:numPr>
      </w:pPr>
      <w:r>
        <w:t xml:space="preserve">recommendations that require subsequent empirical evaluation.</w:t>
      </w:r>
    </w:p>
    <w:bookmarkEnd w:id="83"/>
    <w:bookmarkStart w:id="84" w:name="limitations"/>
    <w:p>
      <w:pPr>
        <w:pStyle w:val="Heading1"/>
      </w:pPr>
      <w:r>
        <w:t xml:space="preserve">Limitations</w:t>
      </w:r>
    </w:p>
    <w:p>
      <w:pPr>
        <w:pStyle w:val="FirstParagraph"/>
      </w:pPr>
      <w:r>
        <w:t xml:space="preserve">Several limitations are anticipated.</w:t>
      </w:r>
    </w:p>
    <w:p>
      <w:pPr>
        <w:pStyle w:val="BodyText"/>
      </w:pPr>
      <w:r>
        <w:t xml:space="preserve">First, Delphi findings represent the judgments of the selected panel and should not be interpreted as prevalence estimates or direct measures of the experiences of all Egyptian early-career researchers.</w:t>
      </w:r>
    </w:p>
    <w:p>
      <w:pPr>
        <w:pStyle w:val="BodyText"/>
      </w:pPr>
      <w:r>
        <w:t xml:space="preserve">Second, purposive sampling and voluntary participation may introduce selection bias.</w:t>
      </w:r>
    </w:p>
    <w:p>
      <w:pPr>
        <w:pStyle w:val="BodyText"/>
      </w:pPr>
      <w:r>
        <w:t xml:space="preserve">Third, consensus does not establish causality. A barrier that is rated highly by the panel may be important, but the Delphi process cannot determine whether changing that barrier would improve research quality.</w:t>
      </w:r>
    </w:p>
    <w:p>
      <w:pPr>
        <w:pStyle w:val="BodyText"/>
      </w:pPr>
      <w:r>
        <w:t xml:space="preserve">Fourth, two rounds may be insufficient for some complex or contested issues. The two-round design is a pragmatic choice intended to balance methodological rigor with participant burden. Items that remain unresolved after Round 2 will be reported as such rather than being forced into consensus.</w:t>
      </w:r>
    </w:p>
    <w:p>
      <w:pPr>
        <w:pStyle w:val="BodyText"/>
      </w:pPr>
      <w:r>
        <w:t xml:space="preserve">Fifth, the panel may contain relatively few representatives of some stakeholder groups, limiting the interpretability of subgroup analyses.</w:t>
      </w:r>
    </w:p>
    <w:p>
      <w:pPr>
        <w:pStyle w:val="BodyText"/>
      </w:pPr>
      <w:r>
        <w:t xml:space="preserve">Finally, the intervention framework generated by this study will require subsequent implementation research and evaluation to determine whether prioritized interventions actually improve research validity, value, efficiency, or dissemination.</w:t>
      </w:r>
    </w:p>
    <w:bookmarkEnd w:id="84"/>
    <w:bookmarkStart w:id="85" w:name="analysis-and-interpretation-framework"/>
    <w:p>
      <w:pPr>
        <w:pStyle w:val="Heading1"/>
      </w:pPr>
      <w:r>
        <w:t xml:space="preserve">Analysis and Interpretation Framework</w:t>
      </w:r>
    </w:p>
    <w:p>
      <w:pPr>
        <w:pStyle w:val="FirstParagraph"/>
      </w:pPr>
      <w:r>
        <w:t xml:space="preserve">The final interpretation will reflect what the panel agrees is important, modifiable, or feasible. It will not be presented as direct evidence of intervention effectiveness. Consensus results will only be interpreted if at least three stakeholder categories are represented and no single stakeholder group contributes more than 60% of all valid responses. The steering group may seek additional recruitment within underrepresented stakeholder categories before closure of recruitment where feasible. If this condition is not met, overall consensus results will be reported descriptively but will be labeled as limited in representativeness and will not be used to support the full multilevel action framework.</w:t>
      </w:r>
    </w:p>
    <w:bookmarkEnd w:id="85"/>
    <w:bookmarkStart w:id="86" w:name="reporting-standards"/>
    <w:p>
      <w:pPr>
        <w:pStyle w:val="Heading1"/>
      </w:pPr>
      <w:r>
        <w:t xml:space="preserve">Reporting Standards</w:t>
      </w:r>
    </w:p>
    <w:p>
      <w:pPr>
        <w:pStyle w:val="FirstParagraph"/>
      </w:pPr>
      <w:r>
        <w:t xml:space="preserve">This protocol is prospectively registered on the Open Science Framework before participant recruitment and data collection begin. The registration identifier is OSF.IO/83G7B.</w:t>
      </w:r>
    </w:p>
    <w:p>
      <w:pPr>
        <w:pStyle w:val="BodyText"/>
      </w:pPr>
      <w:r>
        <w:t xml:space="preserve">The completed study will be reported in accordance with the ACCORD guidance for reporting of modified Delphi studies.</w:t>
      </w:r>
      <w:r>
        <w:t xml:space="preserve"> </w:t>
      </w:r>
      <w:r>
        <w:t xml:space="preserve">[10]</w:t>
      </w:r>
    </w:p>
    <w:bookmarkEnd w:id="86"/>
    <w:bookmarkStart w:id="141" w:name="appendices"/>
    <w:p>
      <w:pPr>
        <w:pStyle w:val="Heading1"/>
      </w:pPr>
      <w:r>
        <w:t xml:space="preserve">Appendices</w:t>
      </w:r>
    </w:p>
    <w:bookmarkStart w:id="87" w:name="appendix-1.-investigators-and-roles"/>
    <w:p>
      <w:pPr>
        <w:pStyle w:val="Heading2"/>
      </w:pPr>
      <w:r>
        <w:t xml:space="preserve">Appendix 1. Investigators and Roles</w:t>
      </w:r>
    </w:p>
    <w:p>
      <w:pPr>
        <w:pStyle w:val="Compact"/>
        <w:numPr>
          <w:ilvl w:val="0"/>
          <w:numId w:val="1036"/>
        </w:numPr>
      </w:pPr>
      <w:r>
        <w:rPr>
          <w:b/>
          <w:bCs/>
        </w:rPr>
        <w:t xml:space="preserve">Principal Investigator (PI):</w:t>
      </w:r>
      <w:r>
        <w:t xml:space="preserve"> </w:t>
      </w:r>
      <w:r>
        <w:t xml:space="preserve">Prof. Ashraf Nabhan (Faculty of Medicine, MTI University).</w:t>
      </w:r>
    </w:p>
    <w:p>
      <w:pPr>
        <w:pStyle w:val="Compact"/>
        <w:numPr>
          <w:ilvl w:val="0"/>
          <w:numId w:val="1036"/>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6"/>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6"/>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87"/>
    <w:bookmarkStart w:id="88" w:name="appendix-2.-proposed-barrier-domains"/>
    <w:p>
      <w:pPr>
        <w:pStyle w:val="Heading2"/>
      </w:pPr>
      <w:r>
        <w:t xml:space="preserve">Appendix 2. Proposed barrier domains</w:t>
      </w:r>
    </w:p>
    <w:p>
      <w:pPr>
        <w:pStyle w:val="Compact"/>
        <w:numPr>
          <w:ilvl w:val="0"/>
          <w:numId w:val="1037"/>
        </w:numPr>
      </w:pPr>
      <w:r>
        <w:t xml:space="preserve">Research question selection and prioritization</w:t>
      </w:r>
    </w:p>
    <w:p>
      <w:pPr>
        <w:pStyle w:val="Compact"/>
        <w:numPr>
          <w:ilvl w:val="0"/>
          <w:numId w:val="1037"/>
        </w:numPr>
      </w:pPr>
      <w:r>
        <w:t xml:space="preserve">Evidence searching and synthesis</w:t>
      </w:r>
    </w:p>
    <w:p>
      <w:pPr>
        <w:pStyle w:val="Compact"/>
        <w:numPr>
          <w:ilvl w:val="0"/>
          <w:numId w:val="1037"/>
        </w:numPr>
      </w:pPr>
      <w:r>
        <w:t xml:space="preserve">Research-methodology knowledge</w:t>
      </w:r>
    </w:p>
    <w:p>
      <w:pPr>
        <w:pStyle w:val="Compact"/>
        <w:numPr>
          <w:ilvl w:val="0"/>
          <w:numId w:val="1037"/>
        </w:numPr>
      </w:pPr>
      <w:r>
        <w:t xml:space="preserve">Biostatistics and data analysis</w:t>
      </w:r>
    </w:p>
    <w:p>
      <w:pPr>
        <w:pStyle w:val="Compact"/>
        <w:numPr>
          <w:ilvl w:val="0"/>
          <w:numId w:val="1037"/>
        </w:numPr>
      </w:pPr>
      <w:r>
        <w:t xml:space="preserve">Scientific writing and reporting</w:t>
      </w:r>
    </w:p>
    <w:p>
      <w:pPr>
        <w:pStyle w:val="Compact"/>
        <w:numPr>
          <w:ilvl w:val="0"/>
          <w:numId w:val="1037"/>
        </w:numPr>
      </w:pPr>
      <w:r>
        <w:t xml:space="preserve">Research supervision and mentorship</w:t>
      </w:r>
    </w:p>
    <w:p>
      <w:pPr>
        <w:pStyle w:val="Compact"/>
        <w:numPr>
          <w:ilvl w:val="0"/>
          <w:numId w:val="1037"/>
        </w:numPr>
      </w:pPr>
      <w:r>
        <w:t xml:space="preserve">Protected research time</w:t>
      </w:r>
    </w:p>
    <w:p>
      <w:pPr>
        <w:pStyle w:val="Compact"/>
        <w:numPr>
          <w:ilvl w:val="0"/>
          <w:numId w:val="1037"/>
        </w:numPr>
      </w:pPr>
      <w:r>
        <w:t xml:space="preserve">Funding and financial resources</w:t>
      </w:r>
    </w:p>
    <w:p>
      <w:pPr>
        <w:pStyle w:val="Compact"/>
        <w:numPr>
          <w:ilvl w:val="0"/>
          <w:numId w:val="1037"/>
        </w:numPr>
      </w:pPr>
      <w:r>
        <w:t xml:space="preserve">Data availability and access</w:t>
      </w:r>
    </w:p>
    <w:p>
      <w:pPr>
        <w:pStyle w:val="Compact"/>
        <w:numPr>
          <w:ilvl w:val="0"/>
          <w:numId w:val="1037"/>
        </w:numPr>
      </w:pPr>
      <w:r>
        <w:t xml:space="preserve">Laboratory and technical infrastructure</w:t>
      </w:r>
    </w:p>
    <w:p>
      <w:pPr>
        <w:pStyle w:val="Compact"/>
        <w:numPr>
          <w:ilvl w:val="0"/>
          <w:numId w:val="1037"/>
        </w:numPr>
      </w:pPr>
      <w:r>
        <w:t xml:space="preserve">Research ethics and administrative processes</w:t>
      </w:r>
    </w:p>
    <w:p>
      <w:pPr>
        <w:pStyle w:val="Compact"/>
        <w:numPr>
          <w:ilvl w:val="0"/>
          <w:numId w:val="1037"/>
        </w:numPr>
      </w:pPr>
      <w:r>
        <w:t xml:space="preserve">Collaboration and multidisciplinary research</w:t>
      </w:r>
    </w:p>
    <w:p>
      <w:pPr>
        <w:pStyle w:val="Compact"/>
        <w:numPr>
          <w:ilvl w:val="0"/>
          <w:numId w:val="1037"/>
        </w:numPr>
      </w:pPr>
      <w:r>
        <w:t xml:space="preserve">Institutional research culture</w:t>
      </w:r>
    </w:p>
    <w:p>
      <w:pPr>
        <w:pStyle w:val="Compact"/>
        <w:numPr>
          <w:ilvl w:val="0"/>
          <w:numId w:val="1037"/>
        </w:numPr>
      </w:pPr>
      <w:r>
        <w:t xml:space="preserve">Academic promotion and incentive structures</w:t>
      </w:r>
    </w:p>
    <w:p>
      <w:pPr>
        <w:pStyle w:val="Compact"/>
        <w:numPr>
          <w:ilvl w:val="0"/>
          <w:numId w:val="1037"/>
        </w:numPr>
      </w:pPr>
      <w:r>
        <w:t xml:space="preserve">Publication and dissemination</w:t>
      </w:r>
    </w:p>
    <w:p>
      <w:pPr>
        <w:pStyle w:val="Compact"/>
        <w:numPr>
          <w:ilvl w:val="0"/>
          <w:numId w:val="1037"/>
        </w:numPr>
      </w:pPr>
      <w:r>
        <w:t xml:space="preserve">Research governance and integrity</w:t>
      </w:r>
    </w:p>
    <w:p>
      <w:pPr>
        <w:pStyle w:val="Compact"/>
        <w:numPr>
          <w:ilvl w:val="0"/>
          <w:numId w:val="1037"/>
        </w:numPr>
      </w:pPr>
      <w:r>
        <w:t xml:space="preserve">National research policy and infrastructure</w:t>
      </w:r>
    </w:p>
    <w:bookmarkEnd w:id="88"/>
    <w:bookmarkStart w:id="89" w:name="Xbad515ac281b62739dfb411df580324f52669ee"/>
    <w:p>
      <w:pPr>
        <w:pStyle w:val="Heading2"/>
      </w:pPr>
      <w:r>
        <w:t xml:space="preserve">Appendix 3. Proposed intervention domains</w:t>
      </w:r>
    </w:p>
    <w:p>
      <w:pPr>
        <w:pStyle w:val="Compact"/>
        <w:numPr>
          <w:ilvl w:val="0"/>
          <w:numId w:val="1038"/>
        </w:numPr>
      </w:pPr>
      <w:r>
        <w:t xml:space="preserve">Structured research-methodology curricula</w:t>
      </w:r>
    </w:p>
    <w:p>
      <w:pPr>
        <w:pStyle w:val="Compact"/>
        <w:numPr>
          <w:ilvl w:val="0"/>
          <w:numId w:val="1038"/>
        </w:numPr>
      </w:pPr>
      <w:r>
        <w:t xml:space="preserve">Supervisor-development programmes</w:t>
      </w:r>
    </w:p>
    <w:p>
      <w:pPr>
        <w:pStyle w:val="Compact"/>
        <w:numPr>
          <w:ilvl w:val="0"/>
          <w:numId w:val="1038"/>
        </w:numPr>
      </w:pPr>
      <w:r>
        <w:t xml:space="preserve">Formal mentorship systems</w:t>
      </w:r>
    </w:p>
    <w:p>
      <w:pPr>
        <w:pStyle w:val="Compact"/>
        <w:numPr>
          <w:ilvl w:val="0"/>
          <w:numId w:val="1038"/>
        </w:numPr>
      </w:pPr>
      <w:r>
        <w:t xml:space="preserve">Institutional statistical/methodological consultation</w:t>
      </w:r>
    </w:p>
    <w:p>
      <w:pPr>
        <w:pStyle w:val="Compact"/>
        <w:numPr>
          <w:ilvl w:val="0"/>
          <w:numId w:val="1038"/>
        </w:numPr>
      </w:pPr>
      <w:r>
        <w:t xml:space="preserve">Protected research time</w:t>
      </w:r>
    </w:p>
    <w:p>
      <w:pPr>
        <w:pStyle w:val="Compact"/>
        <w:numPr>
          <w:ilvl w:val="0"/>
          <w:numId w:val="1038"/>
        </w:numPr>
      </w:pPr>
      <w:r>
        <w:t xml:space="preserve">Small-grant and seed-funding mechanisms</w:t>
      </w:r>
    </w:p>
    <w:p>
      <w:pPr>
        <w:pStyle w:val="Compact"/>
        <w:numPr>
          <w:ilvl w:val="0"/>
          <w:numId w:val="1038"/>
        </w:numPr>
      </w:pPr>
      <w:r>
        <w:t xml:space="preserve">Shared research infrastructure</w:t>
      </w:r>
    </w:p>
    <w:p>
      <w:pPr>
        <w:pStyle w:val="Compact"/>
        <w:numPr>
          <w:ilvl w:val="0"/>
          <w:numId w:val="1038"/>
        </w:numPr>
      </w:pPr>
      <w:r>
        <w:t xml:space="preserve">Research-support offices</w:t>
      </w:r>
    </w:p>
    <w:p>
      <w:pPr>
        <w:pStyle w:val="Compact"/>
        <w:numPr>
          <w:ilvl w:val="0"/>
          <w:numId w:val="1038"/>
        </w:numPr>
      </w:pPr>
      <w:r>
        <w:t xml:space="preserve">Data-access systems</w:t>
      </w:r>
    </w:p>
    <w:p>
      <w:pPr>
        <w:pStyle w:val="Compact"/>
        <w:numPr>
          <w:ilvl w:val="0"/>
          <w:numId w:val="1038"/>
        </w:numPr>
      </w:pPr>
      <w:r>
        <w:t xml:space="preserve">Research collaboration networks</w:t>
      </w:r>
    </w:p>
    <w:p>
      <w:pPr>
        <w:pStyle w:val="Compact"/>
        <w:numPr>
          <w:ilvl w:val="0"/>
          <w:numId w:val="1038"/>
        </w:numPr>
      </w:pPr>
      <w:r>
        <w:t xml:space="preserve">Research-integrity and reporting training</w:t>
      </w:r>
    </w:p>
    <w:p>
      <w:pPr>
        <w:pStyle w:val="Compact"/>
        <w:numPr>
          <w:ilvl w:val="0"/>
          <w:numId w:val="1038"/>
        </w:numPr>
      </w:pPr>
      <w:r>
        <w:t xml:space="preserve">Incentive and promotion reform</w:t>
      </w:r>
    </w:p>
    <w:p>
      <w:pPr>
        <w:pStyle w:val="Compact"/>
        <w:numPr>
          <w:ilvl w:val="0"/>
          <w:numId w:val="1038"/>
        </w:numPr>
      </w:pPr>
      <w:r>
        <w:t xml:space="preserve">Research-priority setting</w:t>
      </w:r>
    </w:p>
    <w:p>
      <w:pPr>
        <w:pStyle w:val="Compact"/>
        <w:numPr>
          <w:ilvl w:val="0"/>
          <w:numId w:val="1038"/>
        </w:numPr>
      </w:pPr>
      <w:r>
        <w:t xml:space="preserve">National research-capacity programmes</w:t>
      </w:r>
    </w:p>
    <w:p>
      <w:pPr>
        <w:pStyle w:val="Compact"/>
        <w:numPr>
          <w:ilvl w:val="0"/>
          <w:numId w:val="1038"/>
        </w:numPr>
      </w:pPr>
      <w:r>
        <w:t xml:space="preserve">Mechanisms for dissemination and uptake of research findings</w:t>
      </w:r>
    </w:p>
    <w:bookmarkEnd w:id="89"/>
    <w:bookmarkStart w:id="90" w:name="appendix-4.-study-level-audit-trail"/>
    <w:p>
      <w:pPr>
        <w:pStyle w:val="Heading2"/>
      </w:pPr>
      <w:r>
        <w:t xml:space="preserve">Appendix 4. Study-level audit trail</w:t>
      </w:r>
    </w:p>
    <w:p>
      <w:pPr>
        <w:pStyle w:val="FirstParagraph"/>
      </w:pPr>
      <w:r>
        <w:t xml:space="preserve">The research team will maintain a study-level audit trail containing:</w:t>
      </w:r>
    </w:p>
    <w:p>
      <w:pPr>
        <w:pStyle w:val="Compact"/>
        <w:numPr>
          <w:ilvl w:val="0"/>
          <w:numId w:val="1039"/>
        </w:numPr>
      </w:pPr>
      <w:r>
        <w:t xml:space="preserve">protocol version;</w:t>
      </w:r>
    </w:p>
    <w:p>
      <w:pPr>
        <w:pStyle w:val="Compact"/>
        <w:numPr>
          <w:ilvl w:val="0"/>
          <w:numId w:val="1039"/>
        </w:numPr>
      </w:pPr>
      <w:r>
        <w:t xml:space="preserve">item wording and revisions;</w:t>
      </w:r>
    </w:p>
    <w:p>
      <w:pPr>
        <w:pStyle w:val="Compact"/>
        <w:numPr>
          <w:ilvl w:val="0"/>
          <w:numId w:val="1039"/>
        </w:numPr>
      </w:pPr>
      <w:r>
        <w:t xml:space="preserve">reason for each material item change;</w:t>
      </w:r>
    </w:p>
    <w:p>
      <w:pPr>
        <w:pStyle w:val="Compact"/>
        <w:numPr>
          <w:ilvl w:val="0"/>
          <w:numId w:val="1039"/>
        </w:numPr>
      </w:pPr>
      <w:r>
        <w:t xml:space="preserve">participant recruitment numbers;</w:t>
      </w:r>
    </w:p>
    <w:p>
      <w:pPr>
        <w:pStyle w:val="Compact"/>
        <w:numPr>
          <w:ilvl w:val="0"/>
          <w:numId w:val="1039"/>
        </w:numPr>
      </w:pPr>
      <w:r>
        <w:t xml:space="preserve">stakeholder category;</w:t>
      </w:r>
    </w:p>
    <w:p>
      <w:pPr>
        <w:pStyle w:val="Compact"/>
        <w:numPr>
          <w:ilvl w:val="0"/>
          <w:numId w:val="1039"/>
        </w:numPr>
      </w:pPr>
      <w:r>
        <w:t xml:space="preserve">round-specific response rates;</w:t>
      </w:r>
    </w:p>
    <w:p>
      <w:pPr>
        <w:pStyle w:val="Compact"/>
        <w:numPr>
          <w:ilvl w:val="0"/>
          <w:numId w:val="1039"/>
        </w:numPr>
      </w:pPr>
      <w:r>
        <w:t xml:space="preserve">item-level response distributions;</w:t>
      </w:r>
    </w:p>
    <w:p>
      <w:pPr>
        <w:pStyle w:val="Compact"/>
        <w:numPr>
          <w:ilvl w:val="0"/>
          <w:numId w:val="1039"/>
        </w:numPr>
      </w:pPr>
      <w:r>
        <w:t xml:space="preserve">median and IQR;</w:t>
      </w:r>
    </w:p>
    <w:p>
      <w:pPr>
        <w:pStyle w:val="Compact"/>
        <w:numPr>
          <w:ilvl w:val="0"/>
          <w:numId w:val="1039"/>
        </w:numPr>
      </w:pPr>
      <w:r>
        <w:t xml:space="preserve">consensus classification;</w:t>
      </w:r>
    </w:p>
    <w:p>
      <w:pPr>
        <w:pStyle w:val="Compact"/>
        <w:numPr>
          <w:ilvl w:val="0"/>
          <w:numId w:val="1039"/>
        </w:numPr>
      </w:pPr>
      <w:r>
        <w:t xml:space="preserve">feedback provided to participants;</w:t>
      </w:r>
    </w:p>
    <w:p>
      <w:pPr>
        <w:pStyle w:val="Compact"/>
        <w:numPr>
          <w:ilvl w:val="0"/>
          <w:numId w:val="1039"/>
        </w:numPr>
      </w:pPr>
      <w:r>
        <w:t xml:space="preserve">Round-2 disposition;</w:t>
      </w:r>
    </w:p>
    <w:p>
      <w:pPr>
        <w:pStyle w:val="Compact"/>
        <w:numPr>
          <w:ilvl w:val="0"/>
          <w:numId w:val="1039"/>
        </w:numPr>
      </w:pPr>
      <w:r>
        <w:t xml:space="preserve">subgroup findings;</w:t>
      </w:r>
    </w:p>
    <w:p>
      <w:pPr>
        <w:pStyle w:val="Compact"/>
        <w:numPr>
          <w:ilvl w:val="0"/>
          <w:numId w:val="1039"/>
        </w:numPr>
      </w:pPr>
      <w:r>
        <w:t xml:space="preserve">and documented protocol deviations.</w:t>
      </w:r>
    </w:p>
    <w:bookmarkEnd w:id="90"/>
    <w:bookmarkStart w:id="110" w:name="X5df2d98521d76003d9dd08b21ad71991dde8883"/>
    <w:p>
      <w:pPr>
        <w:pStyle w:val="Heading2"/>
      </w:pPr>
      <w:r>
        <w:t xml:space="preserve">Appendix 5. Participant Information Sheet</w:t>
      </w:r>
    </w:p>
    <w:bookmarkStart w:id="91" w:name="study-title"/>
    <w:p>
      <w:pPr>
        <w:pStyle w:val="Heading3"/>
      </w:pPr>
      <w:r>
        <w:t xml:space="preserve">Study title</w:t>
      </w:r>
    </w:p>
    <w:p>
      <w:pPr>
        <w:pStyle w:val="FirstParagraph"/>
      </w:pPr>
      <w:r>
        <w:rPr>
          <w:b/>
          <w:bCs/>
        </w:rPr>
        <w:t xml:space="preserve">Barriers to Valid Medical Research Among Early-Career Researchers in Egypt: A Modified Delphi Study</w:t>
      </w:r>
    </w:p>
    <w:p>
      <w:pPr>
        <w:pStyle w:val="BodyText"/>
      </w:pPr>
      <w:r>
        <w:t xml:space="preserve">Principal Investigator</w:t>
      </w:r>
    </w:p>
    <w:p>
      <w:pPr>
        <w:pStyle w:val="BodyText"/>
      </w:pPr>
      <w:r>
        <w:t xml:space="preserve">Prof. Ashraf Nabhan</w:t>
      </w:r>
      <w:r>
        <w:br/>
      </w:r>
      <w:r>
        <w:t xml:space="preserve">Faculty of Medicine, MTI University</w:t>
      </w:r>
      <w:r>
        <w:br/>
      </w:r>
    </w:p>
    <w:p>
      <w:pPr>
        <w:pStyle w:val="BodyText"/>
      </w:pPr>
      <w:r>
        <w:t xml:space="preserve">Research team</w:t>
      </w:r>
    </w:p>
    <w:p>
      <w:pPr>
        <w:pStyle w:val="BodyText"/>
      </w:pPr>
      <w:r>
        <w:t xml:space="preserve">Research Coordinators: Sara Ibrahim Abdelkader and Omar Ahmed Salem</w:t>
      </w:r>
    </w:p>
    <w:bookmarkEnd w:id="91"/>
    <w:bookmarkStart w:id="92" w:name="invitation-to-take-part"/>
    <w:p>
      <w:pPr>
        <w:pStyle w:val="Heading3"/>
      </w:pPr>
      <w:r>
        <w:t xml:space="preserve">Invitation to take part</w:t>
      </w:r>
    </w:p>
    <w:p>
      <w:pPr>
        <w:pStyle w:val="FirstParagraph"/>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bookmarkEnd w:id="92"/>
    <w:bookmarkStart w:id="93" w:name="why-is-this-study-being-conducted"/>
    <w:p>
      <w:pPr>
        <w:pStyle w:val="Heading3"/>
      </w:pPr>
      <w:r>
        <w:t xml:space="preserve">Why is this study being conducted?</w:t>
      </w:r>
    </w:p>
    <w:p>
      <w:pPr>
        <w:pStyle w:val="FirstParagraph"/>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0"/>
        </w:numPr>
      </w:pPr>
      <w:r>
        <w:t xml:space="preserve">The barriers considered most important in limiting valid, relevant, and high-value medical research among early-career researchers in Egypt.</w:t>
      </w:r>
    </w:p>
    <w:p>
      <w:pPr>
        <w:pStyle w:val="Compact"/>
        <w:numPr>
          <w:ilvl w:val="0"/>
          <w:numId w:val="1040"/>
        </w:numPr>
      </w:pPr>
      <w:r>
        <w:t xml:space="preserve">Which barriers are considered modifiable.</w:t>
      </w:r>
    </w:p>
    <w:p>
      <w:pPr>
        <w:pStyle w:val="Compact"/>
        <w:numPr>
          <w:ilvl w:val="0"/>
          <w:numId w:val="1040"/>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bookmarkEnd w:id="93"/>
    <w:bookmarkStart w:id="94" w:name="why-have-i-been-invited"/>
    <w:p>
      <w:pPr>
        <w:pStyle w:val="Heading3"/>
      </w:pPr>
      <w:r>
        <w:t xml:space="preserve">Why have I been invited?</w:t>
      </w:r>
    </w:p>
    <w:p>
      <w:pPr>
        <w:pStyle w:val="FirstParagraph"/>
      </w:pPr>
      <w:r>
        <w:t xml:space="preserve">You have been invited because of your experience in one or more areas relevant to medical research in Egypt. Eligible participants may include:</w:t>
      </w:r>
    </w:p>
    <w:p>
      <w:pPr>
        <w:pStyle w:val="Compact"/>
        <w:numPr>
          <w:ilvl w:val="0"/>
          <w:numId w:val="1041"/>
        </w:numPr>
      </w:pPr>
      <w:r>
        <w:t xml:space="preserve">Medical students, house officers, residents, teaching assistants, assistant lecturers, or equivalent early-career medical researchers.</w:t>
      </w:r>
    </w:p>
    <w:p>
      <w:pPr>
        <w:pStyle w:val="Compact"/>
        <w:numPr>
          <w:ilvl w:val="0"/>
          <w:numId w:val="1041"/>
        </w:numPr>
      </w:pPr>
      <w:r>
        <w:t xml:space="preserve">Research supervisors.</w:t>
      </w:r>
    </w:p>
    <w:p>
      <w:pPr>
        <w:pStyle w:val="Compact"/>
        <w:numPr>
          <w:ilvl w:val="0"/>
          <w:numId w:val="1041"/>
        </w:numPr>
      </w:pPr>
      <w:r>
        <w:t xml:space="preserve">Biostatisticians, epidemiologists, research methodologists, evidence-synthesis specialists, qualitative researchers, or related experts.</w:t>
      </w:r>
    </w:p>
    <w:p>
      <w:pPr>
        <w:pStyle w:val="Compact"/>
        <w:numPr>
          <w:ilvl w:val="0"/>
          <w:numId w:val="1041"/>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bookmarkEnd w:id="94"/>
    <w:bookmarkStart w:id="97" w:name="what-will-happen-if-i-take-part"/>
    <w:p>
      <w:pPr>
        <w:pStyle w:val="Heading3"/>
      </w:pPr>
      <w:r>
        <w:t xml:space="preserve">What will happen if I take part?</w:t>
      </w:r>
    </w:p>
    <w:p>
      <w:pPr>
        <w:pStyle w:val="FirstParagraph"/>
      </w:pPr>
      <w:r>
        <w:t xml:space="preserve">This is a two-round online modified Delphi study.</w:t>
      </w:r>
    </w:p>
    <w:bookmarkStart w:id="95" w:name="round-1"/>
    <w:p>
      <w:pPr>
        <w:pStyle w:val="Heading4"/>
      </w:pPr>
      <w:r>
        <w:t xml:space="preserve">Round 1</w:t>
      </w:r>
    </w:p>
    <w:p>
      <w:pPr>
        <w:pStyle w:val="FirstParagraph"/>
      </w:pPr>
      <w:r>
        <w:t xml:space="preserve">If you agree to participate:</w:t>
      </w:r>
    </w:p>
    <w:p>
      <w:pPr>
        <w:pStyle w:val="Compact"/>
        <w:numPr>
          <w:ilvl w:val="0"/>
          <w:numId w:val="1042"/>
        </w:numPr>
      </w:pPr>
      <w:r>
        <w:t xml:space="preserve">You will complete an electronic consent form.</w:t>
      </w:r>
    </w:p>
    <w:p>
      <w:pPr>
        <w:pStyle w:val="Compact"/>
        <w:numPr>
          <w:ilvl w:val="0"/>
          <w:numId w:val="1042"/>
        </w:numPr>
      </w:pPr>
      <w:r>
        <w:t xml:space="preserve">You will be asked a small number of background questions, such as your stakeholder category, career stage, type of institution, and research-related experience.</w:t>
      </w:r>
    </w:p>
    <w:p>
      <w:pPr>
        <w:pStyle w:val="Compact"/>
        <w:numPr>
          <w:ilvl w:val="0"/>
          <w:numId w:val="1042"/>
        </w:numPr>
      </w:pPr>
      <w:r>
        <w:t xml:space="preserve">You will rate a series of candidate barriers on two 9-point scales:</w:t>
      </w:r>
    </w:p>
    <w:p>
      <w:pPr>
        <w:pStyle w:val="Compact"/>
        <w:numPr>
          <w:ilvl w:val="1"/>
          <w:numId w:val="1043"/>
        </w:numPr>
      </w:pPr>
      <w:r>
        <w:rPr>
          <w:b/>
          <w:bCs/>
        </w:rPr>
        <w:t xml:space="preserve">Importance:</w:t>
      </w:r>
      <w:r>
        <w:t xml:space="preserve"> </w:t>
      </w:r>
      <w:r>
        <w:t xml:space="preserve">from 1 = not important at all to 9 = extremely important.</w:t>
      </w:r>
    </w:p>
    <w:p>
      <w:pPr>
        <w:pStyle w:val="Compact"/>
        <w:numPr>
          <w:ilvl w:val="1"/>
          <w:numId w:val="1043"/>
        </w:numPr>
      </w:pPr>
      <w:r>
        <w:rPr>
          <w:b/>
          <w:bCs/>
        </w:rPr>
        <w:t xml:space="preserve">Modifiability:</w:t>
      </w:r>
      <w:r>
        <w:t xml:space="preserve"> </w:t>
      </w:r>
      <w:r>
        <w:t xml:space="preserve">from 1 = not modifiable to 9 = highly modifiable.</w:t>
      </w:r>
    </w:p>
    <w:p>
      <w:pPr>
        <w:pStyle w:val="Compact"/>
        <w:numPr>
          <w:ilvl w:val="0"/>
          <w:numId w:val="1042"/>
        </w:numPr>
      </w:pPr>
      <w:r>
        <w:t xml:space="preserve">You may select “cannot judge / insufficient experience” for any item you do not feel able to rate.</w:t>
      </w:r>
    </w:p>
    <w:p>
      <w:pPr>
        <w:pStyle w:val="Compact"/>
        <w:numPr>
          <w:ilvl w:val="0"/>
          <w:numId w:val="1042"/>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bookmarkEnd w:id="95"/>
    <w:bookmarkStart w:id="96" w:name="round-2"/>
    <w:p>
      <w:pPr>
        <w:pStyle w:val="Heading4"/>
      </w:pPr>
      <w:r>
        <w:t xml:space="preserve">Round 2</w:t>
      </w:r>
    </w:p>
    <w:p>
      <w:pPr>
        <w:pStyle w:val="FirstParagraph"/>
      </w:pPr>
      <w:r>
        <w:t xml:space="preserve">Participants who complete Round 1 may be invited to take part in Round 2.</w:t>
      </w:r>
    </w:p>
    <w:p>
      <w:pPr>
        <w:pStyle w:val="BodyText"/>
      </w:pPr>
      <w:r>
        <w:t xml:space="preserve">In Round 2:</w:t>
      </w:r>
    </w:p>
    <w:p>
      <w:pPr>
        <w:pStyle w:val="Compact"/>
        <w:numPr>
          <w:ilvl w:val="0"/>
          <w:numId w:val="1044"/>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44"/>
        </w:numPr>
      </w:pPr>
      <w:r>
        <w:t xml:space="preserve">You will be asked to reconsider and re-rate retained or revised barrier items.</w:t>
      </w:r>
    </w:p>
    <w:p>
      <w:pPr>
        <w:pStyle w:val="Compact"/>
        <w:numPr>
          <w:ilvl w:val="0"/>
          <w:numId w:val="1044"/>
        </w:numPr>
      </w:pPr>
      <w:r>
        <w:t xml:space="preserve">You will rate candidate interventions according to:</w:t>
      </w:r>
    </w:p>
    <w:p>
      <w:pPr>
        <w:pStyle w:val="Compact"/>
        <w:numPr>
          <w:ilvl w:val="1"/>
          <w:numId w:val="1045"/>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45"/>
        </w:numPr>
      </w:pPr>
      <w:r>
        <w:rPr>
          <w:b/>
          <w:bCs/>
        </w:rPr>
        <w:t xml:space="preserve">Feasibility:</w:t>
      </w:r>
      <w:r>
        <w:t xml:space="preserve"> </w:t>
      </w:r>
      <w:r>
        <w:t xml:space="preserve">from 1 = not feasible to 9 = highly feasible.</w:t>
      </w:r>
    </w:p>
    <w:p>
      <w:pPr>
        <w:pStyle w:val="Compact"/>
        <w:numPr>
          <w:ilvl w:val="0"/>
          <w:numId w:val="1044"/>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bookmarkEnd w:id="96"/>
    <w:bookmarkEnd w:id="97"/>
    <w:bookmarkStart w:id="98" w:name="what-should-i-consider-when-responding"/>
    <w:p>
      <w:pPr>
        <w:pStyle w:val="Heading3"/>
      </w:pPr>
      <w:r>
        <w:t xml:space="preserve">What should I consider when responding?</w:t>
      </w:r>
    </w:p>
    <w:p>
      <w:pPr>
        <w:pStyle w:val="FirstParagraph"/>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6"/>
        </w:numPr>
      </w:pPr>
      <w:r>
        <w:t xml:space="preserve">Names of colleagues, supervisors, students, institutions, departments, hospitals, or organizations.</w:t>
      </w:r>
    </w:p>
    <w:p>
      <w:pPr>
        <w:pStyle w:val="Compact"/>
        <w:numPr>
          <w:ilvl w:val="0"/>
          <w:numId w:val="1046"/>
        </w:numPr>
      </w:pPr>
      <w:r>
        <w:t xml:space="preserve">Confidential organizational information.</w:t>
      </w:r>
    </w:p>
    <w:p>
      <w:pPr>
        <w:pStyle w:val="Compact"/>
        <w:numPr>
          <w:ilvl w:val="0"/>
          <w:numId w:val="1046"/>
        </w:numPr>
      </w:pPr>
      <w:r>
        <w:t xml:space="preserve">Allegations about named individuals.</w:t>
      </w:r>
    </w:p>
    <w:p>
      <w:pPr>
        <w:pStyle w:val="Compact"/>
        <w:numPr>
          <w:ilvl w:val="0"/>
          <w:numId w:val="1046"/>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bookmarkEnd w:id="98"/>
    <w:bookmarkStart w:id="99" w:name="is-participation-voluntary"/>
    <w:p>
      <w:pPr>
        <w:pStyle w:val="Heading3"/>
      </w:pPr>
      <w:r>
        <w:t xml:space="preserve">Is participation voluntary?</w:t>
      </w:r>
    </w:p>
    <w:p>
      <w:pPr>
        <w:pStyle w:val="FirstParagraph"/>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bookmarkEnd w:id="99"/>
    <w:bookmarkStart w:id="101" w:name="can-i-withdraw"/>
    <w:p>
      <w:pPr>
        <w:pStyle w:val="Heading3"/>
      </w:pPr>
      <w:r>
        <w:t xml:space="preserve">Can I withdraw?</w:t>
      </w:r>
    </w:p>
    <w:p>
      <w:pPr>
        <w:pStyle w:val="FirstParagraph"/>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100">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bookmarkEnd w:id="101"/>
    <w:bookmarkStart w:id="102" w:name="what-are-the-possible-risks"/>
    <w:p>
      <w:pPr>
        <w:pStyle w:val="Heading3"/>
      </w:pPr>
      <w:r>
        <w:t xml:space="preserve">What are the possible risks?</w:t>
      </w:r>
    </w:p>
    <w:p>
      <w:pPr>
        <w:pStyle w:val="FirstParagraph"/>
      </w:pPr>
      <w:r>
        <w:t xml:space="preserve">This study is expected to involve no more than minimal risk.</w:t>
      </w:r>
    </w:p>
    <w:p>
      <w:pPr>
        <w:pStyle w:val="BodyText"/>
      </w:pPr>
      <w:r>
        <w:t xml:space="preserve">Possible risks include:</w:t>
      </w:r>
    </w:p>
    <w:p>
      <w:pPr>
        <w:pStyle w:val="Compact"/>
        <w:numPr>
          <w:ilvl w:val="0"/>
          <w:numId w:val="1047"/>
        </w:numPr>
      </w:pPr>
      <w:r>
        <w:t xml:space="preserve">Minimal discomfort when considering barriers related to supervision, institutional support, research governance, or research culture.</w:t>
      </w:r>
    </w:p>
    <w:p>
      <w:pPr>
        <w:pStyle w:val="Compact"/>
        <w:numPr>
          <w:ilvl w:val="0"/>
          <w:numId w:val="1047"/>
        </w:numPr>
      </w:pPr>
      <w:r>
        <w:t xml:space="preserve">Concern that professional or institutional views could be recognized.</w:t>
      </w:r>
    </w:p>
    <w:p>
      <w:pPr>
        <w:pStyle w:val="FirstParagraph"/>
      </w:pPr>
      <w:r>
        <w:t xml:space="preserve">To reduce these risks:</w:t>
      </w:r>
    </w:p>
    <w:p>
      <w:pPr>
        <w:pStyle w:val="Compact"/>
        <w:numPr>
          <w:ilvl w:val="0"/>
          <w:numId w:val="1048"/>
        </w:numPr>
      </w:pPr>
      <w:r>
        <w:t xml:space="preserve">Participation will occur through an electronic survey rather than a group discussion.</w:t>
      </w:r>
    </w:p>
    <w:p>
      <w:pPr>
        <w:pStyle w:val="Compact"/>
        <w:numPr>
          <w:ilvl w:val="0"/>
          <w:numId w:val="1048"/>
        </w:numPr>
      </w:pPr>
      <w:r>
        <w:t xml:space="preserve">Individual ratings will not be shown to other participants.</w:t>
      </w:r>
    </w:p>
    <w:p>
      <w:pPr>
        <w:pStyle w:val="Compact"/>
        <w:numPr>
          <w:ilvl w:val="0"/>
          <w:numId w:val="1048"/>
        </w:numPr>
      </w:pPr>
      <w:r>
        <w:t xml:space="preserve">Feedback between rounds will be presented only in aggregate form.</w:t>
      </w:r>
    </w:p>
    <w:p>
      <w:pPr>
        <w:pStyle w:val="Compact"/>
        <w:numPr>
          <w:ilvl w:val="0"/>
          <w:numId w:val="1048"/>
        </w:numPr>
      </w:pPr>
      <w:r>
        <w:t xml:space="preserve">Identifying contact information will be stored separately from survey responses.</w:t>
      </w:r>
    </w:p>
    <w:p>
      <w:pPr>
        <w:pStyle w:val="Compact"/>
        <w:numPr>
          <w:ilvl w:val="0"/>
          <w:numId w:val="1048"/>
        </w:numPr>
      </w:pPr>
      <w:r>
        <w:t xml:space="preserve">The analysis dataset will use a study identifier rather than your name or email address.</w:t>
      </w:r>
    </w:p>
    <w:p>
      <w:pPr>
        <w:pStyle w:val="Compact"/>
        <w:numPr>
          <w:ilvl w:val="0"/>
          <w:numId w:val="1048"/>
        </w:numPr>
      </w:pPr>
      <w:r>
        <w:t xml:space="preserve">Reports will present aggregated findings and will avoid reporting small cells or details that could identify an individual or institution.</w:t>
      </w:r>
    </w:p>
    <w:p>
      <w:pPr>
        <w:pStyle w:val="Compact"/>
        <w:numPr>
          <w:ilvl w:val="0"/>
          <w:numId w:val="1048"/>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bookmarkEnd w:id="102"/>
    <w:bookmarkStart w:id="103" w:name="are-there-benefits-to-taking-part"/>
    <w:p>
      <w:pPr>
        <w:pStyle w:val="Heading3"/>
      </w:pPr>
      <w:r>
        <w:t xml:space="preserve">Are there benefits to taking part?</w:t>
      </w:r>
    </w:p>
    <w:p>
      <w:pPr>
        <w:pStyle w:val="FirstParagraph"/>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bookmarkEnd w:id="103"/>
    <w:bookmarkStart w:id="104" w:name="will-i-be-paid-or-reimbursed"/>
    <w:p>
      <w:pPr>
        <w:pStyle w:val="Heading3"/>
      </w:pPr>
      <w:r>
        <w:t xml:space="preserve">Will I be paid or reimbursed?</w:t>
      </w:r>
    </w:p>
    <w:p>
      <w:pPr>
        <w:pStyle w:val="FirstParagraph"/>
      </w:pPr>
      <w:r>
        <w:t xml:space="preserve">You will not receive payment. Participants who complete both rounds may receive a certificate of participation, if requested. The certificate will not include your ratings or comments.</w:t>
      </w:r>
    </w:p>
    <w:bookmarkEnd w:id="104"/>
    <w:bookmarkStart w:id="105" w:name="Xf74caa49acb59ac73d1cdbb8c8aeb45e7e15fa1"/>
    <w:p>
      <w:pPr>
        <w:pStyle w:val="Heading3"/>
      </w:pPr>
      <w:r>
        <w:t xml:space="preserve">How will my information be kept confidential?</w:t>
      </w:r>
    </w:p>
    <w:p>
      <w:pPr>
        <w:pStyle w:val="FirstParagraph"/>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[name of secure survey platform] and exported to secure, password-protected, access-controlled institutional storage at [institution].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bookmarkEnd w:id="105"/>
    <w:bookmarkStart w:id="106" w:name="how-long-will-data-be-kept"/>
    <w:p>
      <w:pPr>
        <w:pStyle w:val="Heading3"/>
      </w:pPr>
      <w:r>
        <w:t xml:space="preserve">How long will data be kept?</w:t>
      </w:r>
    </w:p>
    <w:p>
      <w:pPr>
        <w:pStyle w:val="FirstParagraph"/>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bookmarkEnd w:id="106"/>
    <w:bookmarkStart w:id="107" w:name="will-my-information-be-shared"/>
    <w:p>
      <w:pPr>
        <w:pStyle w:val="Heading3"/>
      </w:pPr>
      <w:r>
        <w:t xml:space="preserve">Will my information be shared?</w:t>
      </w:r>
    </w:p>
    <w:p>
      <w:pPr>
        <w:pStyle w:val="FirstParagraph"/>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9"/>
        </w:numPr>
      </w:pPr>
      <w:r>
        <w:t xml:space="preserve">Aggregated study findings.</w:t>
      </w:r>
    </w:p>
    <w:p>
      <w:pPr>
        <w:pStyle w:val="Compact"/>
        <w:numPr>
          <w:ilvl w:val="0"/>
          <w:numId w:val="1049"/>
        </w:numPr>
      </w:pPr>
      <w:r>
        <w:t xml:space="preserve">The final questionnaire.</w:t>
      </w:r>
    </w:p>
    <w:p>
      <w:pPr>
        <w:pStyle w:val="Compact"/>
        <w:numPr>
          <w:ilvl w:val="0"/>
          <w:numId w:val="1049"/>
        </w:numPr>
      </w:pPr>
      <w:r>
        <w:t xml:space="preserve">Item-development documentation.</w:t>
      </w:r>
    </w:p>
    <w:p>
      <w:pPr>
        <w:pStyle w:val="Compact"/>
        <w:numPr>
          <w:ilvl w:val="0"/>
          <w:numId w:val="1049"/>
        </w:numPr>
      </w:pPr>
      <w:r>
        <w:t xml:space="preserve">De-identified numerical data.</w:t>
      </w:r>
    </w:p>
    <w:p>
      <w:pPr>
        <w:pStyle w:val="Compact"/>
        <w:numPr>
          <w:ilvl w:val="0"/>
          <w:numId w:val="1049"/>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0"/>
        </w:numPr>
      </w:pPr>
      <w:r>
        <w:t xml:space="preserve">Names, email addresses, and contact information.</w:t>
      </w:r>
    </w:p>
    <w:p>
      <w:pPr>
        <w:pStyle w:val="Compact"/>
        <w:numPr>
          <w:ilvl w:val="0"/>
          <w:numId w:val="1050"/>
        </w:numPr>
      </w:pPr>
      <w:r>
        <w:t xml:space="preserve">Consent records.</w:t>
      </w:r>
    </w:p>
    <w:p>
      <w:pPr>
        <w:pStyle w:val="Compact"/>
        <w:numPr>
          <w:ilvl w:val="0"/>
          <w:numId w:val="1050"/>
        </w:numPr>
      </w:pPr>
      <w:r>
        <w:t xml:space="preserve">The linkage file.</w:t>
      </w:r>
    </w:p>
    <w:p>
      <w:pPr>
        <w:pStyle w:val="Compact"/>
        <w:numPr>
          <w:ilvl w:val="0"/>
          <w:numId w:val="1050"/>
        </w:numPr>
      </w:pPr>
      <w:r>
        <w:t xml:space="preserve">Raw identifiable comments.</w:t>
      </w:r>
    </w:p>
    <w:p>
      <w:pPr>
        <w:pStyle w:val="Compact"/>
        <w:numPr>
          <w:ilvl w:val="0"/>
          <w:numId w:val="1050"/>
        </w:numPr>
      </w:pPr>
      <w:r>
        <w:t xml:space="preserve">Information that could reasonably identify an individual, institution, department, or organization.</w:t>
      </w:r>
    </w:p>
    <w:bookmarkEnd w:id="107"/>
    <w:bookmarkStart w:id="108" w:name="who-has-reviewed-this-study"/>
    <w:p>
      <w:pPr>
        <w:pStyle w:val="Heading3"/>
      </w:pPr>
      <w:r>
        <w:t xml:space="preserve">Who has reviewed this study?</w:t>
      </w:r>
    </w:p>
    <w:p>
      <w:pPr>
        <w:pStyle w:val="FirstParagraph"/>
      </w:pPr>
      <w:r>
        <w:t xml:space="preserve">This study has been reviewed by</w:t>
      </w:r>
      <w:r>
        <w:t xml:space="preserve"> </w:t>
      </w:r>
      <w:r>
        <w:rPr>
          <w:b/>
          <w:bCs/>
        </w:rPr>
        <w:t xml:space="preserve">Institutional Review Board, Faculty of Medicine, MTI University</w:t>
      </w:r>
      <w:r>
        <w:br/>
      </w:r>
    </w:p>
    <w:bookmarkEnd w:id="108"/>
    <w:bookmarkStart w:id="109" w:name="who-can-i-contact"/>
    <w:p>
      <w:pPr>
        <w:pStyle w:val="Heading3"/>
      </w:pPr>
      <w:r>
        <w:t xml:space="preserve">Who can I contact?</w:t>
      </w:r>
    </w:p>
    <w:p>
      <w:pPr>
        <w:pStyle w:val="FirstParagraph"/>
      </w:pPr>
      <w:r>
        <w:t xml:space="preserve">For questions about the study, participation, withdrawal, or data handling, please contact the study team at</w:t>
      </w:r>
      <w:r>
        <w:t xml:space="preserve"> </w:t>
      </w:r>
      <w:hyperlink r:id="rId100">
        <w:r>
          <w:rPr>
            <w:rStyle w:val="Hyperlink"/>
          </w:rPr>
          <w:t xml:space="preserve">ecr@med.asu.edu.eg</w:t>
        </w:r>
      </w:hyperlink>
    </w:p>
    <w:p>
      <w:pPr>
        <w:pStyle w:val="BodyText"/>
      </w:pPr>
      <w:r>
        <w:rPr>
          <w:b/>
          <w:bCs/>
        </w:rPr>
        <w:t xml:space="preserve">Prof. Ashraf Nabhan, Principal Investigator</w:t>
      </w:r>
      <w:r>
        <w:br/>
      </w:r>
    </w:p>
    <w:p>
      <w:pPr>
        <w:pStyle w:val="BodyText"/>
      </w:pPr>
      <w:r>
        <w:rPr>
          <w:b/>
          <w:bCs/>
        </w:rPr>
        <w:t xml:space="preserve">Research Coordinator</w:t>
      </w:r>
      <w:r>
        <w:br/>
      </w:r>
      <w:r>
        <w:t xml:space="preserve">Name: Sara Ibrahim</w:t>
      </w:r>
      <w:r>
        <w:br/>
      </w:r>
      <w:r>
        <w:t xml:space="preserve">Name: Omar Ahmed Salem</w:t>
      </w:r>
      <w:r>
        <w:br/>
      </w:r>
    </w:p>
    <w:p>
      <w:pPr>
        <w:pStyle w:val="BodyText"/>
      </w:pPr>
      <w:r>
        <w:t xml:space="preserve">For questions about your rights as a research participant, or to make a complaint that you prefer not to discuss with the research team:</w:t>
      </w:r>
    </w:p>
    <w:p>
      <w:pPr>
        <w:pStyle w:val="BodyText"/>
      </w:pPr>
      <w:r>
        <w:rPr>
          <w:b/>
          <w:bCs/>
        </w:rPr>
        <w:t xml:space="preserve">MTI University Institutional Review Board</w:t>
      </w:r>
      <w:r>
        <w:br/>
      </w:r>
      <w:r>
        <w:t xml:space="preserve">Email: irb@mti.edu.eg</w:t>
      </w:r>
      <w:r>
        <w:br/>
      </w:r>
    </w:p>
    <w:bookmarkEnd w:id="109"/>
    <w:bookmarkEnd w:id="110"/>
    <w:bookmarkStart w:id="140" w:name="appendix-6.-electronic-consent-form"/>
    <w:p>
      <w:pPr>
        <w:pStyle w:val="Heading2"/>
      </w:pPr>
      <w:r>
        <w:t xml:space="preserve">Appendix 6. Electronic Consent Form</w:t>
      </w:r>
    </w:p>
    <w:bookmarkStart w:id="111" w:name="study-title-1"/>
    <w:p>
      <w:pPr>
        <w:pStyle w:val="Heading3"/>
      </w:pPr>
      <w:r>
        <w:t xml:space="preserve">Study title</w:t>
      </w:r>
    </w:p>
    <w:p>
      <w:pPr>
        <w:pStyle w:val="FirstParagraph"/>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bookmarkEnd w:id="111"/>
    <w:bookmarkStart w:id="112" w:name="eligibility-confirmation"/>
    <w:p>
      <w:pPr>
        <w:pStyle w:val="Heading3"/>
      </w:pPr>
      <w:r>
        <w:t xml:space="preserve">Eligibility confirmation</w:t>
      </w:r>
    </w:p>
    <w:p>
      <w:pPr>
        <w:pStyle w:val="Compact"/>
        <w:numPr>
          <w:ilvl w:val="0"/>
          <w:numId w:val="1051"/>
        </w:numPr>
      </w:pPr>
      <w:r>
        <w:t xml:space="preserve">I confirm that I am aged 18 years or older.</w:t>
      </w:r>
      <w:r>
        <w:br/>
      </w:r>
    </w:p>
    <w:p>
      <w:pPr>
        <w:pStyle w:val="Compact"/>
        <w:numPr>
          <w:ilvl w:val="0"/>
          <w:numId w:val="1052"/>
        </w:numPr>
      </w:pPr>
      <w:r>
        <w:t xml:space="preserve">Yes</w:t>
      </w:r>
      <w:r>
        <w:br/>
      </w:r>
    </w:p>
    <w:p>
      <w:pPr>
        <w:pStyle w:val="Compact"/>
        <w:numPr>
          <w:ilvl w:val="0"/>
          <w:numId w:val="1052"/>
        </w:numPr>
      </w:pPr>
      <w:r>
        <w:t xml:space="preserve">No</w:t>
      </w:r>
    </w:p>
    <w:p>
      <w:pPr>
        <w:pStyle w:val="Compact"/>
        <w:numPr>
          <w:ilvl w:val="0"/>
          <w:numId w:val="1053"/>
        </w:numPr>
      </w:pPr>
      <w:r>
        <w:t xml:space="preserve">I confirm that I have sufficient familiarity with the Egyptian medical research environment to provide informed judgments.</w:t>
      </w:r>
      <w:r>
        <w:br/>
      </w:r>
    </w:p>
    <w:p>
      <w:pPr>
        <w:pStyle w:val="Compact"/>
        <w:numPr>
          <w:ilvl w:val="0"/>
          <w:numId w:val="1054"/>
        </w:numPr>
      </w:pPr>
      <w:r>
        <w:t xml:space="preserve">Yes</w:t>
      </w:r>
      <w:r>
        <w:br/>
      </w:r>
    </w:p>
    <w:p>
      <w:pPr>
        <w:pStyle w:val="Compact"/>
        <w:numPr>
          <w:ilvl w:val="0"/>
          <w:numId w:val="1054"/>
        </w:numPr>
      </w:pPr>
      <w:r>
        <w:t xml:space="preserve">No</w:t>
      </w:r>
    </w:p>
    <w:p>
      <w:pPr>
        <w:pStyle w:val="Compact"/>
        <w:numPr>
          <w:ilvl w:val="0"/>
          <w:numId w:val="1055"/>
        </w:numPr>
      </w:pPr>
      <w:r>
        <w:t xml:space="preserve">I confirm that I meet at least one study eligibility criterion described in the Participant Information Sheet.</w:t>
      </w:r>
      <w:r>
        <w:br/>
      </w:r>
    </w:p>
    <w:p>
      <w:pPr>
        <w:pStyle w:val="Compact"/>
        <w:numPr>
          <w:ilvl w:val="0"/>
          <w:numId w:val="1056"/>
        </w:numPr>
      </w:pPr>
      <w:r>
        <w:t xml:space="preserve">Yes</w:t>
      </w:r>
      <w:r>
        <w:br/>
      </w:r>
    </w:p>
    <w:p>
      <w:pPr>
        <w:pStyle w:val="Compact"/>
        <w:numPr>
          <w:ilvl w:val="0"/>
          <w:numId w:val="1056"/>
        </w:numPr>
      </w:pPr>
      <w:r>
        <w:t xml:space="preserve">No</w:t>
      </w:r>
    </w:p>
    <w:p>
      <w:pPr>
        <w:pStyle w:val="Compact"/>
        <w:numPr>
          <w:ilvl w:val="0"/>
          <w:numId w:val="1057"/>
        </w:numPr>
      </w:pPr>
      <w:r>
        <w:t xml:space="preserve">I confirm that I can complete the questionnaire in the language provided.</w:t>
      </w:r>
      <w:r>
        <w:br/>
      </w:r>
    </w:p>
    <w:p>
      <w:pPr>
        <w:pStyle w:val="Compact"/>
        <w:numPr>
          <w:ilvl w:val="0"/>
          <w:numId w:val="1058"/>
        </w:numPr>
      </w:pPr>
      <w:r>
        <w:t xml:space="preserve">Yes</w:t>
      </w:r>
      <w:r>
        <w:br/>
      </w:r>
    </w:p>
    <w:p>
      <w:pPr>
        <w:pStyle w:val="Compact"/>
        <w:numPr>
          <w:ilvl w:val="0"/>
          <w:numId w:val="1058"/>
        </w:numPr>
      </w:pPr>
      <w:r>
        <w:t xml:space="preserve">No</w:t>
      </w:r>
    </w:p>
    <w:p>
      <w:pPr>
        <w:pStyle w:val="FirstParagraph"/>
      </w:pPr>
      <w:r>
        <w:t xml:space="preserve">If “No” is selected for any required eligibility item, the survey should end with a polite ineligibility message.</w:t>
      </w:r>
    </w:p>
    <w:bookmarkEnd w:id="112"/>
    <w:bookmarkStart w:id="113" w:name="consent-statements"/>
    <w:p>
      <w:pPr>
        <w:pStyle w:val="Heading3"/>
      </w:pPr>
      <w:r>
        <w:t xml:space="preserve">Consent statements</w:t>
      </w:r>
    </w:p>
    <w:p>
      <w:pPr>
        <w:pStyle w:val="Compact"/>
        <w:numPr>
          <w:ilvl w:val="0"/>
          <w:numId w:val="1059"/>
        </w:numPr>
      </w:pPr>
      <w:r>
        <w:t xml:space="preserve">I have read the Participant Information Sheet and have had the opportunity to ask questions about the study.</w:t>
      </w:r>
      <w:r>
        <w:br/>
      </w:r>
    </w:p>
    <w:p>
      <w:pPr>
        <w:pStyle w:val="Compact"/>
        <w:numPr>
          <w:ilvl w:val="0"/>
          <w:numId w:val="1060"/>
        </w:numPr>
      </w:pPr>
      <w:r>
        <w:t xml:space="preserve">Yes</w:t>
      </w:r>
      <w:r>
        <w:br/>
      </w:r>
    </w:p>
    <w:p>
      <w:pPr>
        <w:pStyle w:val="Compact"/>
        <w:numPr>
          <w:ilvl w:val="0"/>
          <w:numId w:val="1060"/>
        </w:numPr>
      </w:pPr>
      <w:r>
        <w:t xml:space="preserve">No</w:t>
      </w:r>
    </w:p>
    <w:p>
      <w:pPr>
        <w:pStyle w:val="Compact"/>
        <w:numPr>
          <w:ilvl w:val="0"/>
          <w:numId w:val="1061"/>
        </w:numPr>
      </w:pPr>
      <w:r>
        <w:t xml:space="preserve">I understand that participation is voluntary and that I may decline to participate or stop the questionnaire at any time before submission without penalty or negative consequences.</w:t>
      </w:r>
      <w:r>
        <w:br/>
      </w:r>
    </w:p>
    <w:p>
      <w:pPr>
        <w:pStyle w:val="Compact"/>
        <w:numPr>
          <w:ilvl w:val="0"/>
          <w:numId w:val="1062"/>
        </w:numPr>
      </w:pPr>
      <w:r>
        <w:t xml:space="preserve">Yes</w:t>
      </w:r>
      <w:r>
        <w:br/>
      </w:r>
    </w:p>
    <w:p>
      <w:pPr>
        <w:pStyle w:val="Compact"/>
        <w:numPr>
          <w:ilvl w:val="0"/>
          <w:numId w:val="1062"/>
        </w:numPr>
      </w:pPr>
      <w:r>
        <w:t xml:space="preserve">No</w:t>
      </w:r>
    </w:p>
    <w:p>
      <w:pPr>
        <w:pStyle w:val="Compact"/>
        <w:numPr>
          <w:ilvl w:val="0"/>
          <w:numId w:val="1063"/>
        </w:numPr>
      </w:pPr>
      <w:r>
        <w:t xml:space="preserve">I understand that I may request withdrawal of my submitted data while it remains identifiable and before it has been de-identified, locked, or incorporated into aggregate analyses.</w:t>
      </w:r>
      <w:r>
        <w:br/>
      </w:r>
    </w:p>
    <w:p>
      <w:pPr>
        <w:pStyle w:val="Compact"/>
        <w:numPr>
          <w:ilvl w:val="0"/>
          <w:numId w:val="1064"/>
        </w:numPr>
      </w:pPr>
      <w:r>
        <w:t xml:space="preserve">Yes</w:t>
      </w:r>
      <w:r>
        <w:br/>
      </w:r>
    </w:p>
    <w:p>
      <w:pPr>
        <w:pStyle w:val="Compact"/>
        <w:numPr>
          <w:ilvl w:val="0"/>
          <w:numId w:val="1064"/>
        </w:numPr>
      </w:pPr>
      <w:r>
        <w:t xml:space="preserve">No</w:t>
      </w:r>
    </w:p>
    <w:p>
      <w:pPr>
        <w:pStyle w:val="Compact"/>
        <w:numPr>
          <w:ilvl w:val="0"/>
          <w:numId w:val="1065"/>
        </w:numPr>
      </w:pPr>
      <w:r>
        <w:t xml:space="preserve">I understand that the study involves a Round-1 questionnaire and, if I complete Round 1, a possible invitation to Round 2.</w:t>
      </w:r>
      <w:r>
        <w:br/>
      </w:r>
    </w:p>
    <w:p>
      <w:pPr>
        <w:pStyle w:val="Compact"/>
        <w:numPr>
          <w:ilvl w:val="0"/>
          <w:numId w:val="1066"/>
        </w:numPr>
      </w:pPr>
      <w:r>
        <w:t xml:space="preserve">Yes</w:t>
      </w:r>
      <w:r>
        <w:br/>
      </w:r>
    </w:p>
    <w:p>
      <w:pPr>
        <w:pStyle w:val="Compact"/>
        <w:numPr>
          <w:ilvl w:val="0"/>
          <w:numId w:val="1066"/>
        </w:numPr>
      </w:pPr>
      <w:r>
        <w:t xml:space="preserve">No</w:t>
      </w:r>
    </w:p>
    <w:p>
      <w:pPr>
        <w:pStyle w:val="Compact"/>
        <w:numPr>
          <w:ilvl w:val="0"/>
          <w:numId w:val="1067"/>
        </w:numPr>
      </w:pPr>
      <w:r>
        <w:t xml:space="preserve">I understand that Round 2 will include anonymized group-level feedback and that I may be asked to re-rate barriers and rate possible interventions.</w:t>
      </w:r>
      <w:r>
        <w:br/>
      </w:r>
    </w:p>
    <w:p>
      <w:pPr>
        <w:pStyle w:val="Compact"/>
        <w:numPr>
          <w:ilvl w:val="0"/>
          <w:numId w:val="1068"/>
        </w:numPr>
      </w:pPr>
      <w:r>
        <w:t xml:space="preserve">Yes</w:t>
      </w:r>
      <w:r>
        <w:br/>
      </w:r>
    </w:p>
    <w:p>
      <w:pPr>
        <w:pStyle w:val="Compact"/>
        <w:numPr>
          <w:ilvl w:val="0"/>
          <w:numId w:val="1068"/>
        </w:numPr>
      </w:pPr>
      <w:r>
        <w:t xml:space="preserve">No</w:t>
      </w:r>
    </w:p>
    <w:p>
      <w:pPr>
        <w:pStyle w:val="Compact"/>
        <w:numPr>
          <w:ilvl w:val="0"/>
          <w:numId w:val="1069"/>
        </w:numPr>
      </w:pPr>
      <w:r>
        <w:t xml:space="preserve">I consent to participate in Round 1 of this study.</w:t>
      </w:r>
      <w:r>
        <w:br/>
      </w:r>
    </w:p>
    <w:p>
      <w:pPr>
        <w:pStyle w:val="Compact"/>
        <w:numPr>
          <w:ilvl w:val="0"/>
          <w:numId w:val="1070"/>
        </w:numPr>
      </w:pPr>
      <w:r>
        <w:t xml:space="preserve">Yes</w:t>
      </w:r>
      <w:r>
        <w:br/>
      </w:r>
    </w:p>
    <w:p>
      <w:pPr>
        <w:pStyle w:val="Compact"/>
        <w:numPr>
          <w:ilvl w:val="0"/>
          <w:numId w:val="1070"/>
        </w:numPr>
      </w:pPr>
      <w:r>
        <w:t xml:space="preserve">No</w:t>
      </w:r>
    </w:p>
    <w:bookmarkEnd w:id="113"/>
    <w:bookmarkStart w:id="114" w:name="consent-for-contact-and-linkage"/>
    <w:p>
      <w:pPr>
        <w:pStyle w:val="Heading3"/>
      </w:pPr>
      <w:r>
        <w:t xml:space="preserve">Consent for contact and linkage</w:t>
      </w:r>
    </w:p>
    <w:p>
      <w:pPr>
        <w:pStyle w:val="Compact"/>
        <w:numPr>
          <w:ilvl w:val="0"/>
          <w:numId w:val="1071"/>
        </w:numPr>
      </w:pPr>
      <w:r>
        <w:t xml:space="preserve">I consent to the research team retaining my name and email address separately from my survey responses for the purpose of sending reminders, inviting me to Round 2, responding to a withdrawal request, and maintaining study records.</w:t>
      </w:r>
      <w:r>
        <w:br/>
      </w:r>
    </w:p>
    <w:p>
      <w:pPr>
        <w:pStyle w:val="Compact"/>
        <w:numPr>
          <w:ilvl w:val="0"/>
          <w:numId w:val="1072"/>
        </w:numPr>
      </w:pPr>
      <w:r>
        <w:t xml:space="preserve">Yes</w:t>
      </w:r>
      <w:r>
        <w:br/>
      </w:r>
    </w:p>
    <w:p>
      <w:pPr>
        <w:pStyle w:val="Compact"/>
        <w:numPr>
          <w:ilvl w:val="0"/>
          <w:numId w:val="1072"/>
        </w:numPr>
      </w:pPr>
      <w:r>
        <w:t xml:space="preserve">No</w:t>
      </w:r>
    </w:p>
    <w:p>
      <w:pPr>
        <w:pStyle w:val="Compact"/>
        <w:numPr>
          <w:ilvl w:val="0"/>
          <w:numId w:val="1073"/>
        </w:numPr>
      </w:pPr>
      <w:r>
        <w:t xml:space="preserve">I consent to the use of a unique study identifier to link my Round-1 and Round-2 responses.</w:t>
      </w:r>
      <w:r>
        <w:br/>
      </w:r>
    </w:p>
    <w:p>
      <w:pPr>
        <w:pStyle w:val="Compact"/>
        <w:numPr>
          <w:ilvl w:val="0"/>
          <w:numId w:val="1074"/>
        </w:numPr>
      </w:pPr>
      <w:r>
        <w:t xml:space="preserve">Yes</w:t>
      </w:r>
      <w:r>
        <w:br/>
      </w:r>
    </w:p>
    <w:p>
      <w:pPr>
        <w:pStyle w:val="Compact"/>
        <w:numPr>
          <w:ilvl w:val="0"/>
          <w:numId w:val="1074"/>
        </w:numPr>
      </w:pPr>
      <w:r>
        <w:t xml:space="preserve">No</w:t>
      </w:r>
    </w:p>
    <w:p>
      <w:pPr>
        <w:pStyle w:val="Compact"/>
        <w:numPr>
          <w:ilvl w:val="0"/>
          <w:numId w:val="1075"/>
        </w:numPr>
      </w:pPr>
      <w:r>
        <w:t xml:space="preserve">I understand that my individual ratings and comments will not be shared with other participants, supervisors, institutional leaders, or steering-group members in identifiable form.</w:t>
      </w:r>
      <w:r>
        <w:br/>
      </w:r>
    </w:p>
    <w:p>
      <w:pPr>
        <w:pStyle w:val="Compact"/>
        <w:numPr>
          <w:ilvl w:val="0"/>
          <w:numId w:val="1076"/>
        </w:numPr>
      </w:pPr>
      <w:r>
        <w:t xml:space="preserve">Yes</w:t>
      </w:r>
      <w:r>
        <w:br/>
      </w:r>
    </w:p>
    <w:p>
      <w:pPr>
        <w:pStyle w:val="Compact"/>
        <w:numPr>
          <w:ilvl w:val="0"/>
          <w:numId w:val="1076"/>
        </w:numPr>
      </w:pPr>
      <w:r>
        <w:t xml:space="preserve">No</w:t>
      </w:r>
    </w:p>
    <w:p>
      <w:pPr>
        <w:pStyle w:val="Compact"/>
        <w:numPr>
          <w:ilvl w:val="0"/>
          <w:numId w:val="1077"/>
        </w:numPr>
      </w:pPr>
      <w:r>
        <w:t xml:space="preserve">I understand that the research team will report findings in aggregate form and will take reasonable steps to reduce the risk that I, my institution, or another person can be identified.</w:t>
      </w:r>
      <w:r>
        <w:br/>
      </w:r>
    </w:p>
    <w:p>
      <w:pPr>
        <w:pStyle w:val="Compact"/>
        <w:numPr>
          <w:ilvl w:val="0"/>
          <w:numId w:val="1078"/>
        </w:numPr>
      </w:pPr>
      <w:r>
        <w:t xml:space="preserve">Yes</w:t>
      </w:r>
      <w:r>
        <w:br/>
      </w:r>
    </w:p>
    <w:p>
      <w:pPr>
        <w:pStyle w:val="Compact"/>
        <w:numPr>
          <w:ilvl w:val="0"/>
          <w:numId w:val="1078"/>
        </w:numPr>
      </w:pPr>
      <w:r>
        <w:t xml:space="preserve">No</w:t>
      </w:r>
    </w:p>
    <w:bookmarkEnd w:id="114"/>
    <w:bookmarkStart w:id="115" w:name="consent-for-quotations"/>
    <w:p>
      <w:pPr>
        <w:pStyle w:val="Heading3"/>
      </w:pPr>
      <w:r>
        <w:t xml:space="preserve">Consent for quotations</w:t>
      </w:r>
    </w:p>
    <w:p>
      <w:pPr>
        <w:pStyle w:val="Compact"/>
        <w:numPr>
          <w:ilvl w:val="0"/>
          <w:numId w:val="1079"/>
        </w:numPr>
      </w:pPr>
      <w:r>
        <w:t xml:space="preserve">I understand that I may provide optional free-text comments. I agree that de-identified and redacted excerpts from my comments may be used in study reports, publications, presentations, policy briefs, or group feedback materials.</w:t>
      </w:r>
      <w:r>
        <w:br/>
      </w:r>
    </w:p>
    <w:p>
      <w:pPr>
        <w:pStyle w:val="Compact"/>
        <w:numPr>
          <w:ilvl w:val="0"/>
          <w:numId w:val="1080"/>
        </w:numPr>
      </w:pPr>
      <w:r>
        <w:t xml:space="preserve">Yes</w:t>
      </w:r>
      <w:r>
        <w:br/>
      </w:r>
    </w:p>
    <w:p>
      <w:pPr>
        <w:pStyle w:val="Compact"/>
        <w:numPr>
          <w:ilvl w:val="0"/>
          <w:numId w:val="1080"/>
        </w:numPr>
      </w:pPr>
      <w:r>
        <w:t xml:space="preserve">No</w:t>
      </w:r>
      <w:r>
        <w:br/>
      </w:r>
    </w:p>
    <w:p>
      <w:pPr>
        <w:pStyle w:val="Compact"/>
        <w:numPr>
          <w:ilvl w:val="0"/>
          <w:numId w:val="1080"/>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bookmarkEnd w:id="115"/>
    <w:bookmarkStart w:id="116" w:name="consent-for-future-use-and-data-sharing"/>
    <w:p>
      <w:pPr>
        <w:pStyle w:val="Heading3"/>
      </w:pPr>
      <w:r>
        <w:t xml:space="preserve">Consent for future use and data sharing</w:t>
      </w:r>
    </w:p>
    <w:p>
      <w:pPr>
        <w:pStyle w:val="Compact"/>
        <w:numPr>
          <w:ilvl w:val="0"/>
          <w:numId w:val="1081"/>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r>
        <w:br/>
      </w:r>
    </w:p>
    <w:p>
      <w:pPr>
        <w:pStyle w:val="Compact"/>
        <w:numPr>
          <w:ilvl w:val="0"/>
          <w:numId w:val="1082"/>
        </w:numPr>
      </w:pPr>
      <w:r>
        <w:t xml:space="preserve">Yes</w:t>
      </w:r>
      <w:r>
        <w:br/>
      </w:r>
    </w:p>
    <w:p>
      <w:pPr>
        <w:pStyle w:val="Compact"/>
        <w:numPr>
          <w:ilvl w:val="0"/>
          <w:numId w:val="1082"/>
        </w:numPr>
      </w:pPr>
      <w:r>
        <w:t xml:space="preserve">No</w:t>
      </w:r>
    </w:p>
    <w:p>
      <w:pPr>
        <w:pStyle w:val="Compact"/>
        <w:numPr>
          <w:ilvl w:val="0"/>
          <w:numId w:val="1083"/>
        </w:numPr>
      </w:pPr>
      <w:r>
        <w:t xml:space="preserve">I agree that de-identified numerical data, the questionnaire, and analytic code may be shared in a research repository, provided that information that could identify me, my institution, or another person is removed.</w:t>
      </w:r>
      <w:r>
        <w:br/>
      </w:r>
    </w:p>
    <w:p>
      <w:pPr>
        <w:pStyle w:val="Compact"/>
        <w:numPr>
          <w:ilvl w:val="0"/>
          <w:numId w:val="1084"/>
        </w:numPr>
      </w:pPr>
      <w:r>
        <w:t xml:space="preserve">Yes</w:t>
      </w:r>
      <w:r>
        <w:br/>
      </w:r>
    </w:p>
    <w:p>
      <w:pPr>
        <w:pStyle w:val="Compact"/>
        <w:numPr>
          <w:ilvl w:val="0"/>
          <w:numId w:val="1084"/>
        </w:numPr>
      </w:pPr>
      <w:r>
        <w:t xml:space="preserve">No</w:t>
      </w:r>
    </w:p>
    <w:p>
      <w:pPr>
        <w:pStyle w:val="FirstParagraph"/>
      </w:pPr>
      <w:r>
        <w:t xml:space="preserve">These optional decisions must not affect eligibility to participate in the main study.</w:t>
      </w:r>
    </w:p>
    <w:bookmarkEnd w:id="116"/>
    <w:bookmarkStart w:id="117" w:name="confirmation"/>
    <w:p>
      <w:pPr>
        <w:pStyle w:val="Heading3"/>
      </w:pPr>
      <w:r>
        <w:t xml:space="preserve">Confirmation</w:t>
      </w:r>
    </w:p>
    <w:p>
      <w:pPr>
        <w:pStyle w:val="Compact"/>
        <w:numPr>
          <w:ilvl w:val="0"/>
          <w:numId w:val="1085"/>
        </w:numPr>
      </w:pPr>
      <w:r>
        <w:t xml:space="preserve">By selecting “I agree” below, I confirm that I voluntarily consent to participate in this study.</w:t>
      </w:r>
    </w:p>
    <w:p>
      <w:pPr>
        <w:pStyle w:val="Compact"/>
        <w:numPr>
          <w:ilvl w:val="0"/>
          <w:numId w:val="1086"/>
        </w:numPr>
      </w:pPr>
      <w:r>
        <w:t xml:space="preserve">I agree and wish to continue to the Round-1 questionnaire.</w:t>
      </w:r>
    </w:p>
    <w:p>
      <w:pPr>
        <w:pStyle w:val="Compact"/>
        <w:numPr>
          <w:ilvl w:val="0"/>
          <w:numId w:val="1086"/>
        </w:numPr>
      </w:pPr>
      <w:r>
        <w:t xml:space="preserve">I do not agree and do not wish to participate.</w:t>
      </w:r>
    </w:p>
    <w:bookmarkEnd w:id="117"/>
    <w:bookmarkStart w:id="139" w:name="electronic-record"/>
    <w:p>
      <w:pPr>
        <w:pStyle w:val="Heading3"/>
      </w:pPr>
      <w:r>
        <w:t xml:space="preserve">Electronic record</w:t>
      </w:r>
    </w:p>
    <w:p>
      <w:pPr>
        <w:pStyle w:val="FirstParagraph"/>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100">
        <w:r>
          <w:rPr>
            <w:rStyle w:val="Hyperlink"/>
          </w:rPr>
          <w:t xml:space="preserve">ecr@med.asu.edu.eg</w:t>
        </w:r>
      </w:hyperlink>
      <w:r>
        <w:t xml:space="preserve">.</w:t>
      </w:r>
    </w:p>
    <w:bookmarkStart w:id="138" w:name="refs"/>
    <w:bookmarkStart w:id="119" w:name="ref-chalmers2009"/>
    <w:p>
      <w:pPr>
        <w:pStyle w:val="Bibliography"/>
      </w:pPr>
      <w:r>
        <w:t xml:space="preserve">1. Chalmers I, Glasziou P.</w:t>
      </w:r>
      <w:r>
        <w:t xml:space="preserve"> </w:t>
      </w:r>
      <w:hyperlink r:id="rId118">
        <w:r>
          <w:rPr>
            <w:rStyle w:val="Hyperlink"/>
          </w:rPr>
          <w:t xml:space="preserve">Avoidable waste in the production and reporting of research evidence</w:t>
        </w:r>
      </w:hyperlink>
      <w:r>
        <w:t xml:space="preserve">. The Lancet. 2009;374:86–9.</w:t>
      </w:r>
    </w:p>
    <w:bookmarkEnd w:id="119"/>
    <w:bookmarkStart w:id="121" w:name="ref-glaziou2018"/>
    <w:p>
      <w:pPr>
        <w:pStyle w:val="Bibliography"/>
      </w:pPr>
      <w:r>
        <w:t xml:space="preserve">2. Glasziou P, Chalmers I.</w:t>
      </w:r>
      <w:r>
        <w:t xml:space="preserve"> </w:t>
      </w:r>
      <w:hyperlink r:id="rId120">
        <w:r>
          <w:rPr>
            <w:rStyle w:val="Hyperlink"/>
          </w:rPr>
          <w:t xml:space="preserve">Research waste is still a scandal–an essay by paul glasziou and iain chalmers</w:t>
        </w:r>
      </w:hyperlink>
      <w:r>
        <w:t xml:space="preserve">. BMJ. 2018;363:k4645.</w:t>
      </w:r>
    </w:p>
    <w:bookmarkEnd w:id="121"/>
    <w:bookmarkStart w:id="123" w:name="ref-moher2016"/>
    <w:p>
      <w:pPr>
        <w:pStyle w:val="Bibliography"/>
      </w:pPr>
      <w:r>
        <w:t xml:space="preserve">3. Moher D, Glasziou P, Chalmers I, Nasser M, Bossuyt PMM, Korevaar DA, et al.</w:t>
      </w:r>
      <w:r>
        <w:t xml:space="preserve"> </w:t>
      </w:r>
      <w:hyperlink r:id="rId122">
        <w:r>
          <w:rPr>
            <w:rStyle w:val="Hyperlink"/>
          </w:rPr>
          <w:t xml:space="preserve">Increasing value and reducing waste in biomedical research: Who’s listening?</w:t>
        </w:r>
      </w:hyperlink>
      <w:r>
        <w:t xml:space="preserve"> The Lancet. 2016;387:1573–86.</w:t>
      </w:r>
    </w:p>
    <w:bookmarkEnd w:id="123"/>
    <w:bookmarkStart w:id="125"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124">
        <w:r>
          <w:rPr>
            <w:rStyle w:val="Hyperlink"/>
          </w:rPr>
          <w:t xml:space="preserve">http://dx.doi.org/10.1016/S0140-6736(13)62229-1</w:t>
        </w:r>
      </w:hyperlink>
    </w:p>
    <w:bookmarkEnd w:id="125"/>
    <w:bookmarkStart w:id="127"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26">
        <w:r>
          <w:rPr>
            <w:rStyle w:val="Hyperlink"/>
          </w:rPr>
          <w:t xml:space="preserve">http://dx.doi.org/10.1016/S0140-6736(13)62227-8</w:t>
        </w:r>
      </w:hyperlink>
    </w:p>
    <w:bookmarkEnd w:id="127"/>
    <w:bookmarkStart w:id="129"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28">
        <w:r>
          <w:rPr>
            <w:rStyle w:val="Hyperlink"/>
          </w:rPr>
          <w:t xml:space="preserve">http://dx.doi.org/10.1016/S0140-6736(13)62297-7</w:t>
        </w:r>
      </w:hyperlink>
    </w:p>
    <w:bookmarkEnd w:id="129"/>
    <w:bookmarkStart w:id="131" w:name="ref-jorm2025"/>
    <w:p>
      <w:pPr>
        <w:pStyle w:val="Bibliography"/>
      </w:pPr>
      <w:r>
        <w:t xml:space="preserve">7. Jorm A. Using the delphi method to establish expert consensus [Internet]. Springer Nature Singapore; 2025. Available from:</w:t>
      </w:r>
      <w:r>
        <w:t xml:space="preserve"> </w:t>
      </w:r>
      <w:hyperlink r:id="rId130">
        <w:r>
          <w:rPr>
            <w:rStyle w:val="Hyperlink"/>
          </w:rPr>
          <w:t xml:space="preserve">http://dx.doi.org/10.1007/978-981-96-8357-4</w:t>
        </w:r>
      </w:hyperlink>
    </w:p>
    <w:bookmarkEnd w:id="131"/>
    <w:bookmarkStart w:id="133" w:name="ref-RStudio2026"/>
    <w:p>
      <w:pPr>
        <w:pStyle w:val="Bibliography"/>
      </w:pPr>
      <w:r>
        <w:t xml:space="preserve">8. Posit Software, PBC. RStudio: Integrated development environment for r [Internet]. Boston, MA: Posit Software, PBC; 2026. Available from:</w:t>
      </w:r>
      <w:r>
        <w:t xml:space="preserve"> </w:t>
      </w:r>
      <w:hyperlink r:id="rId132">
        <w:r>
          <w:rPr>
            <w:rStyle w:val="Hyperlink"/>
          </w:rPr>
          <w:t xml:space="preserve">https://posit.co/products/open-source/rstudio/</w:t>
        </w:r>
      </w:hyperlink>
    </w:p>
    <w:bookmarkEnd w:id="133"/>
    <w:bookmarkStart w:id="135"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34">
        <w:r>
          <w:rPr>
            <w:rStyle w:val="Hyperlink"/>
          </w:rPr>
          <w:t xml:space="preserve">https://www.R-project.org/</w:t>
        </w:r>
      </w:hyperlink>
    </w:p>
    <w:bookmarkEnd w:id="135"/>
    <w:bookmarkStart w:id="137" w:name="ref-gattrell2024"/>
    <w:p>
      <w:pPr>
        <w:pStyle w:val="Bibliography"/>
      </w:pPr>
      <w:r>
        <w:t xml:space="preserve">10. Gattrell WT, Logullo P, Zuuren EJ van, Price A, Hughes EL, Blazey P, et al.</w:t>
      </w:r>
      <w:r>
        <w:t xml:space="preserve"> </w:t>
      </w:r>
      <w:hyperlink r:id="rId136">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37"/>
    <w:bookmarkEnd w:id="138"/>
    <w:bookmarkEnd w:id="139"/>
    <w:bookmarkEnd w:id="140"/>
    <w:bookmarkEnd w:id="141"/>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1"/>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1"/>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1"/>
  </w:num>
  <w:num w:numId="106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0">
    <w:abstractNumId w:val="991"/>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1"/>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1"/>
  </w:num>
  <w:num w:numId="107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6">
    <w:abstractNumId w:val="991"/>
  </w:num>
  <w:num w:numId="107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8">
    <w:abstractNumId w:val="991"/>
  </w:num>
  <w:num w:numId="107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0">
    <w:abstractNumId w:val="991"/>
  </w:num>
  <w:num w:numId="108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2">
    <w:abstractNumId w:val="991"/>
  </w:num>
  <w:num w:numId="108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4">
    <w:abstractNumId w:val="991"/>
  </w:num>
  <w:num w:numId="108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30" Target="http://dx.doi.org/10.1007/978-981-96-8357-4" TargetMode="External" /><Relationship Type="http://schemas.openxmlformats.org/officeDocument/2006/relationships/hyperlink" Id="rId126" Target="http://dx.doi.org/10.1016/S0140-6736(13)62227-8" TargetMode="External" /><Relationship Type="http://schemas.openxmlformats.org/officeDocument/2006/relationships/hyperlink" Id="rId124" Target="http://dx.doi.org/10.1016/S0140-6736(13)62229-1" TargetMode="External" /><Relationship Type="http://schemas.openxmlformats.org/officeDocument/2006/relationships/hyperlink" Id="rId128" Target="http://dx.doi.org/10.1016/S0140-6736(13)62297-7" TargetMode="External" /><Relationship Type="http://schemas.openxmlformats.org/officeDocument/2006/relationships/hyperlink" Id="rId118" Target="https://doi.org/10.1016/S0140-6736(09)60329-9" TargetMode="External" /><Relationship Type="http://schemas.openxmlformats.org/officeDocument/2006/relationships/hyperlink" Id="rId122" Target="https://doi.org/10.1016/S0140-6736(15)00307-4" TargetMode="External" /><Relationship Type="http://schemas.openxmlformats.org/officeDocument/2006/relationships/hyperlink" Id="rId120" Target="https://doi.org/10.1136/bmj.k4645" TargetMode="External" /><Relationship Type="http://schemas.openxmlformats.org/officeDocument/2006/relationships/hyperlink" Id="rId136" Target="https://doi.org/10.1371/journal.pmed.1004326" TargetMode="External" /><Relationship Type="http://schemas.openxmlformats.org/officeDocument/2006/relationships/hyperlink" Id="rId132" Target="https://posit.co/products/open-source/rstudio/" TargetMode="External" /><Relationship Type="http://schemas.openxmlformats.org/officeDocument/2006/relationships/hyperlink" Id="rId134" Target="https://www.R-project.org/" TargetMode="External" /><Relationship Type="http://schemas.openxmlformats.org/officeDocument/2006/relationships/hyperlink" Id="rId100"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130" Target="http://dx.doi.org/10.1007/978-981-96-8357-4" TargetMode="External" /><Relationship Type="http://schemas.openxmlformats.org/officeDocument/2006/relationships/hyperlink" Id="rId126" Target="http://dx.doi.org/10.1016/S0140-6736(13)62227-8" TargetMode="External" /><Relationship Type="http://schemas.openxmlformats.org/officeDocument/2006/relationships/hyperlink" Id="rId124" Target="http://dx.doi.org/10.1016/S0140-6736(13)62229-1" TargetMode="External" /><Relationship Type="http://schemas.openxmlformats.org/officeDocument/2006/relationships/hyperlink" Id="rId128" Target="http://dx.doi.org/10.1016/S0140-6736(13)62297-7" TargetMode="External" /><Relationship Type="http://schemas.openxmlformats.org/officeDocument/2006/relationships/hyperlink" Id="rId118" Target="https://doi.org/10.1016/S0140-6736(09)60329-9" TargetMode="External" /><Relationship Type="http://schemas.openxmlformats.org/officeDocument/2006/relationships/hyperlink" Id="rId122" Target="https://doi.org/10.1016/S0140-6736(15)00307-4" TargetMode="External" /><Relationship Type="http://schemas.openxmlformats.org/officeDocument/2006/relationships/hyperlink" Id="rId120" Target="https://doi.org/10.1136/bmj.k4645" TargetMode="External" /><Relationship Type="http://schemas.openxmlformats.org/officeDocument/2006/relationships/hyperlink" Id="rId136" Target="https://doi.org/10.1371/journal.pmed.1004326" TargetMode="External" /><Relationship Type="http://schemas.openxmlformats.org/officeDocument/2006/relationships/hyperlink" Id="rId132" Target="https://posit.co/products/open-source/rstudio/" TargetMode="External" /><Relationship Type="http://schemas.openxmlformats.org/officeDocument/2006/relationships/hyperlink" Id="rId134" Target="https://www.R-project.org/" TargetMode="External" /><Relationship Type="http://schemas.openxmlformats.org/officeDocument/2006/relationships/hyperlink" Id="rId100"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2026-10-08T13:25:59Z</dcterms:created>
  <dcterms:modified xsi:type="dcterms:W3CDTF">2026-10-08T13:25:59Z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