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Protocol summary</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
    <w:p>
      <w:pPr>
        <w:pStyle w:val="Heading1"/>
      </w:pPr>
      <w:r>
        <w:t xml:space="preserve">Research Question</w:t>
      </w:r>
    </w:p>
    <w:p>
      <w:pPr>
        <w:pStyle w:val="FirstParagraph"/>
      </w:pPr>
      <w:r>
        <w:t xml:space="preserve">Among stakeholders involved in medical research in Egypt, which barriers are perceived as most important in limiting the ability of early-career medical researchers to produce valid, relevant, and non-wasteful research; which barriers are considered most modifiable; and which interventions are considered sufficiently important and feasible to prioritize?</w:t>
      </w:r>
    </w:p>
    <w:bookmarkEnd w:id="22"/>
    <w:bookmarkStart w:id="25" w:name="objectives"/>
    <w:p>
      <w:pPr>
        <w:pStyle w:val="Heading1"/>
      </w:pPr>
      <w:r>
        <w:t xml:space="preserve">Objectives</w:t>
      </w:r>
    </w:p>
    <w:bookmarkStart w:id="23" w:name="primary-objective"/>
    <w:p>
      <w:pPr>
        <w:pStyle w:val="Heading2"/>
      </w:pPr>
      <w:r>
        <w:t xml:space="preserve">Primary objective</w:t>
      </w:r>
    </w:p>
    <w:p>
      <w:pPr>
        <w:pStyle w:val="FirstParagraph"/>
      </w:pPr>
      <w:r>
        <w:t xml:space="preserve">To achieve consensus on the principal barriers perceived to limit early-career medical researchers’ ability to conduct valid, relevant, and high-value research in Egypt.</w:t>
      </w:r>
    </w:p>
    <w:bookmarkEnd w:id="23"/>
    <w:bookmarkStart w:id="24" w:name="secondary-objectives"/>
    <w:p>
      <w:pPr>
        <w:pStyle w:val="Heading2"/>
      </w:pPr>
      <w:r>
        <w:t xml:space="preserve">Secondary objectives</w:t>
      </w:r>
    </w:p>
    <w:p>
      <w:pPr>
        <w:pStyle w:val="Compact"/>
        <w:numPr>
          <w:ilvl w:val="0"/>
          <w:numId w:val="1002"/>
        </w:numPr>
      </w:pPr>
      <w:r>
        <w:t xml:space="preserve">To identify barriers that stakeholders consider highly modifiable.</w:t>
      </w:r>
    </w:p>
    <w:p>
      <w:pPr>
        <w:pStyle w:val="Compact"/>
        <w:numPr>
          <w:ilvl w:val="0"/>
          <w:numId w:val="1002"/>
        </w:numPr>
      </w:pPr>
      <w:r>
        <w:t xml:space="preserve">To identify and prioritize interventions that could improve research validity and reduce avoidable research waste.</w:t>
      </w:r>
    </w:p>
    <w:p>
      <w:pPr>
        <w:pStyle w:val="Compact"/>
        <w:numPr>
          <w:ilvl w:val="0"/>
          <w:numId w:val="1002"/>
        </w:numPr>
      </w:pPr>
      <w:r>
        <w:t xml:space="preserve">To assess the perceived feasibility of interventions at individual, supervisory, institutional, and national levels.</w:t>
      </w:r>
    </w:p>
    <w:p>
      <w:pPr>
        <w:pStyle w:val="Compact"/>
        <w:numPr>
          <w:ilvl w:val="0"/>
          <w:numId w:val="1002"/>
        </w:numPr>
      </w:pPr>
      <w:r>
        <w:t xml:space="preserve">To examine areas of agreement and disagreement across predefined stakeholder groups.</w:t>
      </w:r>
    </w:p>
    <w:p>
      <w:pPr>
        <w:pStyle w:val="Compact"/>
        <w:numPr>
          <w:ilvl w:val="0"/>
          <w:numId w:val="1002"/>
        </w:numPr>
      </w:pPr>
      <w:r>
        <w:t xml:space="preserve">To develop a practical, multilevel action framework for organizations responsible for medical research education, supervision, infrastructure, funding, governance, and policy in Egypt.</w:t>
      </w:r>
    </w:p>
    <w:bookmarkEnd w:id="24"/>
    <w:bookmarkEnd w:id="25"/>
    <w:bookmarkStart w:id="26" w:name="conceptual-framework"/>
    <w:p>
      <w:pPr>
        <w:pStyle w:val="Heading1"/>
      </w:pPr>
      <w:r>
        <w:t xml:space="preserve">Conceptual Framework</w:t>
      </w:r>
    </w:p>
    <w:p>
      <w:pPr>
        <w:pStyle w:val="FirstParagraph"/>
      </w:pPr>
      <w:r>
        <w:t xml:space="preserve">The study will conceptualize barriers across four interacting levels:</w:t>
      </w:r>
    </w:p>
    <w:p>
      <w:pPr>
        <w:pStyle w:val="Compact"/>
        <w:numPr>
          <w:ilvl w:val="0"/>
          <w:numId w:val="1003"/>
        </w:numPr>
      </w:pPr>
      <w:r>
        <w:rPr>
          <w:b/>
          <w:bCs/>
        </w:rPr>
        <w:t xml:space="preserve">Researcher level</w:t>
      </w:r>
    </w:p>
    <w:p>
      <w:pPr>
        <w:pStyle w:val="Compact"/>
        <w:numPr>
          <w:ilvl w:val="1"/>
          <w:numId w:val="1004"/>
        </w:numPr>
      </w:pPr>
      <w:r>
        <w:t xml:space="preserve">Research-methodology knowledge and skills</w:t>
      </w:r>
    </w:p>
    <w:p>
      <w:pPr>
        <w:pStyle w:val="Compact"/>
        <w:numPr>
          <w:ilvl w:val="1"/>
          <w:numId w:val="1004"/>
        </w:numPr>
      </w:pPr>
      <w:r>
        <w:t xml:space="preserve">Statistical literacy and data-analysis skills</w:t>
      </w:r>
    </w:p>
    <w:p>
      <w:pPr>
        <w:pStyle w:val="Compact"/>
        <w:numPr>
          <w:ilvl w:val="1"/>
          <w:numId w:val="1004"/>
        </w:numPr>
      </w:pPr>
      <w:r>
        <w:t xml:space="preserve">Scientific writing and reporting skills</w:t>
      </w:r>
    </w:p>
    <w:p>
      <w:pPr>
        <w:pStyle w:val="Compact"/>
        <w:numPr>
          <w:ilvl w:val="1"/>
          <w:numId w:val="1004"/>
        </w:numPr>
      </w:pPr>
      <w:r>
        <w:t xml:space="preserve">Ability to identify researchable and relevant questions</w:t>
      </w:r>
    </w:p>
    <w:p>
      <w:pPr>
        <w:pStyle w:val="Compact"/>
        <w:numPr>
          <w:ilvl w:val="1"/>
          <w:numId w:val="1004"/>
        </w:numPr>
      </w:pPr>
      <w:r>
        <w:t xml:space="preserve">Time management and competing clinical and/or academic responsibilities</w:t>
      </w:r>
    </w:p>
    <w:p>
      <w:pPr>
        <w:pStyle w:val="Compact"/>
        <w:numPr>
          <w:ilvl w:val="1"/>
          <w:numId w:val="1004"/>
        </w:numPr>
      </w:pPr>
      <w:r>
        <w:t xml:space="preserve">Motivation, confidence, and research self-efficacy</w:t>
      </w:r>
    </w:p>
    <w:p>
      <w:pPr>
        <w:pStyle w:val="Compact"/>
        <w:numPr>
          <w:ilvl w:val="0"/>
          <w:numId w:val="1003"/>
        </w:numPr>
      </w:pPr>
      <w:r>
        <w:rPr>
          <w:b/>
          <w:bCs/>
        </w:rPr>
        <w:t xml:space="preserve">Supervision and mentorship level</w:t>
      </w:r>
    </w:p>
    <w:p>
      <w:pPr>
        <w:pStyle w:val="Compact"/>
        <w:numPr>
          <w:ilvl w:val="1"/>
          <w:numId w:val="1005"/>
        </w:numPr>
      </w:pPr>
      <w:r>
        <w:t xml:space="preserve">Availability of supervisors</w:t>
      </w:r>
    </w:p>
    <w:p>
      <w:pPr>
        <w:pStyle w:val="Compact"/>
        <w:numPr>
          <w:ilvl w:val="1"/>
          <w:numId w:val="1005"/>
        </w:numPr>
      </w:pPr>
      <w:r>
        <w:t xml:space="preserve">Supervisor methodological competence</w:t>
      </w:r>
    </w:p>
    <w:p>
      <w:pPr>
        <w:pStyle w:val="Compact"/>
        <w:numPr>
          <w:ilvl w:val="1"/>
          <w:numId w:val="1005"/>
        </w:numPr>
      </w:pPr>
      <w:r>
        <w:t xml:space="preserve">Accessibility and continuity of supervision</w:t>
      </w:r>
    </w:p>
    <w:p>
      <w:pPr>
        <w:pStyle w:val="Compact"/>
        <w:numPr>
          <w:ilvl w:val="1"/>
          <w:numId w:val="1005"/>
        </w:numPr>
      </w:pPr>
      <w:r>
        <w:t xml:space="preserve">Quality of feedback</w:t>
      </w:r>
    </w:p>
    <w:p>
      <w:pPr>
        <w:pStyle w:val="Compact"/>
        <w:numPr>
          <w:ilvl w:val="1"/>
          <w:numId w:val="1005"/>
        </w:numPr>
      </w:pPr>
      <w:r>
        <w:t xml:space="preserve">Alignment between supervisor expertise and the research question</w:t>
      </w:r>
    </w:p>
    <w:p>
      <w:pPr>
        <w:pStyle w:val="Compact"/>
        <w:numPr>
          <w:ilvl w:val="1"/>
          <w:numId w:val="1005"/>
        </w:numPr>
      </w:pPr>
      <w:r>
        <w:t xml:space="preserve">Authorship and academic-credit practices</w:t>
      </w:r>
    </w:p>
    <w:p>
      <w:pPr>
        <w:pStyle w:val="Compact"/>
        <w:numPr>
          <w:ilvl w:val="1"/>
          <w:numId w:val="1005"/>
        </w:numPr>
      </w:pPr>
      <w:r>
        <w:t xml:space="preserve">Mentorship and research-network access</w:t>
      </w:r>
    </w:p>
    <w:p>
      <w:pPr>
        <w:pStyle w:val="Compact"/>
        <w:numPr>
          <w:ilvl w:val="0"/>
          <w:numId w:val="1003"/>
        </w:numPr>
      </w:pPr>
      <w:r>
        <w:rPr>
          <w:b/>
          <w:bCs/>
        </w:rPr>
        <w:t xml:space="preserve">Institutional/system level</w:t>
      </w:r>
    </w:p>
    <w:p>
      <w:pPr>
        <w:pStyle w:val="Compact"/>
        <w:numPr>
          <w:ilvl w:val="1"/>
          <w:numId w:val="1006"/>
        </w:numPr>
      </w:pPr>
      <w:r>
        <w:t xml:space="preserve">Protected research time</w:t>
      </w:r>
    </w:p>
    <w:p>
      <w:pPr>
        <w:pStyle w:val="Compact"/>
        <w:numPr>
          <w:ilvl w:val="1"/>
          <w:numId w:val="1006"/>
        </w:numPr>
      </w:pPr>
      <w:r>
        <w:t xml:space="preserve">Research infrastructure</w:t>
      </w:r>
    </w:p>
    <w:p>
      <w:pPr>
        <w:pStyle w:val="Compact"/>
        <w:numPr>
          <w:ilvl w:val="1"/>
          <w:numId w:val="1006"/>
        </w:numPr>
      </w:pPr>
      <w:r>
        <w:t xml:space="preserve">Statistical and methodological support</w:t>
      </w:r>
    </w:p>
    <w:p>
      <w:pPr>
        <w:pStyle w:val="Compact"/>
        <w:numPr>
          <w:ilvl w:val="1"/>
          <w:numId w:val="1006"/>
        </w:numPr>
      </w:pPr>
      <w:r>
        <w:t xml:space="preserve">Data access and information systems</w:t>
      </w:r>
    </w:p>
    <w:p>
      <w:pPr>
        <w:pStyle w:val="Compact"/>
        <w:numPr>
          <w:ilvl w:val="1"/>
          <w:numId w:val="1006"/>
        </w:numPr>
      </w:pPr>
      <w:r>
        <w:t xml:space="preserve">Laboratory and technical resources</w:t>
      </w:r>
    </w:p>
    <w:p>
      <w:pPr>
        <w:pStyle w:val="Compact"/>
        <w:numPr>
          <w:ilvl w:val="1"/>
          <w:numId w:val="1006"/>
        </w:numPr>
      </w:pPr>
      <w:r>
        <w:t xml:space="preserve">Ethics and administrative processes</w:t>
      </w:r>
    </w:p>
    <w:p>
      <w:pPr>
        <w:pStyle w:val="Compact"/>
        <w:numPr>
          <w:ilvl w:val="1"/>
          <w:numId w:val="1006"/>
        </w:numPr>
      </w:pPr>
      <w:r>
        <w:t xml:space="preserve">Institutional research support offices</w:t>
      </w:r>
    </w:p>
    <w:p>
      <w:pPr>
        <w:pStyle w:val="Compact"/>
        <w:numPr>
          <w:ilvl w:val="1"/>
          <w:numId w:val="1006"/>
        </w:numPr>
      </w:pPr>
      <w:r>
        <w:t xml:space="preserve">Collaboration and multidisciplinary research structures</w:t>
      </w:r>
    </w:p>
    <w:p>
      <w:pPr>
        <w:pStyle w:val="Compact"/>
        <w:numPr>
          <w:ilvl w:val="1"/>
          <w:numId w:val="1006"/>
        </w:numPr>
      </w:pPr>
      <w:r>
        <w:t xml:space="preserve">Research culture and incentives</w:t>
      </w:r>
    </w:p>
    <w:p>
      <w:pPr>
        <w:pStyle w:val="Compact"/>
        <w:numPr>
          <w:ilvl w:val="0"/>
          <w:numId w:val="1003"/>
        </w:numPr>
      </w:pPr>
      <w:r>
        <w:rPr>
          <w:b/>
          <w:bCs/>
        </w:rPr>
        <w:t xml:space="preserve">National research ecosystem level</w:t>
      </w:r>
    </w:p>
    <w:p>
      <w:pPr>
        <w:pStyle w:val="Compact"/>
        <w:numPr>
          <w:ilvl w:val="1"/>
          <w:numId w:val="1007"/>
        </w:numPr>
      </w:pPr>
      <w:r>
        <w:t xml:space="preserve">Availability and accessibility of research funding</w:t>
      </w:r>
    </w:p>
    <w:p>
      <w:pPr>
        <w:pStyle w:val="Compact"/>
        <w:numPr>
          <w:ilvl w:val="1"/>
          <w:numId w:val="1007"/>
        </w:numPr>
      </w:pPr>
      <w:r>
        <w:t xml:space="preserve">Funding mechanisms and administrative requirements</w:t>
      </w:r>
    </w:p>
    <w:p>
      <w:pPr>
        <w:pStyle w:val="Compact"/>
        <w:numPr>
          <w:ilvl w:val="1"/>
          <w:numId w:val="1007"/>
        </w:numPr>
      </w:pPr>
      <w:r>
        <w:t xml:space="preserve">Research regulation and governance</w:t>
      </w:r>
    </w:p>
    <w:p>
      <w:pPr>
        <w:pStyle w:val="Compact"/>
        <w:numPr>
          <w:ilvl w:val="1"/>
          <w:numId w:val="1007"/>
        </w:numPr>
      </w:pPr>
      <w:r>
        <w:t xml:space="preserve">Career and promotion incentives</w:t>
      </w:r>
    </w:p>
    <w:p>
      <w:pPr>
        <w:pStyle w:val="Compact"/>
        <w:numPr>
          <w:ilvl w:val="1"/>
          <w:numId w:val="1007"/>
        </w:numPr>
      </w:pPr>
      <w:r>
        <w:t xml:space="preserve">National research infrastructure</w:t>
      </w:r>
    </w:p>
    <w:p>
      <w:pPr>
        <w:pStyle w:val="Compact"/>
        <w:numPr>
          <w:ilvl w:val="1"/>
          <w:numId w:val="1007"/>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bookmarkEnd w:id="26"/>
    <w:bookmarkStart w:id="27" w:name="key-definitions"/>
    <w:p>
      <w:pPr>
        <w:pStyle w:val="Heading1"/>
      </w:pPr>
      <w:r>
        <w:t xml:space="preserve">Key Definitions</w:t>
      </w:r>
    </w:p>
    <w:p>
      <w:pPr>
        <w:numPr>
          <w:ilvl w:val="0"/>
          <w:numId w:val="1008"/>
        </w:numPr>
      </w:pPr>
      <w:r>
        <w:t xml:space="preserve">Early-career medical researcher: For this study, an early-career medical researcher is a medical student, house officer/intern, resident, teaching assistant, assistant lecturer, or equivalent junior medical academic/researcher working or training within an Egyptian medical school, teaching hospital, university-affiliated research unit, or comparable research setting.</w:t>
      </w:r>
    </w:p>
    <w:p>
      <w:pPr>
        <w:pStyle w:val="Compact"/>
        <w:numPr>
          <w:ilvl w:val="1"/>
          <w:numId w:val="1009"/>
        </w:numPr>
      </w:pPr>
      <w:r>
        <w:t xml:space="preserve">Individuals who have progressed beyond these stages but remain actively involved in supervising or supporting early-career researchers will participate as stakeholder panelists in the supervisor, methodologist, administrator, funder, or other relevant categories.</w:t>
      </w:r>
    </w:p>
    <w:p>
      <w:pPr>
        <w:numPr>
          <w:ilvl w:val="0"/>
          <w:numId w:val="1008"/>
        </w:numPr>
      </w:pPr>
      <w:r>
        <w:t xml:space="preserve">Valid research: Research that uses methods appropriate to its question and design and is conducted, analyzed, and reported sufficiently well to support credible interpretation.</w:t>
      </w:r>
    </w:p>
    <w:p>
      <w:pPr>
        <w:numPr>
          <w:ilvl w:val="0"/>
          <w:numId w:val="1008"/>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p>
    <w:p>
      <w:pPr>
        <w:numPr>
          <w:ilvl w:val="0"/>
          <w:numId w:val="1008"/>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8"/>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7"/>
    <w:bookmarkStart w:id="28" w:name="study-design"/>
    <w:p>
      <w:pPr>
        <w:pStyle w:val="Heading1"/>
      </w:pPr>
      <w:r>
        <w:t xml:space="preserve">Study Design</w:t>
      </w:r>
    </w:p>
    <w:p>
      <w:pPr>
        <w:pStyle w:val="FirstParagraph"/>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 and pilot testing.</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and development of a multilevel action framework.</w:t>
      </w:r>
    </w:p>
    <w:p>
      <w:pPr>
        <w:pStyle w:val="FirstParagraph"/>
      </w:pPr>
      <w:r>
        <w:t xml:space="preserve">No individual participant will be shown another participant’s identity or individual responses.</w:t>
      </w:r>
    </w:p>
    <w:bookmarkEnd w:id="28"/>
    <w:bookmarkStart w:id="29" w:name="study-setting"/>
    <w:p>
      <w:pPr>
        <w:pStyle w:val="Heading1"/>
      </w:pPr>
      <w:r>
        <w:t xml:space="preserve">Study Setting</w:t>
      </w:r>
    </w:p>
    <w:p>
      <w:pPr>
        <w:pStyle w:val="FirstParagraph"/>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9"/>
    <w:bookmarkStart w:id="36" w:name="participants-and-eligibility"/>
    <w:p>
      <w:pPr>
        <w:pStyle w:val="Heading1"/>
      </w:pPr>
      <w:r>
        <w:t xml:space="preserve">Participants and Eligibility</w:t>
      </w:r>
    </w:p>
    <w:bookmarkStart w:id="34" w:name="delphi-panel-eligibility"/>
    <w:p>
      <w:pPr>
        <w:pStyle w:val="Heading2"/>
      </w:pPr>
      <w:r>
        <w:t xml:space="preserve">Delphi panel eligibility</w:t>
      </w:r>
    </w:p>
    <w:p>
      <w:pPr>
        <w:pStyle w:val="FirstParagraph"/>
      </w:pPr>
      <w:r>
        <w:t xml:space="preserve">Participants must meet at least one of the following criteria:</w:t>
      </w:r>
    </w:p>
    <w:bookmarkStart w:id="30" w:name="early-career-researchers"/>
    <w:p>
      <w:pPr>
        <w:pStyle w:val="Heading3"/>
      </w:pPr>
      <w:r>
        <w:t xml:space="preserve">Early-career researchers</w:t>
      </w:r>
    </w:p>
    <w:p>
      <w:pPr>
        <w:pStyle w:val="Compact"/>
        <w:numPr>
          <w:ilvl w:val="0"/>
          <w:numId w:val="1011"/>
        </w:numPr>
      </w:pPr>
      <w:r>
        <w:t xml:space="preserve">Be a medical student, house officer, resident, teaching assistant, assistant lecturer, or equivalent early-career medical researcher in Egypt; and</w:t>
      </w:r>
    </w:p>
    <w:p>
      <w:pPr>
        <w:pStyle w:val="Compact"/>
        <w:numPr>
          <w:ilvl w:val="0"/>
          <w:numId w:val="1011"/>
        </w:numPr>
      </w:pPr>
      <w:r>
        <w:t xml:space="preserve">have participated in, planned, conducted, analyzed, written at least one research project.</w:t>
      </w:r>
    </w:p>
    <w:bookmarkEnd w:id="30"/>
    <w:bookmarkStart w:id="31" w:name="research-supervisors"/>
    <w:p>
      <w:pPr>
        <w:pStyle w:val="Heading3"/>
      </w:pPr>
      <w:r>
        <w:t xml:space="preserve">Research supervisors</w:t>
      </w:r>
    </w:p>
    <w:p>
      <w:pPr>
        <w:pStyle w:val="Compact"/>
        <w:numPr>
          <w:ilvl w:val="0"/>
          <w:numId w:val="1012"/>
        </w:numPr>
      </w:pPr>
      <w:r>
        <w:t xml:space="preserve">Be a lecturer, associate professor, professor, or equivalent researcher who has supervised medical research involving early-career researchers; and</w:t>
      </w:r>
    </w:p>
    <w:p>
      <w:pPr>
        <w:pStyle w:val="Compact"/>
        <w:numPr>
          <w:ilvl w:val="0"/>
          <w:numId w:val="1012"/>
        </w:numPr>
      </w:pPr>
      <w:r>
        <w:t xml:space="preserve">have current or recent experience in research supervision.</w:t>
      </w:r>
    </w:p>
    <w:bookmarkEnd w:id="31"/>
    <w:bookmarkStart w:id="32" w:name="research-methodologistsbiostatisticians"/>
    <w:p>
      <w:pPr>
        <w:pStyle w:val="Heading3"/>
      </w:pPr>
      <w:r>
        <w:t xml:space="preserve">Research methodologists/biostatisticians</w:t>
      </w:r>
    </w:p>
    <w:p>
      <w:pPr>
        <w:pStyle w:val="Compact"/>
        <w:numPr>
          <w:ilvl w:val="0"/>
          <w:numId w:val="1013"/>
        </w:numPr>
      </w:pPr>
      <w:r>
        <w:t xml:space="preserve">Have formal or substantial professional experience in epidemiology, biostatistics, research methodology, evidence synthesis, qualitative research, or related methodological disciplines; and</w:t>
      </w:r>
    </w:p>
    <w:p>
      <w:pPr>
        <w:pStyle w:val="Compact"/>
        <w:numPr>
          <w:ilvl w:val="0"/>
          <w:numId w:val="1013"/>
        </w:numPr>
      </w:pPr>
      <w:r>
        <w:t xml:space="preserve">have experience supporting or conducting health research.</w:t>
      </w:r>
    </w:p>
    <w:bookmarkEnd w:id="32"/>
    <w:bookmarkStart w:id="33" w:name="ethicsresearch-governance-participants"/>
    <w:p>
      <w:pPr>
        <w:pStyle w:val="Heading3"/>
      </w:pPr>
      <w:r>
        <w:t xml:space="preserve">Ethics/research governance participants</w:t>
      </w:r>
    </w:p>
    <w:p>
      <w:pPr>
        <w:pStyle w:val="Compact"/>
        <w:numPr>
          <w:ilvl w:val="0"/>
          <w:numId w:val="1014"/>
        </w:numPr>
      </w:pPr>
      <w:r>
        <w:t xml:space="preserve">Be a member or former member of a research ethics committee, research governance body, or comparable institutional structure.</w:t>
      </w:r>
    </w:p>
    <w:p>
      <w:pPr>
        <w:pStyle w:val="FirstParagraph"/>
      </w:pPr>
      <w:r>
        <w:t xml:space="preserve">Participants should have sufficient familiarity with the Egyptian research environment to provide informed judgments.</w:t>
      </w:r>
    </w:p>
    <w:bookmarkEnd w:id="33"/>
    <w:bookmarkEnd w:id="34"/>
    <w:bookmarkStart w:id="35" w:name="exclusion-criteria"/>
    <w:p>
      <w:pPr>
        <w:pStyle w:val="Heading2"/>
      </w:pPr>
      <w:r>
        <w:t xml:space="preserve">Exclusion criteria</w:t>
      </w:r>
    </w:p>
    <w:p>
      <w:pPr>
        <w:pStyle w:val="FirstParagraph"/>
      </w:pPr>
      <w:r>
        <w:t xml:space="preserve">Participants will be excluded if they:</w:t>
      </w:r>
    </w:p>
    <w:p>
      <w:pPr>
        <w:pStyle w:val="Compact"/>
        <w:numPr>
          <w:ilvl w:val="0"/>
          <w:numId w:val="1015"/>
        </w:numPr>
      </w:pPr>
      <w:r>
        <w:t xml:space="preserve">cannot provide informed consent;</w:t>
      </w:r>
    </w:p>
    <w:p>
      <w:pPr>
        <w:pStyle w:val="Compact"/>
        <w:numPr>
          <w:ilvl w:val="0"/>
          <w:numId w:val="1015"/>
        </w:numPr>
      </w:pPr>
      <w:r>
        <w:t xml:space="preserve">have insufficient familiarity with medical research in Egypt to complete the Delphi questionnaire meaningfully;</w:t>
      </w:r>
    </w:p>
    <w:p>
      <w:pPr>
        <w:pStyle w:val="Compact"/>
        <w:numPr>
          <w:ilvl w:val="0"/>
          <w:numId w:val="1015"/>
        </w:numPr>
      </w:pPr>
      <w:r>
        <w:t xml:space="preserve">are unable to complete the questionnaire in English or Arabic, depending on the final validated questionnaire language;</w:t>
      </w:r>
    </w:p>
    <w:p>
      <w:pPr>
        <w:pStyle w:val="Compact"/>
        <w:numPr>
          <w:ilvl w:val="0"/>
          <w:numId w:val="1015"/>
        </w:numPr>
      </w:pPr>
      <w:r>
        <w:t xml:space="preserve">participate only in questionnaire piloting and do not meet the final panel eligibility criteria; or</w:t>
      </w:r>
    </w:p>
    <w:p>
      <w:pPr>
        <w:pStyle w:val="Compact"/>
        <w:numPr>
          <w:ilvl w:val="0"/>
          <w:numId w:val="1015"/>
        </w:numPr>
      </w:pPr>
      <w:r>
        <w:t xml:space="preserve">have a direct conflict of interest that the steering group determines would prevent independent participation.</w:t>
      </w:r>
    </w:p>
    <w:bookmarkEnd w:id="35"/>
    <w:bookmarkEnd w:id="36"/>
    <w:bookmarkStart w:id="38" w:name="panel-composition-and-sampling"/>
    <w:p>
      <w:pPr>
        <w:pStyle w:val="Heading1"/>
      </w:pPr>
      <w:r>
        <w:t xml:space="preserve">Panel Composition and Sampling</w:t>
      </w:r>
    </w:p>
    <w:p>
      <w:pPr>
        <w:pStyle w:val="FirstParagraph"/>
      </w:pPr>
      <w:r>
        <w:t xml:space="preserve">A purposive maximum-variation sampling strategy will be used.</w:t>
      </w:r>
    </w:p>
    <w:p>
      <w:pPr>
        <w:pStyle w:val="BodyText"/>
      </w:pPr>
      <w:r>
        <w:t xml:space="preserve">The stakeholder groups were selected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governance stakeholders provide perspectives on ethics and regulatory processes; research administrators and funders inform resource allocation; and health-system stakeholders contribute views regarding research relevance and implementation.</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60-80 invited participants, with at least 50 completing Round 1 and 40–50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bookmarkStart w:id="37" w:name="recruitment-procedures"/>
    <w:p>
      <w:pPr>
        <w:pStyle w:val="Heading2"/>
      </w:pPr>
      <w:r>
        <w:t xml:space="preserve">Recruitment procedures</w:t>
      </w:r>
    </w:p>
    <w:p>
      <w:pPr>
        <w:pStyle w:val="FirstParagraph"/>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bookmarkEnd w:id="37"/>
    <w:bookmarkEnd w:id="38"/>
    <w:bookmarkStart w:id="41" w:name="item-generation"/>
    <w:p>
      <w:pPr>
        <w:pStyle w:val="Heading1"/>
      </w:pPr>
      <w:r>
        <w:t xml:space="preserve">Item Generation</w:t>
      </w:r>
    </w:p>
    <w:bookmarkStart w:id="39" w:name="evidence-review"/>
    <w:p>
      <w:pPr>
        <w:pStyle w:val="Heading2"/>
      </w:pPr>
      <w:r>
        <w:t xml:space="preserve">Evidence review</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bookmarkEnd w:id="39"/>
    <w:bookmarkStart w:id="40" w:name="development-of-the-initial-item-pool"/>
    <w:p>
      <w:pPr>
        <w:pStyle w:val="Heading2"/>
      </w:pPr>
      <w:r>
        <w:t xml:space="preserve">Development of the initial item pool</w:t>
      </w:r>
    </w:p>
    <w:p>
      <w:pPr>
        <w:pStyle w:val="FirstParagraph"/>
      </w:pPr>
      <w:r>
        <w:t xml:space="preserve">Evidence-review findings will be converted into concise, single-concept statements.</w:t>
      </w:r>
    </w:p>
    <w:p>
      <w:pPr>
        <w:pStyle w:val="BodyText"/>
      </w:pPr>
      <w:r>
        <w:t xml:space="preserve">Where possible, each item will:</w:t>
      </w:r>
    </w:p>
    <w:p>
      <w:pPr>
        <w:pStyle w:val="Compact"/>
        <w:numPr>
          <w:ilvl w:val="0"/>
          <w:numId w:val="1016"/>
        </w:numPr>
      </w:pPr>
      <w:r>
        <w:t xml:space="preserve">describe one barrier or intervention;</w:t>
      </w:r>
    </w:p>
    <w:p>
      <w:pPr>
        <w:pStyle w:val="Compact"/>
        <w:numPr>
          <w:ilvl w:val="0"/>
          <w:numId w:val="1016"/>
        </w:numPr>
      </w:pPr>
      <w:r>
        <w:t xml:space="preserve">use neutral, non-accusatory wording;</w:t>
      </w:r>
    </w:p>
    <w:p>
      <w:pPr>
        <w:pStyle w:val="Compact"/>
        <w:numPr>
          <w:ilvl w:val="0"/>
          <w:numId w:val="1016"/>
        </w:numPr>
      </w:pPr>
      <w:r>
        <w:t xml:space="preserve">avoid double-barrelled concepts;</w:t>
      </w:r>
    </w:p>
    <w:p>
      <w:pPr>
        <w:pStyle w:val="Compact"/>
        <w:numPr>
          <w:ilvl w:val="0"/>
          <w:numId w:val="1016"/>
        </w:numPr>
      </w:pPr>
      <w:r>
        <w:t xml:space="preserve">be understandable to participants from different professional backgrounds; and</w:t>
      </w:r>
    </w:p>
    <w:p>
      <w:pPr>
        <w:pStyle w:val="Compact"/>
        <w:numPr>
          <w:ilvl w:val="0"/>
          <w:numId w:val="1016"/>
        </w:numPr>
      </w:pPr>
      <w:r>
        <w:t xml:space="preserve">identify the level or research-stage at which the barrier operates.</w:t>
      </w:r>
    </w:p>
    <w:p>
      <w:pPr>
        <w:pStyle w:val="FirstParagraph"/>
      </w:pPr>
      <w:r>
        <w:t xml:space="preserve">The steering group will review the initial item pool for conceptual overlap, redundancy, ambiguity, and comprehensiveness. A record of major item additions, deletions, mergers, and wording changes will be maintained.</w:t>
      </w:r>
    </w:p>
    <w:bookmarkEnd w:id="40"/>
    <w:bookmarkEnd w:id="41"/>
    <w:bookmarkStart w:id="43" w:name="delphi-questionnaire"/>
    <w:p>
      <w:pPr>
        <w:pStyle w:val="Heading1"/>
      </w:pPr>
      <w:r>
        <w:t xml:space="preserve">Delphi Questionnaire</w:t>
      </w:r>
    </w:p>
    <w:p>
      <w:pPr>
        <w:pStyle w:val="FirstParagraph"/>
      </w:pPr>
      <w:r>
        <w:t xml:space="preserve">The survey will be administered using the University’s online survey platform. Data will be stored on secure password-protected system accessible only to authorized study personnel.</w:t>
      </w:r>
    </w:p>
    <w:p>
      <w:pPr>
        <w:pStyle w:val="BodyText"/>
      </w:pPr>
      <w:r>
        <w:t xml:space="preserve">Completion of the Round-1 questionnaire is expected to require approximately 20 minutes and Round-2 approximately 15 minutes.</w:t>
      </w:r>
    </w:p>
    <w:bookmarkStart w:id="42" w:name="barrier-ratings"/>
    <w:p>
      <w:pPr>
        <w:pStyle w:val="Heading2"/>
      </w:pPr>
      <w:r>
        <w:t xml:space="preserve">Barrier ratings</w:t>
      </w:r>
    </w:p>
    <w:p>
      <w:pPr>
        <w:pStyle w:val="FirstParagraph"/>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bookmarkEnd w:id="42"/>
    <w:bookmarkEnd w:id="43"/>
    <w:bookmarkStart w:id="44" w:name="delphi-round-1"/>
    <w:p>
      <w:pPr>
        <w:pStyle w:val="Heading1"/>
      </w:pPr>
      <w:r>
        <w:t xml:space="preserve">Delphi Round 1</w:t>
      </w:r>
    </w:p>
    <w:p>
      <w:pPr>
        <w:pStyle w:val="FirstParagraph"/>
      </w:pPr>
      <w:r>
        <w:t xml:space="preserve">Participants will receive:</w:t>
      </w:r>
    </w:p>
    <w:p>
      <w:pPr>
        <w:pStyle w:val="Compact"/>
        <w:numPr>
          <w:ilvl w:val="0"/>
          <w:numId w:val="1017"/>
        </w:numPr>
      </w:pPr>
      <w:r>
        <w:t xml:space="preserve">an information sheet and electronic consent form;</w:t>
      </w:r>
    </w:p>
    <w:p>
      <w:pPr>
        <w:pStyle w:val="Compact"/>
        <w:numPr>
          <w:ilvl w:val="0"/>
          <w:numId w:val="1017"/>
        </w:numPr>
      </w:pPr>
      <w:r>
        <w:t xml:space="preserve">brief instructions explaining the Delphi process;</w:t>
      </w:r>
    </w:p>
    <w:p>
      <w:pPr>
        <w:pStyle w:val="Compact"/>
        <w:numPr>
          <w:ilvl w:val="0"/>
          <w:numId w:val="1017"/>
        </w:numPr>
      </w:pPr>
      <w:r>
        <w:t xml:space="preserve">the candidate barrier items;</w:t>
      </w:r>
    </w:p>
    <w:p>
      <w:pPr>
        <w:pStyle w:val="Compact"/>
        <w:numPr>
          <w:ilvl w:val="0"/>
          <w:numId w:val="1017"/>
        </w:numPr>
      </w:pPr>
      <w:r>
        <w:t xml:space="preserve">importance and modifiability rating scales; and</w:t>
      </w:r>
    </w:p>
    <w:p>
      <w:pPr>
        <w:pStyle w:val="Compact"/>
        <w:numPr>
          <w:ilvl w:val="0"/>
          <w:numId w:val="1017"/>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bookmarkEnd w:id="44"/>
    <w:bookmarkStart w:id="48" w:name="round-1-item-handling"/>
    <w:p>
      <w:pPr>
        <w:pStyle w:val="Heading1"/>
      </w:pPr>
      <w:r>
        <w:t xml:space="preserve">Round 1 Item Handling</w:t>
      </w:r>
    </w:p>
    <w:p>
      <w:pPr>
        <w:pStyle w:val="FirstParagraph"/>
      </w:pPr>
      <w:r>
        <w:t xml:space="preserve">The following rules will be applied before Round 2:</w:t>
      </w:r>
    </w:p>
    <w:bookmarkStart w:id="45" w:name="retain"/>
    <w:p>
      <w:pPr>
        <w:pStyle w:val="Heading3"/>
      </w:pPr>
      <w:r>
        <w:t xml:space="preserve">Retain</w:t>
      </w:r>
    </w:p>
    <w:p>
      <w:pPr>
        <w:pStyle w:val="FirstParagraph"/>
      </w:pPr>
      <w:r>
        <w:t xml:space="preserve">Items meeting the predefined importance-consensus criterion will be retained.</w:t>
      </w:r>
    </w:p>
    <w:bookmarkEnd w:id="45"/>
    <w:bookmarkStart w:id="46" w:name="revise"/>
    <w:p>
      <w:pPr>
        <w:pStyle w:val="Heading3"/>
      </w:pPr>
      <w:r>
        <w:t xml:space="preserve">Revise</w:t>
      </w:r>
    </w:p>
    <w:p>
      <w:pPr>
        <w:pStyle w:val="FirstParagraph"/>
      </w:pPr>
      <w:r>
        <w:t xml:space="preserve">Items that do not reach consensus but are potentially important, ambiguous, or substantially modified following panel comments may be revised and presented in Round 2. Material wording changes will be documented.</w:t>
      </w:r>
    </w:p>
    <w:bookmarkEnd w:id="46"/>
    <w:bookmarkStart w:id="47" w:name="remove"/>
    <w:p>
      <w:pPr>
        <w:pStyle w:val="Heading3"/>
      </w:pPr>
      <w:r>
        <w:t xml:space="preserve">Remove</w:t>
      </w:r>
    </w:p>
    <w:p>
      <w:pPr>
        <w:pStyle w:val="FirstParagraph"/>
      </w:pPr>
      <w:r>
        <w:t xml:space="preserve">Items may be removed if they are clearly redundant, outside the study scope, poorly understood, or judged by the steering group to represent a different construct. Removal decisions will be documented and will not be based solely on an unfavorable rating unless this was specified by the predefined decision rule.</w:t>
      </w:r>
    </w:p>
    <w:p>
      <w:pPr>
        <w:pStyle w:val="BodyText"/>
      </w:pPr>
      <w:r>
        <w:t xml:space="preserve">The steering group will not create or remove items after seeing Round-2 results.</w:t>
      </w:r>
    </w:p>
    <w:bookmarkEnd w:id="47"/>
    <w:bookmarkEnd w:id="48"/>
    <w:bookmarkStart w:id="49" w:name="delphi-round-2"/>
    <w:p>
      <w:pPr>
        <w:pStyle w:val="Heading1"/>
      </w:pPr>
      <w:r>
        <w:t xml:space="preserve">Delphi Round 2</w:t>
      </w:r>
    </w:p>
    <w:p>
      <w:pPr>
        <w:pStyle w:val="FirstParagraph"/>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18"/>
        </w:numPr>
      </w:pPr>
      <w:r>
        <w:t xml:space="preserve">number of valid responses;</w:t>
      </w:r>
    </w:p>
    <w:p>
      <w:pPr>
        <w:pStyle w:val="Compact"/>
        <w:numPr>
          <w:ilvl w:val="0"/>
          <w:numId w:val="1018"/>
        </w:numPr>
      </w:pPr>
      <w:r>
        <w:t xml:space="preserve">median rating;</w:t>
      </w:r>
    </w:p>
    <w:p>
      <w:pPr>
        <w:pStyle w:val="Compact"/>
        <w:numPr>
          <w:ilvl w:val="0"/>
          <w:numId w:val="1018"/>
        </w:numPr>
      </w:pPr>
      <w:r>
        <w:t xml:space="preserve">interquartile range; and</w:t>
      </w:r>
    </w:p>
    <w:p>
      <w:pPr>
        <w:pStyle w:val="Compact"/>
        <w:numPr>
          <w:ilvl w:val="0"/>
          <w:numId w:val="1018"/>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19"/>
        </w:numPr>
      </w:pPr>
      <w:r>
        <w:rPr>
          <w:b/>
          <w:bCs/>
        </w:rPr>
        <w:t xml:space="preserve">importance/potential impact:</w:t>
      </w:r>
      <w:r>
        <w:t xml:space="preserve"> </w:t>
      </w:r>
      <w:r>
        <w:t xml:space="preserve">1–9;</w:t>
      </w:r>
    </w:p>
    <w:p>
      <w:pPr>
        <w:pStyle w:val="Compact"/>
        <w:numPr>
          <w:ilvl w:val="0"/>
          <w:numId w:val="1019"/>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bookmarkEnd w:id="49"/>
    <w:bookmarkStart w:id="54" w:name="consensus-definitions"/>
    <w:p>
      <w:pPr>
        <w:pStyle w:val="Heading1"/>
      </w:pPr>
      <w:r>
        <w:t xml:space="preserve">Consensus Definitions</w:t>
      </w:r>
    </w:p>
    <w:p>
      <w:pPr>
        <w:pStyle w:val="FirstParagraph"/>
      </w:pPr>
      <w:r>
        <w:t xml:space="preserve">Consensus criteria will be specified before Round 1 and will not be changed in response to the observed results.</w:t>
      </w:r>
    </w:p>
    <w:bookmarkStart w:id="50" w:name="important-barrier"/>
    <w:p>
      <w:pPr>
        <w:pStyle w:val="Heading2"/>
      </w:pPr>
      <w:r>
        <w:t xml:space="preserve">Important barrier</w:t>
      </w:r>
    </w:p>
    <w:p>
      <w:pPr>
        <w:pStyle w:val="FirstParagraph"/>
      </w:pPr>
      <w:r>
        <w:t xml:space="preserve">A barrier will be classified as having consensus as an</w:t>
      </w:r>
      <w:r>
        <w:t xml:space="preserve"> </w:t>
      </w:r>
      <w:r>
        <w:rPr>
          <w:b/>
          <w:bCs/>
        </w:rPr>
        <w:t xml:space="preserve">important barrier</w:t>
      </w:r>
      <w:r>
        <w:t xml:space="preserve"> </w:t>
      </w:r>
      <w:r>
        <w:t xml:space="preserve">when all of the following are met:</w:t>
      </w:r>
    </w:p>
    <w:p>
      <w:pPr>
        <w:pStyle w:val="Compact"/>
        <w:numPr>
          <w:ilvl w:val="0"/>
          <w:numId w:val="1020"/>
        </w:numPr>
      </w:pPr>
      <w:r>
        <w:t xml:space="preserve">median importance rating ≥7;</w:t>
      </w:r>
    </w:p>
    <w:p>
      <w:pPr>
        <w:pStyle w:val="Compact"/>
        <w:numPr>
          <w:ilvl w:val="0"/>
          <w:numId w:val="1020"/>
        </w:numPr>
      </w:pPr>
      <w:r>
        <w:t xml:space="preserve">IQR ≤2; and</w:t>
      </w:r>
    </w:p>
    <w:p>
      <w:pPr>
        <w:pStyle w:val="Compact"/>
        <w:numPr>
          <w:ilvl w:val="0"/>
          <w:numId w:val="1020"/>
        </w:numPr>
      </w:pPr>
      <w:r>
        <w:t xml:space="preserve">≥75% of valid ratings are 7–9.</w:t>
      </w:r>
    </w:p>
    <w:p>
      <w:pPr>
        <w:pStyle w:val="FirstParagraph"/>
      </w:pPr>
      <w:r>
        <w:t xml:space="preserve">Consensus that a barrier is not important will be defined as median ≤3 and ≥75% of ratings between 1 and 3.</w:t>
      </w:r>
    </w:p>
    <w:bookmarkEnd w:id="50"/>
    <w:bookmarkStart w:id="51" w:name="highly-modifiable-barrier"/>
    <w:p>
      <w:pPr>
        <w:pStyle w:val="Heading2"/>
      </w:pPr>
      <w:r>
        <w:t xml:space="preserve">Highly modifiable barrier</w:t>
      </w:r>
    </w:p>
    <w:p>
      <w:pPr>
        <w:pStyle w:val="FirstParagraph"/>
      </w:pP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0"/>
          <w:numId w:val="1021"/>
        </w:numPr>
      </w:pPr>
      <w:r>
        <w:t xml:space="preserve">median modifiability rating ≥7;</w:t>
      </w:r>
    </w:p>
    <w:p>
      <w:pPr>
        <w:pStyle w:val="Compact"/>
        <w:numPr>
          <w:ilvl w:val="0"/>
          <w:numId w:val="1021"/>
        </w:numPr>
      </w:pPr>
      <w:r>
        <w:t xml:space="preserve">IQR ≤2; and</w:t>
      </w:r>
    </w:p>
    <w:p>
      <w:pPr>
        <w:pStyle w:val="Compact"/>
        <w:numPr>
          <w:ilvl w:val="0"/>
          <w:numId w:val="1021"/>
        </w:numPr>
      </w:pPr>
      <w:r>
        <w:t xml:space="preserve">≥75% of valid ratings are 7–9.</w:t>
      </w:r>
    </w:p>
    <w:bookmarkEnd w:id="51"/>
    <w:bookmarkStart w:id="52" w:name="high-priority-intervention"/>
    <w:p>
      <w:pPr>
        <w:pStyle w:val="Heading2"/>
      </w:pPr>
      <w:r>
        <w:t xml:space="preserve">High-priority intervention</w:t>
      </w:r>
    </w:p>
    <w:p>
      <w:pPr>
        <w:pStyle w:val="FirstParagraph"/>
      </w:pPr>
      <w:r>
        <w:t xml:space="preserve">An intervention will be classified as a</w:t>
      </w:r>
      <w:r>
        <w:t xml:space="preserve"> </w:t>
      </w:r>
      <w:r>
        <w:rPr>
          <w:b/>
          <w:bCs/>
        </w:rPr>
        <w:t xml:space="preserve">high-priority feasible intervention</w:t>
      </w:r>
      <w:r>
        <w:t xml:space="preserve"> </w:t>
      </w:r>
      <w:r>
        <w:t xml:space="preserve">when:</w:t>
      </w:r>
    </w:p>
    <w:p>
      <w:pPr>
        <w:pStyle w:val="Compact"/>
        <w:numPr>
          <w:ilvl w:val="0"/>
          <w:numId w:val="1022"/>
        </w:numPr>
      </w:pPr>
      <w:r>
        <w:t xml:space="preserve">median importance/potential-impact rating ≥7;</w:t>
      </w:r>
    </w:p>
    <w:p>
      <w:pPr>
        <w:pStyle w:val="Compact"/>
        <w:numPr>
          <w:ilvl w:val="0"/>
          <w:numId w:val="1022"/>
        </w:numPr>
      </w:pPr>
      <w:r>
        <w:t xml:space="preserve">IQR ≤2;</w:t>
      </w:r>
    </w:p>
    <w:p>
      <w:pPr>
        <w:pStyle w:val="Compact"/>
        <w:numPr>
          <w:ilvl w:val="0"/>
          <w:numId w:val="1022"/>
        </w:numPr>
      </w:pPr>
      <w:r>
        <w:t xml:space="preserve">≥75% of valid ratings are 7–9; and</w:t>
      </w:r>
    </w:p>
    <w:p>
      <w:pPr>
        <w:pStyle w:val="Compact"/>
        <w:numPr>
          <w:ilvl w:val="0"/>
          <w:numId w:val="1022"/>
        </w:numPr>
      </w:pPr>
      <w:r>
        <w:t xml:space="preserve">≥70% of valid ratings rate feasibility 7–9.</w:t>
      </w:r>
    </w:p>
    <w:p>
      <w:pPr>
        <w:pStyle w:val="FirstParagraph"/>
      </w:pPr>
      <w:r>
        <w:t xml:space="preserve">The slightly lower feasibility threshold is intentional because interventions can be highly desirable while not being uniformly perceived as feasible.</w:t>
      </w:r>
    </w:p>
    <w:bookmarkEnd w:id="52"/>
    <w:bookmarkStart w:id="53" w:name="persistent-disagreement"/>
    <w:p>
      <w:pPr>
        <w:pStyle w:val="Heading2"/>
      </w:pPr>
      <w:r>
        <w:t xml:space="preserve">Persistent disagreement</w:t>
      </w:r>
    </w:p>
    <w:p>
      <w:pPr>
        <w:pStyle w:val="FirstParagraph"/>
      </w:pP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bookmarkEnd w:id="53"/>
    <w:bookmarkEnd w:id="54"/>
    <w:bookmarkStart w:id="55" w:name="feedback-and-anonymity"/>
    <w:p>
      <w:pPr>
        <w:pStyle w:val="Heading1"/>
      </w:pPr>
      <w:r>
        <w:t xml:space="preserve">Feedback and Anonymity</w:t>
      </w:r>
    </w:p>
    <w:p>
      <w:pPr>
        <w:pStyle w:val="FirstParagraph"/>
      </w:pPr>
      <w:r>
        <w:t xml:space="preserve">The Delphi process will preserve participant anonymity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bookmarkEnd w:id="55"/>
    <w:bookmarkStart w:id="56" w:name="panel-attrition-and-response-monitoring"/>
    <w:p>
      <w:pPr>
        <w:pStyle w:val="Heading1"/>
      </w:pPr>
      <w:r>
        <w:t xml:space="preserve">Panel Attrition and Response Monitoring</w:t>
      </w:r>
    </w:p>
    <w:p>
      <w:pPr>
        <w:pStyle w:val="FirstParagraph"/>
      </w:pPr>
      <w:r>
        <w:t xml:space="preserve">Response rates will be calculated separately for each round using clearly specified denominators:</w:t>
      </w:r>
    </w:p>
    <w:p>
      <w:pPr>
        <w:pStyle w:val="Compact"/>
        <w:numPr>
          <w:ilvl w:val="0"/>
          <w:numId w:val="1023"/>
        </w:numPr>
      </w:pPr>
      <w:r>
        <w:t xml:space="preserve">invited participants;</w:t>
      </w:r>
    </w:p>
    <w:p>
      <w:pPr>
        <w:pStyle w:val="Compact"/>
        <w:numPr>
          <w:ilvl w:val="0"/>
          <w:numId w:val="1023"/>
        </w:numPr>
      </w:pPr>
      <w:r>
        <w:t xml:space="preserve">participants who completed the questionnaire; and</w:t>
      </w:r>
    </w:p>
    <w:p>
      <w:pPr>
        <w:pStyle w:val="Compact"/>
        <w:numPr>
          <w:ilvl w:val="0"/>
          <w:numId w:val="1023"/>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56"/>
    <w:bookmarkStart w:id="57" w:name="data-management"/>
    <w:p>
      <w:pPr>
        <w:pStyle w:val="Heading1"/>
      </w:pPr>
      <w:r>
        <w:t xml:space="preserve">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4"/>
        </w:numPr>
      </w:pPr>
      <w:r>
        <w:t xml:space="preserve">verifying valid response ranges;</w:t>
      </w:r>
    </w:p>
    <w:p>
      <w:pPr>
        <w:pStyle w:val="Compact"/>
        <w:numPr>
          <w:ilvl w:val="0"/>
          <w:numId w:val="1024"/>
        </w:numPr>
      </w:pPr>
      <w:r>
        <w:t xml:space="preserve">documenting incomplete questionnaires;</w:t>
      </w:r>
    </w:p>
    <w:p>
      <w:pPr>
        <w:pStyle w:val="Compact"/>
        <w:numPr>
          <w:ilvl w:val="0"/>
          <w:numId w:val="1024"/>
        </w:numPr>
      </w:pPr>
      <w:r>
        <w:t xml:space="preserve">identifying implausible or internally inconsistent administrative data;</w:t>
      </w:r>
    </w:p>
    <w:p>
      <w:pPr>
        <w:pStyle w:val="Compact"/>
        <w:numPr>
          <w:ilvl w:val="0"/>
          <w:numId w:val="1024"/>
        </w:numPr>
      </w:pPr>
      <w:r>
        <w:t xml:space="preserve">maintaining a data-cleaning log; and</w:t>
      </w:r>
    </w:p>
    <w:p>
      <w:pPr>
        <w:pStyle w:val="Compact"/>
        <w:numPr>
          <w:ilvl w:val="0"/>
          <w:numId w:val="1024"/>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 after which identifiable linkage files will be securely destroyed and research data retained or destroyed according to institutional requirements.</w:t>
      </w:r>
    </w:p>
    <w:bookmarkEnd w:id="57"/>
    <w:bookmarkStart w:id="61" w:name="statistical-analysis"/>
    <w:p>
      <w:pPr>
        <w:pStyle w:val="Heading1"/>
      </w:pPr>
      <w:r>
        <w:t xml:space="preserve">Statistical Analysis</w:t>
      </w:r>
    </w:p>
    <w:p>
      <w:pPr>
        <w:pStyle w:val="FirstParagraph"/>
      </w:pPr>
      <w:r>
        <w:t xml:space="preserve">Analysis will be primarily descriptive and consensus-based. For each item and each round, the following will be reported:</w:t>
      </w:r>
    </w:p>
    <w:p>
      <w:pPr>
        <w:pStyle w:val="Compact"/>
        <w:numPr>
          <w:ilvl w:val="0"/>
          <w:numId w:val="1025"/>
        </w:numPr>
      </w:pPr>
      <w:r>
        <w:t xml:space="preserve">number of valid responses;</w:t>
      </w:r>
    </w:p>
    <w:p>
      <w:pPr>
        <w:pStyle w:val="Compact"/>
        <w:numPr>
          <w:ilvl w:val="0"/>
          <w:numId w:val="1025"/>
        </w:numPr>
      </w:pPr>
      <w:r>
        <w:t xml:space="preserve">median;</w:t>
      </w:r>
    </w:p>
    <w:p>
      <w:pPr>
        <w:pStyle w:val="Compact"/>
        <w:numPr>
          <w:ilvl w:val="0"/>
          <w:numId w:val="1025"/>
        </w:numPr>
      </w:pPr>
      <w:r>
        <w:t xml:space="preserve">IQR;</w:t>
      </w:r>
    </w:p>
    <w:p>
      <w:pPr>
        <w:pStyle w:val="Compact"/>
        <w:numPr>
          <w:ilvl w:val="0"/>
          <w:numId w:val="1025"/>
        </w:numPr>
      </w:pPr>
      <w:r>
        <w:t xml:space="preserve">full response distribution;</w:t>
      </w:r>
    </w:p>
    <w:p>
      <w:pPr>
        <w:pStyle w:val="Compact"/>
        <w:numPr>
          <w:ilvl w:val="0"/>
          <w:numId w:val="1025"/>
        </w:numPr>
      </w:pPr>
      <w:r>
        <w:t xml:space="preserve">percentage rating 7–9;</w:t>
      </w:r>
    </w:p>
    <w:p>
      <w:pPr>
        <w:pStyle w:val="Compact"/>
        <w:numPr>
          <w:ilvl w:val="0"/>
          <w:numId w:val="1025"/>
        </w:numPr>
      </w:pPr>
      <w:r>
        <w:t xml:space="preserve">consensus classification; and</w:t>
      </w:r>
    </w:p>
    <w:p>
      <w:pPr>
        <w:pStyle w:val="Compact"/>
        <w:numPr>
          <w:ilvl w:val="0"/>
          <w:numId w:val="1025"/>
        </w:numPr>
      </w:pPr>
      <w:r>
        <w:t xml:space="preserve">item disposition between rounds.</w:t>
      </w:r>
    </w:p>
    <w:p>
      <w:pPr>
        <w:pStyle w:val="FirstParagraph"/>
      </w:pPr>
      <w:r>
        <w:t xml:space="preserve">Analyses will be performed using R version 4.6.1 or later and RStudio version 2026.09.0 or later</w:t>
      </w:r>
      <w:r>
        <w:t xml:space="preserve"> </w:t>
      </w:r>
      <w:r>
        <w:t xml:space="preserve">[8]</w:t>
      </w:r>
      <w:r>
        <w:t xml:space="preserve">.</w:t>
      </w:r>
    </w:p>
    <w:p>
      <w:pPr>
        <w:pStyle w:val="BodyText"/>
      </w:pPr>
      <w:r>
        <w:t xml:space="preserve">Analyses will be performed using a current, documented version of R</w:t>
      </w:r>
      <w:r>
        <w:t xml:space="preserve"> </w:t>
      </w:r>
      <w:r>
        <w:t xml:space="preserve">[9]</w:t>
      </w:r>
      <w:r>
        <w:t xml:space="preserve"> </w:t>
      </w:r>
      <w:r>
        <w:t xml:space="preserve">and the compatible R integrated development environment (RStudio</w:t>
      </w:r>
      <w:r>
        <w:t xml:space="preserve"> </w:t>
      </w:r>
      <w:r>
        <w:t xml:space="preserve">[8]</w:t>
      </w:r>
      <w:r>
        <w:t xml:space="preserve">). The exact versions used will be recorded in the analysis log.</w:t>
      </w:r>
    </w:p>
    <w:bookmarkStart w:id="58" w:name="change-between-rounds"/>
    <w:p>
      <w:pPr>
        <w:pStyle w:val="Heading2"/>
      </w:pPr>
      <w:r>
        <w:t xml:space="preserve">Change between rounds</w:t>
      </w:r>
    </w:p>
    <w:p>
      <w:pPr>
        <w:pStyle w:val="FirstParagraph"/>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bookmarkEnd w:id="58"/>
    <w:bookmarkStart w:id="59" w:name="subgroup-analysis"/>
    <w:p>
      <w:pPr>
        <w:pStyle w:val="Heading2"/>
      </w:pPr>
      <w:r>
        <w:t xml:space="preserve">Subgroup analysis</w:t>
      </w:r>
    </w:p>
    <w:p>
      <w:pPr>
        <w:pStyle w:val="FirstParagraph"/>
      </w:pPr>
      <w:r>
        <w:t xml:space="preserve">Ratings will be examined descriptively by predefined stakeholder group:</w:t>
      </w:r>
    </w:p>
    <w:p>
      <w:pPr>
        <w:pStyle w:val="Compact"/>
        <w:numPr>
          <w:ilvl w:val="0"/>
          <w:numId w:val="1026"/>
        </w:numPr>
      </w:pPr>
      <w:r>
        <w:t xml:space="preserve">early-career researchers;</w:t>
      </w:r>
    </w:p>
    <w:p>
      <w:pPr>
        <w:pStyle w:val="Compact"/>
        <w:numPr>
          <w:ilvl w:val="0"/>
          <w:numId w:val="1026"/>
        </w:numPr>
      </w:pPr>
      <w:r>
        <w:t xml:space="preserve">supervisors;</w:t>
      </w:r>
    </w:p>
    <w:p>
      <w:pPr>
        <w:pStyle w:val="Compact"/>
        <w:numPr>
          <w:ilvl w:val="0"/>
          <w:numId w:val="1026"/>
        </w:numPr>
      </w:pPr>
      <w:r>
        <w:t xml:space="preserve">methodologists/biostatisticians; and</w:t>
      </w:r>
    </w:p>
    <w:p>
      <w:pPr>
        <w:pStyle w:val="Compact"/>
        <w:numPr>
          <w:ilvl w:val="0"/>
          <w:numId w:val="1026"/>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bookmarkEnd w:id="59"/>
    <w:bookmarkStart w:id="60" w:name="sensitivity-analyses"/>
    <w:p>
      <w:pPr>
        <w:pStyle w:val="Heading2"/>
      </w:pPr>
      <w:r>
        <w:t xml:space="preserve">Sensitivity analyses</w:t>
      </w:r>
    </w:p>
    <w:p>
      <w:pPr>
        <w:pStyle w:val="FirstParagraph"/>
      </w:pPr>
      <w:r>
        <w:t xml:space="preserve">Sensitivity analyses will examine whether conclusions change when:</w:t>
      </w:r>
    </w:p>
    <w:p>
      <w:pPr>
        <w:pStyle w:val="Compact"/>
        <w:numPr>
          <w:ilvl w:val="0"/>
          <w:numId w:val="1027"/>
        </w:numPr>
      </w:pPr>
      <w:r>
        <w:t xml:space="preserve">the denominator excludes</w:t>
      </w:r>
      <w:r>
        <w:t xml:space="preserve"> </w:t>
      </w:r>
      <w:r>
        <w:t xml:space="preserve">“cannot judge”</w:t>
      </w:r>
      <w:r>
        <w:t xml:space="preserve"> </w:t>
      </w:r>
      <w:r>
        <w:t xml:space="preserve">responses.</w:t>
      </w:r>
    </w:p>
    <w:p>
      <w:pPr>
        <w:pStyle w:val="Compact"/>
        <w:numPr>
          <w:ilvl w:val="0"/>
          <w:numId w:val="1027"/>
        </w:numPr>
      </w:pPr>
      <w:r>
        <w:t xml:space="preserve">only participants completing both rounds are considered.</w:t>
      </w:r>
    </w:p>
    <w:p>
      <w:pPr>
        <w:pStyle w:val="FirstParagraph"/>
      </w:pPr>
      <w:r>
        <w:t xml:space="preserve">These analyses will be prespecified before the final analysis where feasible.</w:t>
      </w:r>
    </w:p>
    <w:bookmarkEnd w:id="60"/>
    <w:bookmarkEnd w:id="61"/>
    <w:bookmarkStart w:id="68" w:name="bias-and-methodological-considerations"/>
    <w:p>
      <w:pPr>
        <w:pStyle w:val="Heading1"/>
      </w:pPr>
      <w:r>
        <w:t xml:space="preserve">Bias and Methodological Considerations</w:t>
      </w:r>
    </w:p>
    <w:bookmarkStart w:id="62" w:name="selection-bias"/>
    <w:p>
      <w:pPr>
        <w:pStyle w:val="Heading2"/>
      </w:pPr>
      <w:r>
        <w:t xml:space="preserve">Selection bias</w:t>
      </w:r>
    </w:p>
    <w:p>
      <w:pPr>
        <w:pStyle w:val="FirstParagraph"/>
      </w:pPr>
      <w:r>
        <w:t xml:space="preserve">Purposive recruitment may overrepresent individuals who are already interested in research quality. To reduce this risk, recruitment will seek variation in career stage, institution, geographic region, discipline, research experience, and stakeholder role.</w:t>
      </w:r>
    </w:p>
    <w:p>
      <w:pPr>
        <w:pStyle w:val="BodyText"/>
      </w:pPr>
      <w:r>
        <w:t xml:space="preserve">Response rates will be reported by stakeholder group where possible.</w:t>
      </w:r>
    </w:p>
    <w:bookmarkEnd w:id="62"/>
    <w:bookmarkStart w:id="63" w:name="Xe9d5539a731f267fca08449f3f1f8a78fbacf58"/>
    <w:p>
      <w:pPr>
        <w:pStyle w:val="Heading2"/>
      </w:pPr>
      <w:r>
        <w:t xml:space="preserve">Professional hierarchy and social desirability</w:t>
      </w:r>
    </w:p>
    <w:p>
      <w:pPr>
        <w:pStyle w:val="FirstParagraph"/>
      </w:pPr>
      <w:r>
        <w:t xml:space="preserve">Because junior researchers may be supervised by senior panelists, perceived hierarchy could affect participation or responses. Invitations and surveys will emphasize independence, anonymity, and the absence of academic consequences from participation or non-participation.</w:t>
      </w:r>
    </w:p>
    <w:bookmarkEnd w:id="63"/>
    <w:bookmarkStart w:id="64" w:name="dominance-bias"/>
    <w:p>
      <w:pPr>
        <w:pStyle w:val="Heading2"/>
      </w:pPr>
      <w:r>
        <w:t xml:space="preserve">Dominance bias</w:t>
      </w:r>
    </w:p>
    <w:p>
      <w:pPr>
        <w:pStyle w:val="FirstParagraph"/>
      </w:pPr>
      <w:r>
        <w:t xml:space="preserve">The anonymous electronic Delphi format will reduce the opportunity for senior or highly prominent participants to dominate the views of others.</w:t>
      </w:r>
    </w:p>
    <w:bookmarkEnd w:id="64"/>
    <w:bookmarkStart w:id="65" w:name="attrition-bias"/>
    <w:p>
      <w:pPr>
        <w:pStyle w:val="Heading2"/>
      </w:pPr>
      <w:r>
        <w:t xml:space="preserve">Attrition bias</w:t>
      </w:r>
    </w:p>
    <w:p>
      <w:pPr>
        <w:pStyle w:val="FirstParagraph"/>
      </w:pPr>
      <w:r>
        <w:t xml:space="preserve">Loss of participants between rounds may alter the final consensus. Attrition will therefore be reported by stakeholder group and considered when interpreting the findings.</w:t>
      </w:r>
    </w:p>
    <w:bookmarkEnd w:id="65"/>
    <w:bookmarkStart w:id="66" w:name="framing-bias"/>
    <w:p>
      <w:pPr>
        <w:pStyle w:val="Heading2"/>
      </w:pPr>
      <w:r>
        <w:t xml:space="preserve">Framing bias</w:t>
      </w:r>
    </w:p>
    <w:p>
      <w:pPr>
        <w:pStyle w:val="FirstParagraph"/>
      </w:pPr>
      <w:r>
        <w:t xml:space="preserve">Because the initial item pool is informed by prior evidence and the investigators’ conceptual framework, some relevant barriers may be underrepresented.</w:t>
      </w:r>
    </w:p>
    <w:bookmarkEnd w:id="66"/>
    <w:bookmarkStart w:id="67" w:name="steering-group-influence"/>
    <w:p>
      <w:pPr>
        <w:pStyle w:val="Heading2"/>
      </w:pPr>
      <w:r>
        <w:t xml:space="preserve">Steering-group influence</w:t>
      </w:r>
    </w:p>
    <w:p>
      <w:pPr>
        <w:pStyle w:val="FirstParagraph"/>
      </w:pPr>
      <w:r>
        <w:t xml:space="preserve">All item additions, revisions, and removals will be documented. Predefined rules will be used to minimize post hoc manipulation of item status.</w:t>
      </w:r>
    </w:p>
    <w:bookmarkEnd w:id="67"/>
    <w:bookmarkEnd w:id="68"/>
    <w:bookmarkStart w:id="74" w:name="ethical-considerations-and-governance"/>
    <w:p>
      <w:pPr>
        <w:pStyle w:val="Heading1"/>
      </w:pPr>
      <w:r>
        <w:t xml:space="preserve">Ethical Considerations and Governance</w:t>
      </w:r>
    </w:p>
    <w:p>
      <w:pPr>
        <w:pStyle w:val="FirstParagraph"/>
      </w:pPr>
      <w:r>
        <w:t xml:space="preserve">Ethical approval will be sought from the Institutional Review Board (IRB) of the Faculty of Medicine, MTI University.</w:t>
      </w:r>
    </w:p>
    <w:bookmarkStart w:id="69" w:name="informed-consent"/>
    <w:p>
      <w:pPr>
        <w:pStyle w:val="Heading2"/>
      </w:pPr>
      <w:r>
        <w:t xml:space="preserve">Informed consent</w:t>
      </w:r>
    </w:p>
    <w:p>
      <w:pPr>
        <w:pStyle w:val="FirstParagraph"/>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w:t>
      </w:r>
    </w:p>
    <w:p>
      <w:pPr>
        <w:pStyle w:val="BodyText"/>
      </w:pPr>
      <w:r>
        <w:t xml:space="preserve">The information sheet will explain:</w:t>
      </w:r>
    </w:p>
    <w:p>
      <w:pPr>
        <w:pStyle w:val="Compact"/>
        <w:numPr>
          <w:ilvl w:val="0"/>
          <w:numId w:val="1028"/>
        </w:numPr>
      </w:pPr>
      <w:r>
        <w:t xml:space="preserve">the purpose of the study;</w:t>
      </w:r>
    </w:p>
    <w:p>
      <w:pPr>
        <w:pStyle w:val="Compact"/>
        <w:numPr>
          <w:ilvl w:val="0"/>
          <w:numId w:val="1028"/>
        </w:numPr>
      </w:pPr>
      <w:r>
        <w:t xml:space="preserve">what participation involves;</w:t>
      </w:r>
    </w:p>
    <w:p>
      <w:pPr>
        <w:pStyle w:val="Compact"/>
        <w:numPr>
          <w:ilvl w:val="0"/>
          <w:numId w:val="1028"/>
        </w:numPr>
      </w:pPr>
      <w:r>
        <w:t xml:space="preserve">the expected time commitment;</w:t>
      </w:r>
    </w:p>
    <w:p>
      <w:pPr>
        <w:pStyle w:val="Compact"/>
        <w:numPr>
          <w:ilvl w:val="0"/>
          <w:numId w:val="1028"/>
        </w:numPr>
      </w:pPr>
      <w:r>
        <w:t xml:space="preserve">the voluntary nature of participation;</w:t>
      </w:r>
    </w:p>
    <w:p>
      <w:pPr>
        <w:pStyle w:val="Compact"/>
        <w:numPr>
          <w:ilvl w:val="0"/>
          <w:numId w:val="1028"/>
        </w:numPr>
      </w:pPr>
      <w:r>
        <w:t xml:space="preserve">the right to withdraw without penalty;</w:t>
      </w:r>
    </w:p>
    <w:p>
      <w:pPr>
        <w:pStyle w:val="Compact"/>
        <w:numPr>
          <w:ilvl w:val="0"/>
          <w:numId w:val="1028"/>
        </w:numPr>
      </w:pPr>
      <w:r>
        <w:t xml:space="preserve">confidentiality and anonymity procedures;</w:t>
      </w:r>
    </w:p>
    <w:p>
      <w:pPr>
        <w:pStyle w:val="Compact"/>
        <w:numPr>
          <w:ilvl w:val="0"/>
          <w:numId w:val="1028"/>
        </w:numPr>
      </w:pPr>
      <w:r>
        <w:t xml:space="preserve">the right to request removal of data;</w:t>
      </w:r>
    </w:p>
    <w:p>
      <w:pPr>
        <w:pStyle w:val="Compact"/>
        <w:numPr>
          <w:ilvl w:val="0"/>
          <w:numId w:val="1028"/>
        </w:numPr>
      </w:pPr>
      <w:r>
        <w:t xml:space="preserve">foreseeable risks and benefits;</w:t>
      </w:r>
    </w:p>
    <w:p>
      <w:pPr>
        <w:pStyle w:val="Compact"/>
        <w:numPr>
          <w:ilvl w:val="0"/>
          <w:numId w:val="1028"/>
        </w:numPr>
      </w:pPr>
      <w:r>
        <w:t xml:space="preserve">how data will be used and stored; and</w:t>
      </w:r>
    </w:p>
    <w:p>
      <w:pPr>
        <w:pStyle w:val="Compact"/>
        <w:numPr>
          <w:ilvl w:val="0"/>
          <w:numId w:val="1028"/>
        </w:numPr>
      </w:pPr>
      <w:r>
        <w:t xml:space="preserve">contact information for the research team and ethics committee.</w:t>
      </w:r>
    </w:p>
    <w:p>
      <w:pPr>
        <w:pStyle w:val="FirstParagraph"/>
      </w:pPr>
      <w:r>
        <w:t xml:space="preserve">Participants will be free to skip any question they do not wish to answer.</w:t>
      </w:r>
    </w:p>
    <w:p>
      <w:pPr>
        <w:pStyle w:val="BodyText"/>
      </w:pPr>
      <w:r>
        <w:t xml:space="preserve">Participants may withdraw at any time before submission. After submission, participants may request removal of their data until the dataset has been de-identified, locked, or incorporated into aggregate analyses, after which individual responses may no longer be identifiable or removable. The information sheet will state the applicable withdrawal deadline and procedure.</w:t>
      </w:r>
    </w:p>
    <w:bookmarkEnd w:id="69"/>
    <w:bookmarkStart w:id="70" w:name="confidentiality"/>
    <w:p>
      <w:pPr>
        <w:pStyle w:val="Heading2"/>
      </w:pPr>
      <w:r>
        <w:t xml:space="preserve">Confidentiality</w:t>
      </w:r>
    </w:p>
    <w:p>
      <w:pPr>
        <w:pStyle w:val="FirstParagraph"/>
      </w:pPr>
      <w:r>
        <w:t xml:space="preserve">Names, email addresses, and other direct identifiers will be stored separately from survey responses in password-protected, access-controlled files on secure institutional systems. Only designated members of the research team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bookmarkEnd w:id="70"/>
    <w:bookmarkStart w:id="71" w:name="protection-of-junior-participants"/>
    <w:p>
      <w:pPr>
        <w:pStyle w:val="Heading2"/>
      </w:pPr>
      <w:r>
        <w:t xml:space="preserve">Protection of junior participants</w:t>
      </w:r>
    </w:p>
    <w:p>
      <w:pPr>
        <w:pStyle w:val="FirstParagraph"/>
      </w:pPr>
      <w:r>
        <w:t xml:space="preserve">Junior participants will be explicitly informed that participation or non-participation will not affect their academic standing, supervision, assessment, employment, or career progression.</w:t>
      </w:r>
    </w:p>
    <w:p>
      <w:pPr>
        <w:pStyle w:val="Compact"/>
        <w:numPr>
          <w:ilvl w:val="0"/>
          <w:numId w:val="1029"/>
        </w:numPr>
      </w:pPr>
      <w:r>
        <w:t xml:space="preserve">invitations will be sent directly to potential participants;</w:t>
      </w:r>
    </w:p>
    <w:p>
      <w:pPr>
        <w:pStyle w:val="Compact"/>
        <w:numPr>
          <w:ilvl w:val="0"/>
          <w:numId w:val="1029"/>
        </w:numPr>
      </w:pPr>
      <w:r>
        <w:t xml:space="preserve">participation will not be arranged through a direct supervisor;</w:t>
      </w:r>
    </w:p>
    <w:p>
      <w:pPr>
        <w:pStyle w:val="Compact"/>
        <w:numPr>
          <w:ilvl w:val="0"/>
          <w:numId w:val="1029"/>
        </w:numPr>
      </w:pPr>
      <w:r>
        <w:t xml:space="preserve">supervisors will not know whether a specific junior researcher participated;</w:t>
      </w:r>
    </w:p>
    <w:p>
      <w:pPr>
        <w:pStyle w:val="Compact"/>
        <w:numPr>
          <w:ilvl w:val="0"/>
          <w:numId w:val="1029"/>
        </w:numPr>
      </w:pPr>
      <w:r>
        <w:t xml:space="preserve">reminders will be automated and sent by research staff who are not in a direct supervisory relationship with potential participants;</w:t>
      </w:r>
    </w:p>
    <w:p>
      <w:pPr>
        <w:pStyle w:val="Compact"/>
        <w:numPr>
          <w:ilvl w:val="0"/>
          <w:numId w:val="1029"/>
        </w:numPr>
      </w:pPr>
      <w:r>
        <w:t xml:space="preserve">participants will not be asked to discuss identifiable supervisory conflicts.</w:t>
      </w:r>
    </w:p>
    <w:bookmarkEnd w:id="71"/>
    <w:bookmarkStart w:id="72" w:name="risks-and-benefits"/>
    <w:p>
      <w:pPr>
        <w:pStyle w:val="Heading2"/>
      </w:pPr>
      <w:r>
        <w:t xml:space="preserve">Risks and benefits</w:t>
      </w:r>
    </w:p>
    <w:p>
      <w:pPr>
        <w:pStyle w:val="FirstParagraph"/>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anonymous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bookmarkEnd w:id="72"/>
    <w:bookmarkStart w:id="73" w:name="compensation-and-reimbursement"/>
    <w:p>
      <w:pPr>
        <w:pStyle w:val="Heading2"/>
      </w:pPr>
      <w:r>
        <w:t xml:space="preserve">Compensation and reimbursement</w:t>
      </w:r>
    </w:p>
    <w:p>
      <w:pPr>
        <w:pStyle w:val="FirstParagraph"/>
      </w:pPr>
      <w:r>
        <w:t xml:space="preserve">Participants will not receive financial compensation. No reimbursement is anticipated because participation is remote.</w:t>
      </w:r>
    </w:p>
    <w:bookmarkEnd w:id="73"/>
    <w:bookmarkEnd w:id="74"/>
    <w:bookmarkStart w:id="75" w:name="conflicts-of-interest"/>
    <w:p>
      <w:pPr>
        <w:pStyle w:val="Heading1"/>
      </w:pPr>
      <w:r>
        <w:t xml:space="preserve">Conflicts of Interest</w:t>
      </w:r>
    </w:p>
    <w:p>
      <w:pPr>
        <w:pStyle w:val="FirstParagraph"/>
      </w:pPr>
      <w:r>
        <w:t xml:space="preserve">All investigators and steering-group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75"/>
    <w:bookmarkStart w:id="76" w:name="protocol-registration-and-amendments"/>
    <w:p>
      <w:pPr>
        <w:pStyle w:val="Heading1"/>
      </w:pPr>
      <w:r>
        <w:t xml:space="preserve">Protocol Registration and Amendments</w:t>
      </w:r>
    </w:p>
    <w:p>
      <w:pPr>
        <w:pStyle w:val="FirstParagraph"/>
      </w:pPr>
      <w:r>
        <w:t xml:space="preserve">The final protocol will be dated and version controlled before recruitment.</w:t>
      </w:r>
    </w:p>
    <w:p>
      <w:pPr>
        <w:pStyle w:val="BodyText"/>
      </w:pPr>
      <w:r>
        <w:t xml:space="preserve">Where feasible, the protocol will be publicly registered or deposited in an appropriate research-protocol repository before Round 1.</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bookmarkEnd w:id="76"/>
    <w:bookmarkStart w:id="77" w:name="quality-assurance"/>
    <w:p>
      <w:pPr>
        <w:pStyle w:val="Heading1"/>
      </w:pPr>
      <w:r>
        <w:t xml:space="preserve">Quality Assurance</w:t>
      </w:r>
    </w:p>
    <w:p>
      <w:pPr>
        <w:pStyle w:val="FirstParagraph"/>
      </w:pPr>
      <w:r>
        <w:t xml:space="preserve">Before launch:</w:t>
      </w:r>
    </w:p>
    <w:p>
      <w:pPr>
        <w:pStyle w:val="Compact"/>
        <w:numPr>
          <w:ilvl w:val="0"/>
          <w:numId w:val="1030"/>
        </w:numPr>
      </w:pPr>
      <w:r>
        <w:t xml:space="preserve">the initial item pool will be reviewed by the steering group.</w:t>
      </w:r>
    </w:p>
    <w:p>
      <w:pPr>
        <w:pStyle w:val="Compact"/>
        <w:numPr>
          <w:ilvl w:val="0"/>
          <w:numId w:val="1030"/>
        </w:numPr>
      </w:pPr>
      <w:r>
        <w:t xml:space="preserve">the questionnaire will be checked for clarity.</w:t>
      </w:r>
    </w:p>
    <w:p>
      <w:pPr>
        <w:pStyle w:val="Compact"/>
        <w:numPr>
          <w:ilvl w:val="0"/>
          <w:numId w:val="1030"/>
        </w:numPr>
      </w:pPr>
      <w:r>
        <w:t xml:space="preserve">the electronic survey will undergo technical testing;</w:t>
      </w:r>
    </w:p>
    <w:p>
      <w:pPr>
        <w:pStyle w:val="Compact"/>
        <w:numPr>
          <w:ilvl w:val="0"/>
          <w:numId w:val="1030"/>
        </w:numPr>
      </w:pPr>
      <w:r>
        <w:t xml:space="preserve">pilot testing will be conducted with approximately five individuals representative of the intended panel. Pilot testing will evaluate comprehensibility, ambiguity, questionnaire length, technical functionality, and acceptability. Pilot participants will not be included in the final panel. The results of the pilot testing will be documented and modifications made.</w:t>
      </w:r>
    </w:p>
    <w:p>
      <w:pPr>
        <w:pStyle w:val="FirstParagraph"/>
      </w:pPr>
      <w:r>
        <w:t xml:space="preserve">The Delphi process will be documented sufficiently to permit reconstruction of:</w:t>
      </w:r>
    </w:p>
    <w:p>
      <w:pPr>
        <w:pStyle w:val="Compact"/>
        <w:numPr>
          <w:ilvl w:val="0"/>
          <w:numId w:val="1031"/>
        </w:numPr>
      </w:pPr>
      <w:r>
        <w:t xml:space="preserve">the initial item sources;</w:t>
      </w:r>
    </w:p>
    <w:p>
      <w:pPr>
        <w:pStyle w:val="Compact"/>
        <w:numPr>
          <w:ilvl w:val="0"/>
          <w:numId w:val="1031"/>
        </w:numPr>
      </w:pPr>
      <w:r>
        <w:t xml:space="preserve">item revisions;</w:t>
      </w:r>
    </w:p>
    <w:p>
      <w:pPr>
        <w:pStyle w:val="Compact"/>
        <w:numPr>
          <w:ilvl w:val="0"/>
          <w:numId w:val="1031"/>
        </w:numPr>
      </w:pPr>
      <w:r>
        <w:t xml:space="preserve">panel recruitment;</w:t>
      </w:r>
    </w:p>
    <w:p>
      <w:pPr>
        <w:pStyle w:val="Compact"/>
        <w:numPr>
          <w:ilvl w:val="0"/>
          <w:numId w:val="1031"/>
        </w:numPr>
      </w:pPr>
      <w:r>
        <w:t xml:space="preserve">response rates;</w:t>
      </w:r>
    </w:p>
    <w:p>
      <w:pPr>
        <w:pStyle w:val="Compact"/>
        <w:numPr>
          <w:ilvl w:val="0"/>
          <w:numId w:val="1031"/>
        </w:numPr>
      </w:pPr>
      <w:r>
        <w:t xml:space="preserve">consensus decisions;</w:t>
      </w:r>
    </w:p>
    <w:p>
      <w:pPr>
        <w:pStyle w:val="Compact"/>
        <w:numPr>
          <w:ilvl w:val="0"/>
          <w:numId w:val="1031"/>
        </w:numPr>
      </w:pPr>
      <w:r>
        <w:t xml:space="preserve">feedback provided;</w:t>
      </w:r>
    </w:p>
    <w:p>
      <w:pPr>
        <w:pStyle w:val="Compact"/>
        <w:numPr>
          <w:ilvl w:val="0"/>
          <w:numId w:val="1031"/>
        </w:numPr>
      </w:pPr>
      <w:r>
        <w:t xml:space="preserve">attrition;</w:t>
      </w:r>
    </w:p>
    <w:p>
      <w:pPr>
        <w:pStyle w:val="Compact"/>
        <w:numPr>
          <w:ilvl w:val="0"/>
          <w:numId w:val="1031"/>
        </w:numPr>
      </w:pPr>
      <w:r>
        <w:t xml:space="preserve">and final item disposition.</w:t>
      </w:r>
    </w:p>
    <w:bookmarkEnd w:id="77"/>
    <w:bookmarkStart w:id="78" w:name="expected-outputs"/>
    <w:p>
      <w:pPr>
        <w:pStyle w:val="Heading1"/>
      </w:pPr>
      <w:r>
        <w:t xml:space="preserve">Expected Outputs</w:t>
      </w:r>
    </w:p>
    <w:p>
      <w:pPr>
        <w:pStyle w:val="FirstParagraph"/>
      </w:pPr>
      <w:r>
        <w:t xml:space="preserve">The study will produce:</w:t>
      </w:r>
    </w:p>
    <w:p>
      <w:pPr>
        <w:pStyle w:val="Compact"/>
        <w:numPr>
          <w:ilvl w:val="0"/>
          <w:numId w:val="1032"/>
        </w:numPr>
      </w:pPr>
      <w:r>
        <w:t xml:space="preserve">a consensus-based list of major perceived barriers to valid, high-value medical research among early-career researchers in Egypt;</w:t>
      </w:r>
    </w:p>
    <w:p>
      <w:pPr>
        <w:pStyle w:val="Compact"/>
        <w:numPr>
          <w:ilvl w:val="0"/>
          <w:numId w:val="1032"/>
        </w:numPr>
      </w:pPr>
      <w:r>
        <w:t xml:space="preserve">a classification of barriers by perceived importance and modifiability;</w:t>
      </w:r>
    </w:p>
    <w:p>
      <w:pPr>
        <w:pStyle w:val="Compact"/>
        <w:numPr>
          <w:ilvl w:val="0"/>
          <w:numId w:val="1032"/>
        </w:numPr>
      </w:pPr>
      <w:r>
        <w:t xml:space="preserve">a prioritized list of feasible interventions;</w:t>
      </w:r>
    </w:p>
    <w:p>
      <w:pPr>
        <w:pStyle w:val="Compact"/>
        <w:numPr>
          <w:ilvl w:val="0"/>
          <w:numId w:val="1032"/>
        </w:numPr>
      </w:pPr>
      <w:r>
        <w:t xml:space="preserve">a multilevel intervention matrix;</w:t>
      </w:r>
    </w:p>
    <w:p>
      <w:pPr>
        <w:pStyle w:val="Compact"/>
        <w:numPr>
          <w:ilvl w:val="0"/>
          <w:numId w:val="1032"/>
        </w:numPr>
      </w:pPr>
      <w:r>
        <w:t xml:space="preserve">identification of persistent disagreement and stakeholder-group divergence; and</w:t>
      </w:r>
    </w:p>
    <w:p>
      <w:pPr>
        <w:pStyle w:val="Compact"/>
        <w:numPr>
          <w:ilvl w:val="0"/>
          <w:numId w:val="1032"/>
        </w:numPr>
      </w:pPr>
      <w:r>
        <w:t xml:space="preserve">an actionable framework for research-capacity development.</w:t>
      </w:r>
    </w:p>
    <w:p>
      <w:pPr>
        <w:pStyle w:val="FirstParagraph"/>
      </w:pPr>
      <w:r>
        <w:t xml:space="preserve">The final framework will be organized across: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Department/institution</w:t>
            </w:r>
          </w:p>
        </w:tc>
        <w:tc>
          <w:tcPr/>
          <w:p>
            <w:pPr>
              <w:pStyle w:val="Compact"/>
            </w:pPr>
            <w:r>
              <w:t xml:space="preserve">Protected research time, research support units, data access, statistical consultation</w:t>
            </w:r>
          </w:p>
        </w:tc>
      </w:tr>
      <w:tr>
        <w:tc>
          <w:tcPr/>
          <w:p>
            <w:pPr>
              <w:pStyle w:val="Compact"/>
            </w:pPr>
            <w:r>
              <w:t xml:space="preserve">University/teaching hospital</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p>
      <w:pPr>
        <w:pStyle w:val="BodyText"/>
      </w:pPr>
      <w:r>
        <w:t xml:space="preserve">The framework will represent</w:t>
      </w:r>
      <w:r>
        <w:t xml:space="preserve"> </w:t>
      </w:r>
      <w:r>
        <w:rPr>
          <w:b/>
          <w:bCs/>
        </w:rPr>
        <w:t xml:space="preserve">consensus priorities</w:t>
      </w:r>
      <w:r>
        <w:t xml:space="preserve">, not empirically proven causal interventions. Implementation and effectiveness of individual interventions will require subsequent evaluation.</w:t>
      </w:r>
    </w:p>
    <w:bookmarkEnd w:id="78"/>
    <w:bookmarkStart w:id="79" w:name="funding-and-sponsorship"/>
    <w:p>
      <w:pPr>
        <w:pStyle w:val="Heading1"/>
      </w:pPr>
      <w:r>
        <w:t xml:space="preserve">Funding and Sponsorship</w:t>
      </w:r>
    </w:p>
    <w:p>
      <w:pPr>
        <w:pStyle w:val="FirstParagraph"/>
      </w:pPr>
      <w:r>
        <w:t xml:space="preserve">The study is investigator-initiated and unfunded.</w:t>
      </w:r>
    </w:p>
    <w:bookmarkEnd w:id="79"/>
    <w:bookmarkStart w:id="80" w:name="data-availability-and-open-science"/>
    <w:p>
      <w:pPr>
        <w:pStyle w:val="Heading1"/>
      </w:pPr>
      <w:r>
        <w:t xml:space="preserve">Data Availability and Open Science</w:t>
      </w:r>
    </w:p>
    <w:p>
      <w:pPr>
        <w:pStyle w:val="FirstParagraph"/>
      </w:pPr>
      <w:r>
        <w:t xml:space="preserve">The final protocol will be made publicly accessible in OSF.</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bookmarkEnd w:id="80"/>
    <w:bookmarkStart w:id="81" w:name="stakeholder-validation"/>
    <w:p>
      <w:pPr>
        <w:pStyle w:val="Heading1"/>
      </w:pPr>
      <w:r>
        <w:t xml:space="preserve">Stakeholder Validation</w:t>
      </w:r>
    </w:p>
    <w:p>
      <w:pPr>
        <w:pStyle w:val="FirstParagraph"/>
      </w:pPr>
      <w:r>
        <w:t xml:space="preserve">After completion of the Delphi rounds, a stakeholder validation workshop may be convened to examine the practical interpretation and implementation implications of the consensus findings.</w:t>
      </w:r>
    </w:p>
    <w:p>
      <w:pPr>
        <w:pStyle w:val="BodyText"/>
      </w:pPr>
      <w:r>
        <w:t xml:space="preserve">Participation in the validation workshop will be voluntary and will require separate invitation and consent.</w:t>
      </w:r>
    </w:p>
    <w:p>
      <w:pPr>
        <w:pStyle w:val="BodyText"/>
      </w:pPr>
      <w:r>
        <w:t xml:space="preserve">The workshop will not be used to alter the predefined Delphi consensus classifications. Its purpose will be to:</w:t>
      </w:r>
    </w:p>
    <w:p>
      <w:pPr>
        <w:pStyle w:val="Compact"/>
        <w:numPr>
          <w:ilvl w:val="0"/>
          <w:numId w:val="1033"/>
        </w:numPr>
      </w:pPr>
      <w:r>
        <w:t xml:space="preserve">assess whether the final framework is understandable and practically useful;</w:t>
      </w:r>
    </w:p>
    <w:p>
      <w:pPr>
        <w:pStyle w:val="Compact"/>
        <w:numPr>
          <w:ilvl w:val="0"/>
          <w:numId w:val="1033"/>
        </w:numPr>
      </w:pPr>
      <w:r>
        <w:t xml:space="preserve">identify implementation considerations;</w:t>
      </w:r>
    </w:p>
    <w:p>
      <w:pPr>
        <w:pStyle w:val="Compact"/>
        <w:numPr>
          <w:ilvl w:val="0"/>
          <w:numId w:val="1033"/>
        </w:numPr>
      </w:pPr>
      <w:r>
        <w:t xml:space="preserve">identify unintended consequences or feasibility concerns;</w:t>
      </w:r>
    </w:p>
    <w:p>
      <w:pPr>
        <w:pStyle w:val="Compact"/>
        <w:numPr>
          <w:ilvl w:val="0"/>
          <w:numId w:val="1033"/>
        </w:numPr>
      </w:pPr>
      <w:r>
        <w:t xml:space="preserve">identify gaps requiring future empirical research; and</w:t>
      </w:r>
    </w:p>
    <w:p>
      <w:pPr>
        <w:pStyle w:val="Compact"/>
        <w:numPr>
          <w:ilvl w:val="0"/>
          <w:numId w:val="1033"/>
        </w:numPr>
      </w:pPr>
      <w:r>
        <w:t xml:space="preserve">refine the presentation and implementation pathway of the final framework.</w:t>
      </w:r>
    </w:p>
    <w:p>
      <w:pPr>
        <w:pStyle w:val="FirstParagraph"/>
      </w:pPr>
      <w:r>
        <w:t xml:space="preserve">Any changes arising from the validation workshop will be clearly distinguished from the formal Delphi consensus results.</w:t>
      </w:r>
    </w:p>
    <w:bookmarkEnd w:id="81"/>
    <w:bookmarkStart w:id="82" w:name="timeline"/>
    <w:p>
      <w:pPr>
        <w:pStyle w:val="Heading1"/>
      </w:pPr>
      <w:r>
        <w:t xml:space="preserve">Timeline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and pilot testing;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intervention matrix and action framework; steering-group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Arabic and English policy briefs; development of an open research-capacity toolkit; dissemination</w:t>
            </w:r>
          </w:p>
        </w:tc>
      </w:tr>
    </w:tbl>
    <w:bookmarkEnd w:id="82"/>
    <w:bookmarkStart w:id="83" w:name="dissemination"/>
    <w:p>
      <w:pPr>
        <w:pStyle w:val="Heading1"/>
      </w:pPr>
      <w:r>
        <w:t xml:space="preserve">Dissemination</w:t>
      </w:r>
    </w:p>
    <w:p>
      <w:pPr>
        <w:pStyle w:val="FirstParagraph"/>
      </w:pPr>
      <w:r>
        <w:t xml:space="preserve">Findings will be disseminated through:</w:t>
      </w:r>
    </w:p>
    <w:p>
      <w:pPr>
        <w:pStyle w:val="Compact"/>
        <w:numPr>
          <w:ilvl w:val="0"/>
          <w:numId w:val="1034"/>
        </w:numPr>
      </w:pPr>
      <w:r>
        <w:t xml:space="preserve">peer-reviewed scientific publication;</w:t>
      </w:r>
    </w:p>
    <w:p>
      <w:pPr>
        <w:pStyle w:val="Compact"/>
        <w:numPr>
          <w:ilvl w:val="0"/>
          <w:numId w:val="1034"/>
        </w:numPr>
      </w:pPr>
      <w:r>
        <w:t xml:space="preserve">a policy brief; and</w:t>
      </w:r>
    </w:p>
    <w:p>
      <w:pPr>
        <w:pStyle w:val="Compact"/>
        <w:numPr>
          <w:ilvl w:val="0"/>
          <w:numId w:val="1034"/>
        </w:numPr>
      </w:pPr>
      <w:r>
        <w:t xml:space="preserve">stakeholder-focused webinars;</w:t>
      </w:r>
    </w:p>
    <w:p>
      <w:pPr>
        <w:pStyle w:val="FirstParagraph"/>
      </w:pPr>
      <w:r>
        <w:t xml:space="preserve">Dissemination materials will distinguish between:</w:t>
      </w:r>
    </w:p>
    <w:p>
      <w:pPr>
        <w:pStyle w:val="Compact"/>
        <w:numPr>
          <w:ilvl w:val="0"/>
          <w:numId w:val="1035"/>
        </w:numPr>
      </w:pPr>
      <w:r>
        <w:t xml:space="preserve">barriers that achieved consensus;</w:t>
      </w:r>
    </w:p>
    <w:p>
      <w:pPr>
        <w:pStyle w:val="Compact"/>
        <w:numPr>
          <w:ilvl w:val="0"/>
          <w:numId w:val="1035"/>
        </w:numPr>
      </w:pPr>
      <w:r>
        <w:t xml:space="preserve">interventions that achieved consensus as important and feasible;</w:t>
      </w:r>
    </w:p>
    <w:p>
      <w:pPr>
        <w:pStyle w:val="Compact"/>
        <w:numPr>
          <w:ilvl w:val="0"/>
          <w:numId w:val="1035"/>
        </w:numPr>
      </w:pPr>
      <w:r>
        <w:t xml:space="preserve">areas of persistent disagreement; and</w:t>
      </w:r>
    </w:p>
    <w:p>
      <w:pPr>
        <w:pStyle w:val="Compact"/>
        <w:numPr>
          <w:ilvl w:val="0"/>
          <w:numId w:val="1035"/>
        </w:numPr>
      </w:pPr>
      <w:r>
        <w:t xml:space="preserve">recommendations that require subsequent empirical evaluation.</w:t>
      </w:r>
    </w:p>
    <w:bookmarkEnd w:id="83"/>
    <w:bookmarkStart w:id="84" w:name="limitations"/>
    <w:p>
      <w:pPr>
        <w:pStyle w:val="Heading1"/>
      </w:pPr>
      <w:r>
        <w:t xml:space="preserve">Limitations</w:t>
      </w:r>
    </w:p>
    <w:p>
      <w:pPr>
        <w:pStyle w:val="FirstParagraph"/>
      </w:pPr>
      <w:r>
        <w:t xml:space="preserve">Several limitations are anticipated.</w:t>
      </w:r>
    </w:p>
    <w:p>
      <w:pPr>
        <w:pStyle w:val="BodyText"/>
      </w:pPr>
      <w:r>
        <w:t xml:space="preserve">First, Delphi findings represent the judgments of the selected panel and should not be interpreted as prevalence estimates or direct measures of the experiences of all Egyptian early-career researchers.</w:t>
      </w:r>
    </w:p>
    <w:p>
      <w:pPr>
        <w:pStyle w:val="BodyText"/>
      </w:pPr>
      <w:r>
        <w:t xml:space="preserve">Second, purposive sampling and voluntary participation may introduce selection bias.</w:t>
      </w:r>
    </w:p>
    <w:p>
      <w:pPr>
        <w:pStyle w:val="BodyText"/>
      </w:pPr>
      <w:r>
        <w:t xml:space="preserve">Third, consensus does not establish causality. A barrier that is rated highly by the panel may be important, but the Delphi process cannot determine whether changing that barrier would improve research quality.</w:t>
      </w:r>
    </w:p>
    <w:p>
      <w:pPr>
        <w:pStyle w:val="BodyText"/>
      </w:pPr>
      <w:r>
        <w:t xml:space="preserve">Fourth, two rounds may be insufficient for some complex or contested issues. The two-round design is a pragmatic choice intended to balance methodological rigor with participant burden. Items that remain unresolved after Round 2 will be reported as such rather than being forced into consensus.</w:t>
      </w:r>
    </w:p>
    <w:p>
      <w:pPr>
        <w:pStyle w:val="BodyText"/>
      </w:pPr>
      <w:r>
        <w:t xml:space="preserve">Fifth, the panel may contain relatively few representatives of some stakeholder groups, limiting the interpretability of subgroup analyses.</w:t>
      </w:r>
    </w:p>
    <w:p>
      <w:pPr>
        <w:pStyle w:val="BodyText"/>
      </w:pPr>
      <w:r>
        <w:t xml:space="preserve">Finally, the intervention framework generated by this study will require subsequent implementation research and evaluation to determine whether prioritized interventions actually improve research validity, value, efficiency, or dissemination.</w:t>
      </w:r>
    </w:p>
    <w:bookmarkEnd w:id="84"/>
    <w:bookmarkStart w:id="85" w:name="analysis-and-interpretation-framework"/>
    <w:p>
      <w:pPr>
        <w:pStyle w:val="Heading1"/>
      </w:pPr>
      <w:r>
        <w:t xml:space="preserve">Analysis and Interpretation Framework</w:t>
      </w:r>
    </w:p>
    <w:p>
      <w:pPr>
        <w:pStyle w:val="FirstParagraph"/>
      </w:pPr>
      <w:r>
        <w:t xml:space="preserve">The final interpretation will reflect what the panel agrees is important, modifiable, or feasible. It will not be presented as direct evidence of intervention effectiveness. Consensus results will only be interpreted if at least three stakeholder categories are represented and no single stakeholder group contributes more than 60% of all valid responses. The steering group may seek additional recruitment within underrepresented stakeholder categories before closure of recruitment where feasible. If this condition is not met, overall consensus results will be reported descriptively but will be labeled as limited in representativeness and will not be used to support the full multilevel action framework.</w:t>
      </w:r>
    </w:p>
    <w:bookmarkEnd w:id="85"/>
    <w:bookmarkStart w:id="90" w:name="appendices"/>
    <w:p>
      <w:pPr>
        <w:pStyle w:val="Heading1"/>
      </w:pPr>
      <w:r>
        <w:t xml:space="preserve">Appendices</w:t>
      </w:r>
    </w:p>
    <w:bookmarkStart w:id="86" w:name="investigators-and-roles"/>
    <w:p>
      <w:pPr>
        <w:pStyle w:val="Heading2"/>
      </w:pPr>
      <w:r>
        <w:t xml:space="preserve">Investigators and Roles</w:t>
      </w:r>
    </w:p>
    <w:p>
      <w:pPr>
        <w:pStyle w:val="Compact"/>
        <w:numPr>
          <w:ilvl w:val="0"/>
          <w:numId w:val="1036"/>
        </w:numPr>
      </w:pPr>
      <w:r>
        <w:rPr>
          <w:b/>
          <w:bCs/>
        </w:rPr>
        <w:t xml:space="preserve">Principal Investigator (PI):</w:t>
      </w:r>
      <w:r>
        <w:t xml:space="preserve"> </w:t>
      </w:r>
      <w:r>
        <w:t xml:space="preserve">Prof. Ashraf Nabhan (Faculty of Medicine, MTI University).</w:t>
      </w:r>
    </w:p>
    <w:p>
      <w:pPr>
        <w:pStyle w:val="Compact"/>
        <w:numPr>
          <w:ilvl w:val="0"/>
          <w:numId w:val="1036"/>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6"/>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6"/>
        </w:numPr>
      </w:pPr>
      <w:r>
        <w:rPr>
          <w:b/>
          <w:bCs/>
        </w:rPr>
        <w:t xml:space="preserve">Steering Group:</w:t>
      </w:r>
      <w:r>
        <w:t xml:space="preserve"> </w:t>
      </w:r>
      <w:r>
        <w:t xml:space="preserve">Prof. Mohey El-Banna (Dean, Faculty of Medicine, MTI University) will lead a multidisciplinary steering group representing early-career researchers, research supervisors, research-methodology experts, and institutional research leadership. The group will oversee protocol development, item generation, panel recruitment, questionnaire piloting, interpretation of Delphi findings, and preparation of the final priority framework. To protect participant confidentiality, steering-group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86"/>
    <w:bookmarkStart w:id="87" w:name="appendix-1.-proposed-barrier-domains"/>
    <w:p>
      <w:pPr>
        <w:pStyle w:val="Heading2"/>
      </w:pPr>
      <w:r>
        <w:t xml:space="preserve">Appendix 1. Proposed barrier domains</w:t>
      </w:r>
    </w:p>
    <w:p>
      <w:pPr>
        <w:pStyle w:val="Compact"/>
        <w:numPr>
          <w:ilvl w:val="0"/>
          <w:numId w:val="1037"/>
        </w:numPr>
      </w:pPr>
      <w:r>
        <w:t xml:space="preserve">Research question selection and prioritization</w:t>
      </w:r>
    </w:p>
    <w:p>
      <w:pPr>
        <w:pStyle w:val="Compact"/>
        <w:numPr>
          <w:ilvl w:val="0"/>
          <w:numId w:val="1037"/>
        </w:numPr>
      </w:pPr>
      <w:r>
        <w:t xml:space="preserve">Evidence searching and synthesis</w:t>
      </w:r>
    </w:p>
    <w:p>
      <w:pPr>
        <w:pStyle w:val="Compact"/>
        <w:numPr>
          <w:ilvl w:val="0"/>
          <w:numId w:val="1037"/>
        </w:numPr>
      </w:pPr>
      <w:r>
        <w:t xml:space="preserve">Research-methodology knowledge</w:t>
      </w:r>
    </w:p>
    <w:p>
      <w:pPr>
        <w:pStyle w:val="Compact"/>
        <w:numPr>
          <w:ilvl w:val="0"/>
          <w:numId w:val="1037"/>
        </w:numPr>
      </w:pPr>
      <w:r>
        <w:t xml:space="preserve">Biostatistics and data analysis</w:t>
      </w:r>
    </w:p>
    <w:p>
      <w:pPr>
        <w:pStyle w:val="Compact"/>
        <w:numPr>
          <w:ilvl w:val="0"/>
          <w:numId w:val="1037"/>
        </w:numPr>
      </w:pPr>
      <w:r>
        <w:t xml:space="preserve">Scientific writing and reporting</w:t>
      </w:r>
    </w:p>
    <w:p>
      <w:pPr>
        <w:pStyle w:val="Compact"/>
        <w:numPr>
          <w:ilvl w:val="0"/>
          <w:numId w:val="1037"/>
        </w:numPr>
      </w:pPr>
      <w:r>
        <w:t xml:space="preserve">Research supervision and mentorship</w:t>
      </w:r>
    </w:p>
    <w:p>
      <w:pPr>
        <w:pStyle w:val="Compact"/>
        <w:numPr>
          <w:ilvl w:val="0"/>
          <w:numId w:val="1037"/>
        </w:numPr>
      </w:pPr>
      <w:r>
        <w:t xml:space="preserve">Protected research time</w:t>
      </w:r>
    </w:p>
    <w:p>
      <w:pPr>
        <w:pStyle w:val="Compact"/>
        <w:numPr>
          <w:ilvl w:val="0"/>
          <w:numId w:val="1037"/>
        </w:numPr>
      </w:pPr>
      <w:r>
        <w:t xml:space="preserve">Funding and financial resources</w:t>
      </w:r>
    </w:p>
    <w:p>
      <w:pPr>
        <w:pStyle w:val="Compact"/>
        <w:numPr>
          <w:ilvl w:val="0"/>
          <w:numId w:val="1037"/>
        </w:numPr>
      </w:pPr>
      <w:r>
        <w:t xml:space="preserve">Data availability and access</w:t>
      </w:r>
    </w:p>
    <w:p>
      <w:pPr>
        <w:pStyle w:val="Compact"/>
        <w:numPr>
          <w:ilvl w:val="0"/>
          <w:numId w:val="1037"/>
        </w:numPr>
      </w:pPr>
      <w:r>
        <w:t xml:space="preserve">Laboratory and technical infrastructure</w:t>
      </w:r>
    </w:p>
    <w:p>
      <w:pPr>
        <w:pStyle w:val="Compact"/>
        <w:numPr>
          <w:ilvl w:val="0"/>
          <w:numId w:val="1037"/>
        </w:numPr>
      </w:pPr>
      <w:r>
        <w:t xml:space="preserve">Research ethics and administrative processes</w:t>
      </w:r>
    </w:p>
    <w:p>
      <w:pPr>
        <w:pStyle w:val="Compact"/>
        <w:numPr>
          <w:ilvl w:val="0"/>
          <w:numId w:val="1037"/>
        </w:numPr>
      </w:pPr>
      <w:r>
        <w:t xml:space="preserve">Collaboration and multidisciplinary research</w:t>
      </w:r>
    </w:p>
    <w:p>
      <w:pPr>
        <w:pStyle w:val="Compact"/>
        <w:numPr>
          <w:ilvl w:val="0"/>
          <w:numId w:val="1037"/>
        </w:numPr>
      </w:pPr>
      <w:r>
        <w:t xml:space="preserve">Institutional research culture</w:t>
      </w:r>
    </w:p>
    <w:p>
      <w:pPr>
        <w:pStyle w:val="Compact"/>
        <w:numPr>
          <w:ilvl w:val="0"/>
          <w:numId w:val="1037"/>
        </w:numPr>
      </w:pPr>
      <w:r>
        <w:t xml:space="preserve">Academic promotion and incentive structures</w:t>
      </w:r>
    </w:p>
    <w:p>
      <w:pPr>
        <w:pStyle w:val="Compact"/>
        <w:numPr>
          <w:ilvl w:val="0"/>
          <w:numId w:val="1037"/>
        </w:numPr>
      </w:pPr>
      <w:r>
        <w:t xml:space="preserve">Publication and dissemination</w:t>
      </w:r>
    </w:p>
    <w:p>
      <w:pPr>
        <w:pStyle w:val="Compact"/>
        <w:numPr>
          <w:ilvl w:val="0"/>
          <w:numId w:val="1037"/>
        </w:numPr>
      </w:pPr>
      <w:r>
        <w:t xml:space="preserve">Research governance and integrity</w:t>
      </w:r>
    </w:p>
    <w:p>
      <w:pPr>
        <w:pStyle w:val="Compact"/>
        <w:numPr>
          <w:ilvl w:val="0"/>
          <w:numId w:val="1037"/>
        </w:numPr>
      </w:pPr>
      <w:r>
        <w:t xml:space="preserve">National research policy and infrastructure</w:t>
      </w:r>
    </w:p>
    <w:bookmarkEnd w:id="87"/>
    <w:bookmarkStart w:id="88" w:name="Xe0a1a1cef9d9b27590d18caae8a9de54c832d0a"/>
    <w:p>
      <w:pPr>
        <w:pStyle w:val="Heading2"/>
      </w:pPr>
      <w:r>
        <w:t xml:space="preserve">Appendix 2. Proposed intervention domains</w:t>
      </w:r>
    </w:p>
    <w:p>
      <w:pPr>
        <w:pStyle w:val="Compact"/>
        <w:numPr>
          <w:ilvl w:val="0"/>
          <w:numId w:val="1038"/>
        </w:numPr>
      </w:pPr>
      <w:r>
        <w:t xml:space="preserve">Structured research-methodology curricula</w:t>
      </w:r>
    </w:p>
    <w:p>
      <w:pPr>
        <w:pStyle w:val="Compact"/>
        <w:numPr>
          <w:ilvl w:val="0"/>
          <w:numId w:val="1038"/>
        </w:numPr>
      </w:pPr>
      <w:r>
        <w:t xml:space="preserve">Supervisor-development programmes</w:t>
      </w:r>
    </w:p>
    <w:p>
      <w:pPr>
        <w:pStyle w:val="Compact"/>
        <w:numPr>
          <w:ilvl w:val="0"/>
          <w:numId w:val="1038"/>
        </w:numPr>
      </w:pPr>
      <w:r>
        <w:t xml:space="preserve">Formal mentorship systems</w:t>
      </w:r>
    </w:p>
    <w:p>
      <w:pPr>
        <w:pStyle w:val="Compact"/>
        <w:numPr>
          <w:ilvl w:val="0"/>
          <w:numId w:val="1038"/>
        </w:numPr>
      </w:pPr>
      <w:r>
        <w:t xml:space="preserve">Institutional statistical/methodological consultation</w:t>
      </w:r>
    </w:p>
    <w:p>
      <w:pPr>
        <w:pStyle w:val="Compact"/>
        <w:numPr>
          <w:ilvl w:val="0"/>
          <w:numId w:val="1038"/>
        </w:numPr>
      </w:pPr>
      <w:r>
        <w:t xml:space="preserve">Protected research time</w:t>
      </w:r>
    </w:p>
    <w:p>
      <w:pPr>
        <w:pStyle w:val="Compact"/>
        <w:numPr>
          <w:ilvl w:val="0"/>
          <w:numId w:val="1038"/>
        </w:numPr>
      </w:pPr>
      <w:r>
        <w:t xml:space="preserve">Small-grant and seed-funding mechanisms</w:t>
      </w:r>
    </w:p>
    <w:p>
      <w:pPr>
        <w:pStyle w:val="Compact"/>
        <w:numPr>
          <w:ilvl w:val="0"/>
          <w:numId w:val="1038"/>
        </w:numPr>
      </w:pPr>
      <w:r>
        <w:t xml:space="preserve">Shared research infrastructure</w:t>
      </w:r>
    </w:p>
    <w:p>
      <w:pPr>
        <w:pStyle w:val="Compact"/>
        <w:numPr>
          <w:ilvl w:val="0"/>
          <w:numId w:val="1038"/>
        </w:numPr>
      </w:pPr>
      <w:r>
        <w:t xml:space="preserve">Research-support offices</w:t>
      </w:r>
    </w:p>
    <w:p>
      <w:pPr>
        <w:pStyle w:val="Compact"/>
        <w:numPr>
          <w:ilvl w:val="0"/>
          <w:numId w:val="1038"/>
        </w:numPr>
      </w:pPr>
      <w:r>
        <w:t xml:space="preserve">Data-access systems</w:t>
      </w:r>
    </w:p>
    <w:p>
      <w:pPr>
        <w:pStyle w:val="Compact"/>
        <w:numPr>
          <w:ilvl w:val="0"/>
          <w:numId w:val="1038"/>
        </w:numPr>
      </w:pPr>
      <w:r>
        <w:t xml:space="preserve">Research collaboration networks</w:t>
      </w:r>
    </w:p>
    <w:p>
      <w:pPr>
        <w:pStyle w:val="Compact"/>
        <w:numPr>
          <w:ilvl w:val="0"/>
          <w:numId w:val="1038"/>
        </w:numPr>
      </w:pPr>
      <w:r>
        <w:t xml:space="preserve">Research-integrity and reporting training</w:t>
      </w:r>
    </w:p>
    <w:p>
      <w:pPr>
        <w:pStyle w:val="Compact"/>
        <w:numPr>
          <w:ilvl w:val="0"/>
          <w:numId w:val="1038"/>
        </w:numPr>
      </w:pPr>
      <w:r>
        <w:t xml:space="preserve">Incentive and promotion reform</w:t>
      </w:r>
    </w:p>
    <w:p>
      <w:pPr>
        <w:pStyle w:val="Compact"/>
        <w:numPr>
          <w:ilvl w:val="0"/>
          <w:numId w:val="1038"/>
        </w:numPr>
      </w:pPr>
      <w:r>
        <w:t xml:space="preserve">Research-priority setting</w:t>
      </w:r>
    </w:p>
    <w:p>
      <w:pPr>
        <w:pStyle w:val="Compact"/>
        <w:numPr>
          <w:ilvl w:val="0"/>
          <w:numId w:val="1038"/>
        </w:numPr>
      </w:pPr>
      <w:r>
        <w:t xml:space="preserve">National research-capacity programmes</w:t>
      </w:r>
    </w:p>
    <w:p>
      <w:pPr>
        <w:pStyle w:val="Compact"/>
        <w:numPr>
          <w:ilvl w:val="0"/>
          <w:numId w:val="1038"/>
        </w:numPr>
      </w:pPr>
      <w:r>
        <w:t xml:space="preserve">Mechanisms for dissemination and uptake of research findings</w:t>
      </w:r>
    </w:p>
    <w:bookmarkEnd w:id="88"/>
    <w:bookmarkStart w:id="89" w:name="X4c722202d6367c528c2bccc24c524140be283eb"/>
    <w:p>
      <w:pPr>
        <w:pStyle w:val="Heading2"/>
      </w:pPr>
      <w:r>
        <w:t xml:space="preserve">Appendix 3. Core Delphi reporting dataset</w:t>
      </w:r>
    </w:p>
    <w:p>
      <w:pPr>
        <w:pStyle w:val="FirstParagraph"/>
      </w:pPr>
      <w:r>
        <w:t xml:space="preserve">The research team will maintain a study-level audit trail containing:</w:t>
      </w:r>
    </w:p>
    <w:p>
      <w:pPr>
        <w:pStyle w:val="Compact"/>
        <w:numPr>
          <w:ilvl w:val="0"/>
          <w:numId w:val="1039"/>
        </w:numPr>
      </w:pPr>
      <w:r>
        <w:t xml:space="preserve">protocol version;</w:t>
      </w:r>
    </w:p>
    <w:p>
      <w:pPr>
        <w:pStyle w:val="Compact"/>
        <w:numPr>
          <w:ilvl w:val="0"/>
          <w:numId w:val="1039"/>
        </w:numPr>
      </w:pPr>
      <w:r>
        <w:t xml:space="preserve">item wording and revisions;</w:t>
      </w:r>
    </w:p>
    <w:p>
      <w:pPr>
        <w:pStyle w:val="Compact"/>
        <w:numPr>
          <w:ilvl w:val="0"/>
          <w:numId w:val="1039"/>
        </w:numPr>
      </w:pPr>
      <w:r>
        <w:t xml:space="preserve">reason for each material item change;</w:t>
      </w:r>
    </w:p>
    <w:p>
      <w:pPr>
        <w:pStyle w:val="Compact"/>
        <w:numPr>
          <w:ilvl w:val="0"/>
          <w:numId w:val="1039"/>
        </w:numPr>
      </w:pPr>
      <w:r>
        <w:t xml:space="preserve">participant recruitment numbers;</w:t>
      </w:r>
    </w:p>
    <w:p>
      <w:pPr>
        <w:pStyle w:val="Compact"/>
        <w:numPr>
          <w:ilvl w:val="0"/>
          <w:numId w:val="1039"/>
        </w:numPr>
      </w:pPr>
      <w:r>
        <w:t xml:space="preserve">stakeholder category;</w:t>
      </w:r>
    </w:p>
    <w:p>
      <w:pPr>
        <w:pStyle w:val="Compact"/>
        <w:numPr>
          <w:ilvl w:val="0"/>
          <w:numId w:val="1039"/>
        </w:numPr>
      </w:pPr>
      <w:r>
        <w:t xml:space="preserve">round-specific response rates;</w:t>
      </w:r>
    </w:p>
    <w:p>
      <w:pPr>
        <w:pStyle w:val="Compact"/>
        <w:numPr>
          <w:ilvl w:val="0"/>
          <w:numId w:val="1039"/>
        </w:numPr>
      </w:pPr>
      <w:r>
        <w:t xml:space="preserve">item-level response distributions;</w:t>
      </w:r>
    </w:p>
    <w:p>
      <w:pPr>
        <w:pStyle w:val="Compact"/>
        <w:numPr>
          <w:ilvl w:val="0"/>
          <w:numId w:val="1039"/>
        </w:numPr>
      </w:pPr>
      <w:r>
        <w:t xml:space="preserve">median and IQR;</w:t>
      </w:r>
    </w:p>
    <w:p>
      <w:pPr>
        <w:pStyle w:val="Compact"/>
        <w:numPr>
          <w:ilvl w:val="0"/>
          <w:numId w:val="1039"/>
        </w:numPr>
      </w:pPr>
      <w:r>
        <w:t xml:space="preserve">consensus classification;</w:t>
      </w:r>
    </w:p>
    <w:p>
      <w:pPr>
        <w:pStyle w:val="Compact"/>
        <w:numPr>
          <w:ilvl w:val="0"/>
          <w:numId w:val="1039"/>
        </w:numPr>
      </w:pPr>
      <w:r>
        <w:t xml:space="preserve">feedback provided to participants;</w:t>
      </w:r>
    </w:p>
    <w:p>
      <w:pPr>
        <w:pStyle w:val="Compact"/>
        <w:numPr>
          <w:ilvl w:val="0"/>
          <w:numId w:val="1039"/>
        </w:numPr>
      </w:pPr>
      <w:r>
        <w:t xml:space="preserve">Round-2 disposition;</w:t>
      </w:r>
    </w:p>
    <w:p>
      <w:pPr>
        <w:pStyle w:val="Compact"/>
        <w:numPr>
          <w:ilvl w:val="0"/>
          <w:numId w:val="1039"/>
        </w:numPr>
      </w:pPr>
      <w:r>
        <w:t xml:space="preserve">subgroup findings;</w:t>
      </w:r>
    </w:p>
    <w:p>
      <w:pPr>
        <w:pStyle w:val="Compact"/>
        <w:numPr>
          <w:ilvl w:val="0"/>
          <w:numId w:val="1039"/>
        </w:numPr>
      </w:pPr>
      <w:r>
        <w:t xml:space="preserve">and documented protocol deviations.</w:t>
      </w:r>
    </w:p>
    <w:bookmarkEnd w:id="89"/>
    <w:bookmarkEnd w:id="90"/>
    <w:bookmarkStart w:id="91" w:name="reporting-standards"/>
    <w:p>
      <w:pPr>
        <w:pStyle w:val="Heading1"/>
      </w:pPr>
      <w:r>
        <w:t xml:space="preserve">Reporting Standards</w:t>
      </w:r>
    </w:p>
    <w:p>
      <w:pPr>
        <w:pStyle w:val="FirstParagraph"/>
      </w:pPr>
      <w:r>
        <w:t xml:space="preserve">This protocol is prospectively registered on the Open Science Framework before participant recruitment and data collection begin. The registration identifier will be added to the final protocol and participant-facing materials where appropriate.</w:t>
      </w:r>
    </w:p>
    <w:p>
      <w:pPr>
        <w:pStyle w:val="BodyText"/>
      </w:pPr>
      <w:r>
        <w:t xml:space="preserve">The completed study will be reported in accordance with the ACCORD guidance for reporting of modified Delphi studies.</w:t>
      </w:r>
      <w:r>
        <w:t xml:space="preserve"> </w:t>
      </w:r>
      <w:r>
        <w:t xml:space="preserve">[10]</w:t>
      </w:r>
    </w:p>
    <w:bookmarkEnd w:id="91"/>
    <w:bookmarkStart w:id="113" w:name="references"/>
    <w:p>
      <w:pPr>
        <w:pStyle w:val="Heading1"/>
      </w:pPr>
      <w:r>
        <w:t xml:space="preserve">References</w:t>
      </w:r>
    </w:p>
    <w:bookmarkStart w:id="112" w:name="refs"/>
    <w:bookmarkStart w:id="93" w:name="ref-chalmers2009"/>
    <w:p>
      <w:pPr>
        <w:pStyle w:val="Bibliography"/>
      </w:pPr>
      <w:r>
        <w:t xml:space="preserve">1. Chalmers I, Glasziou P.</w:t>
      </w:r>
      <w:r>
        <w:t xml:space="preserve"> </w:t>
      </w:r>
      <w:hyperlink r:id="rId92">
        <w:r>
          <w:rPr>
            <w:rStyle w:val="Hyperlink"/>
          </w:rPr>
          <w:t xml:space="preserve">Avoidable waste in the production and reporting of research evidence</w:t>
        </w:r>
      </w:hyperlink>
      <w:r>
        <w:t xml:space="preserve">. The Lancet. 2009;374:86–9.</w:t>
      </w:r>
    </w:p>
    <w:bookmarkEnd w:id="93"/>
    <w:bookmarkStart w:id="95" w:name="ref-glaziou2018"/>
    <w:p>
      <w:pPr>
        <w:pStyle w:val="Bibliography"/>
      </w:pPr>
      <w:r>
        <w:t xml:space="preserve">2. Glasziou P, Chalmers I.</w:t>
      </w:r>
      <w:r>
        <w:t xml:space="preserve"> </w:t>
      </w:r>
      <w:hyperlink r:id="rId94">
        <w:r>
          <w:rPr>
            <w:rStyle w:val="Hyperlink"/>
          </w:rPr>
          <w:t xml:space="preserve">Research waste is still a scandal–an essay by paul glasziou and iain chalmers</w:t>
        </w:r>
      </w:hyperlink>
      <w:r>
        <w:t xml:space="preserve">. BMJ. 2018;363:k4645.</w:t>
      </w:r>
    </w:p>
    <w:bookmarkEnd w:id="95"/>
    <w:bookmarkStart w:id="97" w:name="ref-moher2016"/>
    <w:p>
      <w:pPr>
        <w:pStyle w:val="Bibliography"/>
      </w:pPr>
      <w:r>
        <w:t xml:space="preserve">3. Moher D, Glasziou P, Chalmers I, Nasser M, Bossuyt PMM, Korevaar DA, et al.</w:t>
      </w:r>
      <w:r>
        <w:t xml:space="preserve"> </w:t>
      </w:r>
      <w:hyperlink r:id="rId96">
        <w:r>
          <w:rPr>
            <w:rStyle w:val="Hyperlink"/>
          </w:rPr>
          <w:t xml:space="preserve">Increasing value and reducing waste in biomedical research: Who’s listening?</w:t>
        </w:r>
      </w:hyperlink>
      <w:r>
        <w:t xml:space="preserve"> The Lancet. 2016;387:1573–86.</w:t>
      </w:r>
    </w:p>
    <w:bookmarkEnd w:id="97"/>
    <w:bookmarkStart w:id="99"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98">
        <w:r>
          <w:rPr>
            <w:rStyle w:val="Hyperlink"/>
          </w:rPr>
          <w:t xml:space="preserve">http://dx.doi.org/10.1016/S0140-6736(13)62229-1</w:t>
        </w:r>
      </w:hyperlink>
    </w:p>
    <w:bookmarkEnd w:id="99"/>
    <w:bookmarkStart w:id="101"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100">
        <w:r>
          <w:rPr>
            <w:rStyle w:val="Hyperlink"/>
          </w:rPr>
          <w:t xml:space="preserve">http://dx.doi.org/10.1016/S0140-6736(13)62227-8</w:t>
        </w:r>
      </w:hyperlink>
    </w:p>
    <w:bookmarkEnd w:id="101"/>
    <w:bookmarkStart w:id="103"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102">
        <w:r>
          <w:rPr>
            <w:rStyle w:val="Hyperlink"/>
          </w:rPr>
          <w:t xml:space="preserve">http://dx.doi.org/10.1016/S0140-6736(13)62297-7</w:t>
        </w:r>
      </w:hyperlink>
    </w:p>
    <w:bookmarkEnd w:id="103"/>
    <w:bookmarkStart w:id="105" w:name="ref-jorm2025"/>
    <w:p>
      <w:pPr>
        <w:pStyle w:val="Bibliography"/>
      </w:pPr>
      <w:r>
        <w:t xml:space="preserve">7. Jorm A. Using the delphi method to establish expert consensus [Internet]. Springer Nature Singapore; 2025. Available from:</w:t>
      </w:r>
      <w:r>
        <w:t xml:space="preserve"> </w:t>
      </w:r>
      <w:hyperlink r:id="rId104">
        <w:r>
          <w:rPr>
            <w:rStyle w:val="Hyperlink"/>
          </w:rPr>
          <w:t xml:space="preserve">http://dx.doi.org/10.1007/978-981-96-8357-4</w:t>
        </w:r>
      </w:hyperlink>
    </w:p>
    <w:bookmarkEnd w:id="105"/>
    <w:bookmarkStart w:id="107" w:name="ref-RStudio2026"/>
    <w:p>
      <w:pPr>
        <w:pStyle w:val="Bibliography"/>
      </w:pPr>
      <w:r>
        <w:t xml:space="preserve">8. Posit Software, PBC. RStudio: Integrated development environment for r [Internet]. Boston, MA: Posit Software, PBC; 2026. Available from:</w:t>
      </w:r>
      <w:r>
        <w:t xml:space="preserve"> </w:t>
      </w:r>
      <w:hyperlink r:id="rId106">
        <w:r>
          <w:rPr>
            <w:rStyle w:val="Hyperlink"/>
          </w:rPr>
          <w:t xml:space="preserve">https://posit.co/products/open-source/rstudio/</w:t>
        </w:r>
      </w:hyperlink>
    </w:p>
    <w:bookmarkEnd w:id="107"/>
    <w:bookmarkStart w:id="109" w:name="ref-RCoreTeam2026"/>
    <w:p>
      <w:pPr>
        <w:pStyle w:val="Bibliography"/>
      </w:pPr>
      <w:r>
        <w:t xml:space="preserve">9. R Core Team. R: A language and environment for statistical computing [Internet]. Vienna, Austria: R Foundation for Statistical Computing; 2026. Available from:</w:t>
      </w:r>
      <w:r>
        <w:t xml:space="preserve"> </w:t>
      </w:r>
      <w:hyperlink r:id="rId108">
        <w:r>
          <w:rPr>
            <w:rStyle w:val="Hyperlink"/>
          </w:rPr>
          <w:t xml:space="preserve">https://www.R-project.org/</w:t>
        </w:r>
      </w:hyperlink>
    </w:p>
    <w:bookmarkEnd w:id="109"/>
    <w:bookmarkStart w:id="111" w:name="ref-gattrell2024"/>
    <w:p>
      <w:pPr>
        <w:pStyle w:val="Bibliography"/>
      </w:pPr>
      <w:r>
        <w:t xml:space="preserve">10. Gattrell WT, Logullo P, Zuuren EJ van, Price A, Hughes EL, Blazey P, et al.</w:t>
      </w:r>
      <w:r>
        <w:t xml:space="preserve"> </w:t>
      </w:r>
      <w:hyperlink r:id="rId110">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111"/>
    <w:bookmarkEnd w:id="112"/>
    <w:bookmarkEnd w:id="113"/>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104" Target="http://dx.doi.org/10.1007/978-981-96-8357-4" TargetMode="External" /><Relationship Type="http://schemas.openxmlformats.org/officeDocument/2006/relationships/hyperlink" Id="rId100" Target="http://dx.doi.org/10.1016/S0140-6736(13)62227-8" TargetMode="External" /><Relationship Type="http://schemas.openxmlformats.org/officeDocument/2006/relationships/hyperlink" Id="rId98" Target="http://dx.doi.org/10.1016/S0140-6736(13)62229-1" TargetMode="External" /><Relationship Type="http://schemas.openxmlformats.org/officeDocument/2006/relationships/hyperlink" Id="rId102" Target="http://dx.doi.org/10.1016/S0140-6736(13)62297-7" TargetMode="External" /><Relationship Type="http://schemas.openxmlformats.org/officeDocument/2006/relationships/hyperlink" Id="rId92" Target="https://doi.org/10.1016/S0140-6736(09)60329-9" TargetMode="External" /><Relationship Type="http://schemas.openxmlformats.org/officeDocument/2006/relationships/hyperlink" Id="rId96" Target="https://doi.org/10.1016/S0140-6736(15)00307-4" TargetMode="External" /><Relationship Type="http://schemas.openxmlformats.org/officeDocument/2006/relationships/hyperlink" Id="rId94" Target="https://doi.org/10.1136/bmj.k4645" TargetMode="External" /><Relationship Type="http://schemas.openxmlformats.org/officeDocument/2006/relationships/hyperlink" Id="rId110" Target="https://doi.org/10.1371/journal.pmed.1004326" TargetMode="External" /><Relationship Type="http://schemas.openxmlformats.org/officeDocument/2006/relationships/hyperlink" Id="rId106" Target="https://posit.co/products/open-source/rstudio/" TargetMode="External" /><Relationship Type="http://schemas.openxmlformats.org/officeDocument/2006/relationships/hyperlink" Id="rId10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4" Target="http://dx.doi.org/10.1007/978-981-96-8357-4" TargetMode="External" /><Relationship Type="http://schemas.openxmlformats.org/officeDocument/2006/relationships/hyperlink" Id="rId100" Target="http://dx.doi.org/10.1016/S0140-6736(13)62227-8" TargetMode="External" /><Relationship Type="http://schemas.openxmlformats.org/officeDocument/2006/relationships/hyperlink" Id="rId98" Target="http://dx.doi.org/10.1016/S0140-6736(13)62229-1" TargetMode="External" /><Relationship Type="http://schemas.openxmlformats.org/officeDocument/2006/relationships/hyperlink" Id="rId102" Target="http://dx.doi.org/10.1016/S0140-6736(13)62297-7" TargetMode="External" /><Relationship Type="http://schemas.openxmlformats.org/officeDocument/2006/relationships/hyperlink" Id="rId92" Target="https://doi.org/10.1016/S0140-6736(09)60329-9" TargetMode="External" /><Relationship Type="http://schemas.openxmlformats.org/officeDocument/2006/relationships/hyperlink" Id="rId96" Target="https://doi.org/10.1016/S0140-6736(15)00307-4" TargetMode="External" /><Relationship Type="http://schemas.openxmlformats.org/officeDocument/2006/relationships/hyperlink" Id="rId94" Target="https://doi.org/10.1136/bmj.k4645" TargetMode="External" /><Relationship Type="http://schemas.openxmlformats.org/officeDocument/2006/relationships/hyperlink" Id="rId110" Target="https://doi.org/10.1371/journal.pmed.1004326" TargetMode="External" /><Relationship Type="http://schemas.openxmlformats.org/officeDocument/2006/relationships/hyperlink" Id="rId106" Target="https://posit.co/products/open-source/rstudio/" TargetMode="External" /><Relationship Type="http://schemas.openxmlformats.org/officeDocument/2006/relationships/hyperlink" Id="rId10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2026-10-08T11:21:59Z</dcterms:created>
  <dcterms:modified xsi:type="dcterms:W3CDTF">2026-10-08T11:21:59Z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