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9" w:name="protocol-summary"/>
    <w:p>
      <w:pPr>
        <w:pStyle w:val="Heading1"/>
      </w:pPr>
      <w:r>
        <w:t xml:space="preserve">Protocol summary</w:t>
      </w:r>
    </w:p>
    <w:p>
      <w:pPr>
        <w:numPr>
          <w:ilvl w:val="0"/>
          <w:numId w:val="1001"/>
        </w:numPr>
      </w:pPr>
      <w:r>
        <w:t xml:space="preserve">Protocol version: 1.0</w:t>
      </w:r>
    </w:p>
    <w:p>
      <w:pPr>
        <w:numPr>
          <w:ilvl w:val="0"/>
          <w:numId w:val="1001"/>
        </w:numPr>
      </w:pPr>
      <w:r>
        <w:t xml:space="preserve">Protocol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9"/>
    <w:bookmarkStart w:id="10"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10"/>
    <w:bookmarkStart w:id="11"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11"/>
    <w:bookmarkStart w:id="14" w:name="objectives"/>
    <w:p>
      <w:pPr>
        <w:pStyle w:val="Heading1"/>
      </w:pPr>
      <w:r>
        <w:t xml:space="preserve">Objectives</w:t>
      </w:r>
    </w:p>
    <w:bookmarkStart w:id="12"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12"/>
    <w:bookmarkStart w:id="13"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13"/>
    <w:bookmarkEnd w:id="14"/>
    <w:bookmarkStart w:id="15"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15"/>
    <w:bookmarkStart w:id="16"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16"/>
    <w:bookmarkStart w:id="17"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17"/>
    <w:bookmarkStart w:id="18"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Greater Cairo; Alexandria and the Delta; and Upper Egypt.</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18"/>
    <w:bookmarkStart w:id="27" w:name="participants-and-eligibility"/>
    <w:p>
      <w:pPr>
        <w:pStyle w:val="Heading1"/>
      </w:pPr>
      <w:r>
        <w:t xml:space="preserve">Participants and Eligibility</w:t>
      </w:r>
    </w:p>
    <w:bookmarkStart w:id="25" w:name="delphi-panel-eligibility"/>
    <w:p>
      <w:pPr>
        <w:pStyle w:val="Heading2"/>
      </w:pPr>
      <w:r>
        <w:t xml:space="preserve">Delphi panel eligibility</w:t>
      </w:r>
    </w:p>
    <w:p>
      <w:pPr>
        <w:pStyle w:val="FirstParagraph"/>
      </w:pPr>
      <w:r>
        <w:t xml:space="preserve">Participants must meet at least one of the following criteria:</w:t>
      </w:r>
    </w:p>
    <w:bookmarkStart w:id="19"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19"/>
    <w:bookmarkStart w:id="20"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20"/>
    <w:bookmarkStart w:id="21"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21"/>
    <w:bookmarkStart w:id="22"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office, research governance body, or comparable institutional structure.</w:t>
      </w:r>
    </w:p>
    <w:bookmarkEnd w:id="22"/>
    <w:bookmarkStart w:id="23" w:name="X756336328c3408203c750c6b7b015218c237dc3"/>
    <w:p>
      <w:pPr>
        <w:pStyle w:val="Heading3"/>
      </w:pPr>
      <w:r>
        <w:t xml:space="preserve">Funders, policymakers, and research administrators</w:t>
      </w:r>
    </w:p>
    <w:p>
      <w:pPr>
        <w:pStyle w:val="Compact"/>
        <w:numPr>
          <w:ilvl w:val="0"/>
          <w:numId w:val="1015"/>
        </w:numPr>
      </w:pPr>
      <w:r>
        <w:t xml:space="preserve">Have professional responsibility or substantial experience in medical research funding, administration, policy, capacity building, or research governance.</w:t>
      </w:r>
    </w:p>
    <w:bookmarkEnd w:id="23"/>
    <w:bookmarkStart w:id="24" w:name="health-system-representatives"/>
    <w:p>
      <w:pPr>
        <w:pStyle w:val="Heading3"/>
      </w:pPr>
      <w:r>
        <w:t xml:space="preserve">Health-system representatives</w:t>
      </w:r>
    </w:p>
    <w:p>
      <w:pPr>
        <w:pStyle w:val="Compact"/>
        <w:numPr>
          <w:ilvl w:val="0"/>
          <w:numId w:val="1016"/>
        </w:numPr>
      </w:pPr>
      <w:r>
        <w:t xml:space="preserve">Have a professional role involving health-service research, clinical research infrastructure, research implementation, or health-system decision-making.</w:t>
      </w:r>
    </w:p>
    <w:p>
      <w:pPr>
        <w:pStyle w:val="FirstParagraph"/>
      </w:pPr>
      <w:r>
        <w:t xml:space="preserve">Participants should have sufficient familiarity with the Egyptian research environment to provide informed judgments.</w:t>
      </w:r>
    </w:p>
    <w:bookmarkEnd w:id="24"/>
    <w:bookmarkEnd w:id="25"/>
    <w:bookmarkStart w:id="26" w:name="exclusion-criteria"/>
    <w:p>
      <w:pPr>
        <w:pStyle w:val="Heading2"/>
      </w:pPr>
      <w:r>
        <w:t xml:space="preserve">Exclusion criteria</w:t>
      </w:r>
    </w:p>
    <w:p>
      <w:pPr>
        <w:pStyle w:val="FirstParagraph"/>
      </w:pPr>
      <w:r>
        <w:t xml:space="preserve">Participants will be excluded if they:</w:t>
      </w:r>
    </w:p>
    <w:p>
      <w:pPr>
        <w:pStyle w:val="Compact"/>
        <w:numPr>
          <w:ilvl w:val="0"/>
          <w:numId w:val="1017"/>
        </w:numPr>
      </w:pPr>
      <w:r>
        <w:t xml:space="preserve">cannot provide informed consent;</w:t>
      </w:r>
    </w:p>
    <w:p>
      <w:pPr>
        <w:pStyle w:val="Compact"/>
        <w:numPr>
          <w:ilvl w:val="0"/>
          <w:numId w:val="1017"/>
        </w:numPr>
      </w:pPr>
      <w:r>
        <w:t xml:space="preserve">have insufficient familiarity with medical research in Egypt to complete the Delphi questionnaire meaningfully;</w:t>
      </w:r>
    </w:p>
    <w:p>
      <w:pPr>
        <w:pStyle w:val="Compact"/>
        <w:numPr>
          <w:ilvl w:val="0"/>
          <w:numId w:val="1017"/>
        </w:numPr>
      </w:pPr>
      <w:r>
        <w:t xml:space="preserve">are unable to complete the questionnaire in English or Arabic, depending on the final validated questionnaire language;</w:t>
      </w:r>
    </w:p>
    <w:p>
      <w:pPr>
        <w:pStyle w:val="Compact"/>
        <w:numPr>
          <w:ilvl w:val="0"/>
          <w:numId w:val="1017"/>
        </w:numPr>
      </w:pPr>
      <w:r>
        <w:t xml:space="preserve">participate only in questionnaire piloting and do not meet the final panel eligibility criteria; or</w:t>
      </w:r>
    </w:p>
    <w:p>
      <w:pPr>
        <w:pStyle w:val="Compact"/>
        <w:numPr>
          <w:ilvl w:val="0"/>
          <w:numId w:val="1017"/>
        </w:numPr>
      </w:pPr>
      <w:r>
        <w:t xml:space="preserve">have a direct conflict of interest that the steering group determines would prevent independent participation.</w:t>
      </w:r>
    </w:p>
    <w:bookmarkEnd w:id="26"/>
    <w:bookmarkEnd w:id="27"/>
    <w:bookmarkStart w:id="29"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28"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28"/>
    <w:bookmarkEnd w:id="29"/>
    <w:bookmarkStart w:id="32" w:name="item-generation"/>
    <w:p>
      <w:pPr>
        <w:pStyle w:val="Heading1"/>
      </w:pPr>
      <w:r>
        <w:t xml:space="preserve">Item Generation</w:t>
      </w:r>
    </w:p>
    <w:bookmarkStart w:id="30"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0"/>
    <w:bookmarkStart w:id="31"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8"/>
        </w:numPr>
      </w:pPr>
      <w:r>
        <w:t xml:space="preserve">describe one barrier or intervention;</w:t>
      </w:r>
    </w:p>
    <w:p>
      <w:pPr>
        <w:pStyle w:val="Compact"/>
        <w:numPr>
          <w:ilvl w:val="0"/>
          <w:numId w:val="1018"/>
        </w:numPr>
      </w:pPr>
      <w:r>
        <w:t xml:space="preserve">use neutral, non-accusatory wording;</w:t>
      </w:r>
    </w:p>
    <w:p>
      <w:pPr>
        <w:pStyle w:val="Compact"/>
        <w:numPr>
          <w:ilvl w:val="0"/>
          <w:numId w:val="1018"/>
        </w:numPr>
      </w:pPr>
      <w:r>
        <w:t xml:space="preserve">avoid double-barrelled concepts;</w:t>
      </w:r>
    </w:p>
    <w:p>
      <w:pPr>
        <w:pStyle w:val="Compact"/>
        <w:numPr>
          <w:ilvl w:val="0"/>
          <w:numId w:val="1018"/>
        </w:numPr>
      </w:pPr>
      <w:r>
        <w:t xml:space="preserve">be understandable to participants from different professional backgrounds; and</w:t>
      </w:r>
    </w:p>
    <w:p>
      <w:pPr>
        <w:pStyle w:val="Compact"/>
        <w:numPr>
          <w:ilvl w:val="0"/>
          <w:numId w:val="1018"/>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31"/>
    <w:bookmarkEnd w:id="32"/>
    <w:bookmarkStart w:id="34" w:name="delphi-questionnaire"/>
    <w:p>
      <w:pPr>
        <w:pStyle w:val="Heading1"/>
      </w:pPr>
      <w:r>
        <w:t xml:space="preserve">Delphi Questionnaire</w:t>
      </w:r>
    </w:p>
    <w:p>
      <w:pPr>
        <w:pStyle w:val="FirstParagraph"/>
      </w:pPr>
      <w:r>
        <w:t xml:space="preserve">The questionnaire will be designed as an electronic survey.</w:t>
      </w:r>
    </w:p>
    <w:bookmarkStart w:id="33"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33"/>
    <w:bookmarkEnd w:id="34"/>
    <w:bookmarkStart w:id="35" w:name="delphi-round-1"/>
    <w:p>
      <w:pPr>
        <w:pStyle w:val="Heading1"/>
      </w:pPr>
      <w:r>
        <w:t xml:space="preserve">Delphi Round 1</w:t>
      </w:r>
    </w:p>
    <w:p>
      <w:pPr>
        <w:pStyle w:val="FirstParagraph"/>
      </w:pPr>
      <w:r>
        <w:t xml:space="preserve">Participants will receive:</w:t>
      </w:r>
    </w:p>
    <w:p>
      <w:pPr>
        <w:pStyle w:val="Compact"/>
        <w:numPr>
          <w:ilvl w:val="0"/>
          <w:numId w:val="1019"/>
        </w:numPr>
      </w:pPr>
      <w:r>
        <w:t xml:space="preserve">an information sheet and electronic consent form;</w:t>
      </w:r>
    </w:p>
    <w:p>
      <w:pPr>
        <w:pStyle w:val="Compact"/>
        <w:numPr>
          <w:ilvl w:val="0"/>
          <w:numId w:val="1019"/>
        </w:numPr>
      </w:pPr>
      <w:r>
        <w:t xml:space="preserve">brief instructions explaining the Delphi process;</w:t>
      </w:r>
    </w:p>
    <w:p>
      <w:pPr>
        <w:pStyle w:val="Compact"/>
        <w:numPr>
          <w:ilvl w:val="0"/>
          <w:numId w:val="1019"/>
        </w:numPr>
      </w:pPr>
      <w:r>
        <w:t xml:space="preserve">the candidate barrier items;</w:t>
      </w:r>
    </w:p>
    <w:p>
      <w:pPr>
        <w:pStyle w:val="Compact"/>
        <w:numPr>
          <w:ilvl w:val="0"/>
          <w:numId w:val="1019"/>
        </w:numPr>
      </w:pPr>
      <w:r>
        <w:t xml:space="preserve">importance and modifiability rating scales; and</w:t>
      </w:r>
    </w:p>
    <w:p>
      <w:pPr>
        <w:pStyle w:val="Compact"/>
        <w:numPr>
          <w:ilvl w:val="0"/>
          <w:numId w:val="1019"/>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35"/>
    <w:bookmarkStart w:id="39" w:name="round-1-item-handling"/>
    <w:p>
      <w:pPr>
        <w:pStyle w:val="Heading1"/>
      </w:pPr>
      <w:r>
        <w:t xml:space="preserve">Round 1 Item Handling</w:t>
      </w:r>
    </w:p>
    <w:p>
      <w:pPr>
        <w:pStyle w:val="FirstParagraph"/>
      </w:pPr>
      <w:r>
        <w:t xml:space="preserve">The following rules will be applied before Round 2:</w:t>
      </w:r>
    </w:p>
    <w:bookmarkStart w:id="36" w:name="retain"/>
    <w:p>
      <w:pPr>
        <w:pStyle w:val="Heading3"/>
      </w:pPr>
      <w:r>
        <w:t xml:space="preserve">Retain</w:t>
      </w:r>
    </w:p>
    <w:p>
      <w:pPr>
        <w:pStyle w:val="FirstParagraph"/>
      </w:pPr>
      <w:r>
        <w:t xml:space="preserve">Items meeting the predefined importance-consensus criterion will be retained.</w:t>
      </w:r>
    </w:p>
    <w:bookmarkEnd w:id="36"/>
    <w:bookmarkStart w:id="37"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37"/>
    <w:bookmarkStart w:id="38"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38"/>
    <w:bookmarkEnd w:id="39"/>
    <w:bookmarkStart w:id="40"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20"/>
        </w:numPr>
      </w:pPr>
      <w:r>
        <w:t xml:space="preserve">number of valid responses;</w:t>
      </w:r>
    </w:p>
    <w:p>
      <w:pPr>
        <w:pStyle w:val="Compact"/>
        <w:numPr>
          <w:ilvl w:val="0"/>
          <w:numId w:val="1020"/>
        </w:numPr>
      </w:pPr>
      <w:r>
        <w:t xml:space="preserve">median rating;</w:t>
      </w:r>
    </w:p>
    <w:p>
      <w:pPr>
        <w:pStyle w:val="Compact"/>
        <w:numPr>
          <w:ilvl w:val="0"/>
          <w:numId w:val="1020"/>
        </w:numPr>
      </w:pPr>
      <w:r>
        <w:t xml:space="preserve">interquartile range; and</w:t>
      </w:r>
    </w:p>
    <w:p>
      <w:pPr>
        <w:pStyle w:val="Compact"/>
        <w:numPr>
          <w:ilvl w:val="0"/>
          <w:numId w:val="1020"/>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1"/>
        </w:numPr>
      </w:pPr>
      <w:r>
        <w:rPr>
          <w:b/>
          <w:bCs/>
        </w:rPr>
        <w:t xml:space="preserve">importance/potential impact:</w:t>
      </w:r>
      <w:r>
        <w:t xml:space="preserve"> </w:t>
      </w:r>
      <w:r>
        <w:t xml:space="preserve">1–9;</w:t>
      </w:r>
    </w:p>
    <w:p>
      <w:pPr>
        <w:pStyle w:val="Compact"/>
        <w:numPr>
          <w:ilvl w:val="0"/>
          <w:numId w:val="1021"/>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0"/>
    <w:bookmarkStart w:id="45"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41"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2"/>
        </w:numPr>
      </w:pPr>
      <w:r>
        <w:t xml:space="preserve">median importance rating ≥7;</w:t>
      </w:r>
    </w:p>
    <w:p>
      <w:pPr>
        <w:pStyle w:val="Compact"/>
        <w:numPr>
          <w:ilvl w:val="0"/>
          <w:numId w:val="1022"/>
        </w:numPr>
      </w:pPr>
      <w:r>
        <w:t xml:space="preserve">IQR ≤2; and</w:t>
      </w:r>
    </w:p>
    <w:p>
      <w:pPr>
        <w:pStyle w:val="Compact"/>
        <w:numPr>
          <w:ilvl w:val="0"/>
          <w:numId w:val="1022"/>
        </w:numPr>
      </w:pPr>
      <w:r>
        <w:t xml:space="preserve">≥75% of valid ratings are 7–9.</w:t>
      </w:r>
    </w:p>
    <w:p>
      <w:pPr>
        <w:pStyle w:val="FirstParagraph"/>
      </w:pPr>
      <w:r>
        <w:t xml:space="preserve">Consensus that a barrier is not important will be defined as median ≤3 and ≥75% of ratings between 1 and 3.</w:t>
      </w:r>
    </w:p>
    <w:bookmarkEnd w:id="41"/>
    <w:bookmarkStart w:id="42"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3"/>
        </w:numPr>
      </w:pPr>
      <w:r>
        <w:t xml:space="preserve">median modifiability rating ≥7;</w:t>
      </w:r>
    </w:p>
    <w:p>
      <w:pPr>
        <w:pStyle w:val="Compact"/>
        <w:numPr>
          <w:ilvl w:val="0"/>
          <w:numId w:val="1023"/>
        </w:numPr>
      </w:pPr>
      <w:r>
        <w:t xml:space="preserve">IQR ≤2; and</w:t>
      </w:r>
    </w:p>
    <w:p>
      <w:pPr>
        <w:pStyle w:val="Compact"/>
        <w:numPr>
          <w:ilvl w:val="0"/>
          <w:numId w:val="1023"/>
        </w:numPr>
      </w:pPr>
      <w:r>
        <w:t xml:space="preserve">≥75% of valid ratings are 7–9.</w:t>
      </w:r>
    </w:p>
    <w:bookmarkEnd w:id="42"/>
    <w:bookmarkStart w:id="43"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4"/>
        </w:numPr>
      </w:pPr>
      <w:r>
        <w:t xml:space="preserve">median importance/potential-impact rating ≥7;</w:t>
      </w:r>
    </w:p>
    <w:p>
      <w:pPr>
        <w:pStyle w:val="Compact"/>
        <w:numPr>
          <w:ilvl w:val="0"/>
          <w:numId w:val="1024"/>
        </w:numPr>
      </w:pPr>
      <w:r>
        <w:t xml:space="preserve">IQR ≤2;</w:t>
      </w:r>
    </w:p>
    <w:p>
      <w:pPr>
        <w:pStyle w:val="Compact"/>
        <w:numPr>
          <w:ilvl w:val="0"/>
          <w:numId w:val="1024"/>
        </w:numPr>
      </w:pPr>
      <w:r>
        <w:t xml:space="preserve">≥75% of valid ratings are 7–9; and</w:t>
      </w:r>
    </w:p>
    <w:p>
      <w:pPr>
        <w:pStyle w:val="Compact"/>
        <w:numPr>
          <w:ilvl w:val="0"/>
          <w:numId w:val="1024"/>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43"/>
    <w:bookmarkStart w:id="44"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44"/>
    <w:bookmarkEnd w:id="45"/>
    <w:bookmarkStart w:id="46"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46"/>
    <w:bookmarkStart w:id="47"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5"/>
        </w:numPr>
      </w:pPr>
      <w:r>
        <w:t xml:space="preserve">invited participants;</w:t>
      </w:r>
    </w:p>
    <w:p>
      <w:pPr>
        <w:pStyle w:val="Compact"/>
        <w:numPr>
          <w:ilvl w:val="0"/>
          <w:numId w:val="1025"/>
        </w:numPr>
      </w:pPr>
      <w:r>
        <w:t xml:space="preserve">participants who completed the questionnaire; and</w:t>
      </w:r>
    </w:p>
    <w:p>
      <w:pPr>
        <w:pStyle w:val="Compact"/>
        <w:numPr>
          <w:ilvl w:val="0"/>
          <w:numId w:val="1025"/>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47"/>
    <w:bookmarkStart w:id="48"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6"/>
        </w:numPr>
      </w:pPr>
      <w:r>
        <w:t xml:space="preserve">verifying valid response ranges;</w:t>
      </w:r>
    </w:p>
    <w:p>
      <w:pPr>
        <w:pStyle w:val="Compact"/>
        <w:numPr>
          <w:ilvl w:val="0"/>
          <w:numId w:val="1026"/>
        </w:numPr>
      </w:pPr>
      <w:r>
        <w:t xml:space="preserve">documenting incomplete questionnaires;</w:t>
      </w:r>
    </w:p>
    <w:p>
      <w:pPr>
        <w:pStyle w:val="Compact"/>
        <w:numPr>
          <w:ilvl w:val="0"/>
          <w:numId w:val="1026"/>
        </w:numPr>
      </w:pPr>
      <w:r>
        <w:t xml:space="preserve">identifying implausible or internally inconsistent administrative data;</w:t>
      </w:r>
    </w:p>
    <w:p>
      <w:pPr>
        <w:pStyle w:val="Compact"/>
        <w:numPr>
          <w:ilvl w:val="0"/>
          <w:numId w:val="1026"/>
        </w:numPr>
      </w:pPr>
      <w:r>
        <w:t xml:space="preserve">maintaining a data-cleaning log; and</w:t>
      </w:r>
    </w:p>
    <w:p>
      <w:pPr>
        <w:pStyle w:val="Compact"/>
        <w:numPr>
          <w:ilvl w:val="0"/>
          <w:numId w:val="1026"/>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48"/>
    <w:bookmarkStart w:id="52"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7"/>
        </w:numPr>
      </w:pPr>
      <w:r>
        <w:t xml:space="preserve">number of valid responses;</w:t>
      </w:r>
    </w:p>
    <w:p>
      <w:pPr>
        <w:pStyle w:val="Compact"/>
        <w:numPr>
          <w:ilvl w:val="0"/>
          <w:numId w:val="1027"/>
        </w:numPr>
      </w:pPr>
      <w:r>
        <w:t xml:space="preserve">median;</w:t>
      </w:r>
    </w:p>
    <w:p>
      <w:pPr>
        <w:pStyle w:val="Compact"/>
        <w:numPr>
          <w:ilvl w:val="0"/>
          <w:numId w:val="1027"/>
        </w:numPr>
      </w:pPr>
      <w:r>
        <w:t xml:space="preserve">IQR;</w:t>
      </w:r>
    </w:p>
    <w:p>
      <w:pPr>
        <w:pStyle w:val="Compact"/>
        <w:numPr>
          <w:ilvl w:val="0"/>
          <w:numId w:val="1027"/>
        </w:numPr>
      </w:pPr>
      <w:r>
        <w:t xml:space="preserve">full response distribution;</w:t>
      </w:r>
    </w:p>
    <w:p>
      <w:pPr>
        <w:pStyle w:val="Compact"/>
        <w:numPr>
          <w:ilvl w:val="0"/>
          <w:numId w:val="1027"/>
        </w:numPr>
      </w:pPr>
      <w:r>
        <w:t xml:space="preserve">percentage rating 7–9;</w:t>
      </w:r>
    </w:p>
    <w:p>
      <w:pPr>
        <w:pStyle w:val="Compact"/>
        <w:numPr>
          <w:ilvl w:val="0"/>
          <w:numId w:val="1027"/>
        </w:numPr>
      </w:pPr>
      <w:r>
        <w:t xml:space="preserve">consensus classification; and</w:t>
      </w:r>
    </w:p>
    <w:p>
      <w:pPr>
        <w:pStyle w:val="Compact"/>
        <w:numPr>
          <w:ilvl w:val="0"/>
          <w:numId w:val="1027"/>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49"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49"/>
    <w:bookmarkStart w:id="50"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8"/>
        </w:numPr>
      </w:pPr>
      <w:r>
        <w:t xml:space="preserve">early-career researchers;</w:t>
      </w:r>
    </w:p>
    <w:p>
      <w:pPr>
        <w:pStyle w:val="Compact"/>
        <w:numPr>
          <w:ilvl w:val="0"/>
          <w:numId w:val="1028"/>
        </w:numPr>
      </w:pPr>
      <w:r>
        <w:t xml:space="preserve">supervisors;</w:t>
      </w:r>
    </w:p>
    <w:p>
      <w:pPr>
        <w:pStyle w:val="Compact"/>
        <w:numPr>
          <w:ilvl w:val="0"/>
          <w:numId w:val="1028"/>
        </w:numPr>
      </w:pPr>
      <w:r>
        <w:t xml:space="preserve">methodologists/biostatisticians; and</w:t>
      </w:r>
    </w:p>
    <w:p>
      <w:pPr>
        <w:pStyle w:val="Compact"/>
        <w:numPr>
          <w:ilvl w:val="0"/>
          <w:numId w:val="1028"/>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0"/>
    <w:bookmarkStart w:id="51"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9"/>
        </w:numPr>
      </w:pPr>
      <w:r>
        <w:t xml:space="preserve">the denominator excludes</w:t>
      </w:r>
      <w:r>
        <w:t xml:space="preserve"> </w:t>
      </w:r>
      <w:r>
        <w:t xml:space="preserve">“cannot judge”</w:t>
      </w:r>
      <w:r>
        <w:t xml:space="preserve"> </w:t>
      </w:r>
      <w:r>
        <w:t xml:space="preserve">responses.</w:t>
      </w:r>
    </w:p>
    <w:p>
      <w:pPr>
        <w:pStyle w:val="Compact"/>
        <w:numPr>
          <w:ilvl w:val="0"/>
          <w:numId w:val="1029"/>
        </w:numPr>
      </w:pPr>
      <w:r>
        <w:t xml:space="preserve">only participants completing both rounds are considered.</w:t>
      </w:r>
    </w:p>
    <w:p>
      <w:pPr>
        <w:pStyle w:val="FirstParagraph"/>
      </w:pPr>
      <w:r>
        <w:t xml:space="preserve">These analyses will be prespecified before the final analysis where feasible.</w:t>
      </w:r>
    </w:p>
    <w:bookmarkEnd w:id="51"/>
    <w:bookmarkEnd w:id="52"/>
    <w:bookmarkStart w:id="59" w:name="bias-and-methodological-considerations"/>
    <w:p>
      <w:pPr>
        <w:pStyle w:val="Heading1"/>
      </w:pPr>
      <w:r>
        <w:t xml:space="preserve">Bias and Methodological Considerations</w:t>
      </w:r>
    </w:p>
    <w:bookmarkStart w:id="53"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53"/>
    <w:bookmarkStart w:id="54"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54"/>
    <w:bookmarkStart w:id="55"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55"/>
    <w:bookmarkStart w:id="56"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56"/>
    <w:bookmarkStart w:id="57"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57"/>
    <w:bookmarkStart w:id="58"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58"/>
    <w:bookmarkEnd w:id="59"/>
    <w:bookmarkStart w:id="65"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60"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60"/>
    <w:bookmarkStart w:id="61"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61"/>
    <w:bookmarkStart w:id="62"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bookmarkEnd w:id="62"/>
    <w:bookmarkStart w:id="63"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63"/>
    <w:bookmarkStart w:id="64"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64"/>
    <w:bookmarkEnd w:id="65"/>
    <w:bookmarkStart w:id="66"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66"/>
    <w:bookmarkStart w:id="67"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67"/>
    <w:bookmarkStart w:id="68" w:name="quality-assurance"/>
    <w:p>
      <w:pPr>
        <w:pStyle w:val="Heading1"/>
      </w:pPr>
      <w:r>
        <w:t xml:space="preserve">Quality Assurance</w:t>
      </w:r>
    </w:p>
    <w:p>
      <w:pPr>
        <w:pStyle w:val="FirstParagraph"/>
      </w:pPr>
      <w:r>
        <w:t xml:space="preserve">Before launch:</w:t>
      </w:r>
    </w:p>
    <w:p>
      <w:pPr>
        <w:pStyle w:val="Compact"/>
        <w:numPr>
          <w:ilvl w:val="0"/>
          <w:numId w:val="1032"/>
        </w:numPr>
      </w:pPr>
      <w:r>
        <w:t xml:space="preserve">the initial item pool will be reviewed by the steering group.</w:t>
      </w:r>
    </w:p>
    <w:p>
      <w:pPr>
        <w:pStyle w:val="Compact"/>
        <w:numPr>
          <w:ilvl w:val="0"/>
          <w:numId w:val="1032"/>
        </w:numPr>
      </w:pPr>
      <w:r>
        <w:t xml:space="preserve">the questionnaire will be checked for clarity.</w:t>
      </w:r>
    </w:p>
    <w:p>
      <w:pPr>
        <w:pStyle w:val="Compact"/>
        <w:numPr>
          <w:ilvl w:val="0"/>
          <w:numId w:val="1032"/>
        </w:numPr>
      </w:pPr>
      <w:r>
        <w:t xml:space="preserve">the electronic survey will undergo technical testing;</w:t>
      </w:r>
    </w:p>
    <w:p>
      <w:pPr>
        <w:pStyle w:val="Compact"/>
        <w:numPr>
          <w:ilvl w:val="0"/>
          <w:numId w:val="1032"/>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3"/>
        </w:numPr>
      </w:pPr>
      <w:r>
        <w:t xml:space="preserve">the initial item sources;</w:t>
      </w:r>
    </w:p>
    <w:p>
      <w:pPr>
        <w:pStyle w:val="Compact"/>
        <w:numPr>
          <w:ilvl w:val="0"/>
          <w:numId w:val="1033"/>
        </w:numPr>
      </w:pPr>
      <w:r>
        <w:t xml:space="preserve">item revisions;</w:t>
      </w:r>
    </w:p>
    <w:p>
      <w:pPr>
        <w:pStyle w:val="Compact"/>
        <w:numPr>
          <w:ilvl w:val="0"/>
          <w:numId w:val="1033"/>
        </w:numPr>
      </w:pPr>
      <w:r>
        <w:t xml:space="preserve">panel recruitment;</w:t>
      </w:r>
    </w:p>
    <w:p>
      <w:pPr>
        <w:pStyle w:val="Compact"/>
        <w:numPr>
          <w:ilvl w:val="0"/>
          <w:numId w:val="1033"/>
        </w:numPr>
      </w:pPr>
      <w:r>
        <w:t xml:space="preserve">response rates;</w:t>
      </w:r>
    </w:p>
    <w:p>
      <w:pPr>
        <w:pStyle w:val="Compact"/>
        <w:numPr>
          <w:ilvl w:val="0"/>
          <w:numId w:val="1033"/>
        </w:numPr>
      </w:pPr>
      <w:r>
        <w:t xml:space="preserve">consensus decisions;</w:t>
      </w:r>
    </w:p>
    <w:p>
      <w:pPr>
        <w:pStyle w:val="Compact"/>
        <w:numPr>
          <w:ilvl w:val="0"/>
          <w:numId w:val="1033"/>
        </w:numPr>
      </w:pPr>
      <w:r>
        <w:t xml:space="preserve">feedback provided;</w:t>
      </w:r>
    </w:p>
    <w:p>
      <w:pPr>
        <w:pStyle w:val="Compact"/>
        <w:numPr>
          <w:ilvl w:val="0"/>
          <w:numId w:val="1033"/>
        </w:numPr>
      </w:pPr>
      <w:r>
        <w:t xml:space="preserve">attrition;</w:t>
      </w:r>
    </w:p>
    <w:p>
      <w:pPr>
        <w:pStyle w:val="Compact"/>
        <w:numPr>
          <w:ilvl w:val="0"/>
          <w:numId w:val="1033"/>
        </w:numPr>
      </w:pPr>
      <w:r>
        <w:t xml:space="preserve">and final item disposition.</w:t>
      </w:r>
    </w:p>
    <w:bookmarkEnd w:id="68"/>
    <w:bookmarkStart w:id="69" w:name="expected-outputs"/>
    <w:p>
      <w:pPr>
        <w:pStyle w:val="Heading1"/>
      </w:pPr>
      <w:r>
        <w:t xml:space="preserve">Expected Outputs</w:t>
      </w:r>
    </w:p>
    <w:p>
      <w:pPr>
        <w:pStyle w:val="FirstParagraph"/>
      </w:pPr>
      <w:r>
        <w:t xml:space="preserve">The study will produce:</w:t>
      </w:r>
    </w:p>
    <w:p>
      <w:pPr>
        <w:pStyle w:val="Compact"/>
        <w:numPr>
          <w:ilvl w:val="0"/>
          <w:numId w:val="1034"/>
        </w:numPr>
      </w:pPr>
      <w:r>
        <w:t xml:space="preserve">a consensus-based list of major perceived barriers to valid, high-value medical research among early-career researchers in Egypt;</w:t>
      </w:r>
    </w:p>
    <w:p>
      <w:pPr>
        <w:pStyle w:val="Compact"/>
        <w:numPr>
          <w:ilvl w:val="0"/>
          <w:numId w:val="1034"/>
        </w:numPr>
      </w:pPr>
      <w:r>
        <w:t xml:space="preserve">a classification of barriers by perceived importance and modifiability;</w:t>
      </w:r>
    </w:p>
    <w:p>
      <w:pPr>
        <w:pStyle w:val="Compact"/>
        <w:numPr>
          <w:ilvl w:val="0"/>
          <w:numId w:val="1034"/>
        </w:numPr>
      </w:pPr>
      <w:r>
        <w:t xml:space="preserve">a prioritized list of feasible interventions;</w:t>
      </w:r>
    </w:p>
    <w:p>
      <w:pPr>
        <w:pStyle w:val="Compact"/>
        <w:numPr>
          <w:ilvl w:val="0"/>
          <w:numId w:val="1034"/>
        </w:numPr>
      </w:pPr>
      <w:r>
        <w:t xml:space="preserve">a multilevel intervention matrix;</w:t>
      </w:r>
    </w:p>
    <w:p>
      <w:pPr>
        <w:pStyle w:val="Compact"/>
        <w:numPr>
          <w:ilvl w:val="0"/>
          <w:numId w:val="1034"/>
        </w:numPr>
      </w:pPr>
      <w:r>
        <w:t xml:space="preserve">identification of persistent disagreement and stakeholder-group divergence; and</w:t>
      </w:r>
    </w:p>
    <w:p>
      <w:pPr>
        <w:pStyle w:val="Compact"/>
        <w:numPr>
          <w:ilvl w:val="0"/>
          <w:numId w:val="1034"/>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69"/>
    <w:bookmarkStart w:id="70" w:name="funding-and-sponsorship"/>
    <w:p>
      <w:pPr>
        <w:pStyle w:val="Heading1"/>
      </w:pPr>
      <w:r>
        <w:t xml:space="preserve">Funding and Sponsorship</w:t>
      </w:r>
    </w:p>
    <w:p>
      <w:pPr>
        <w:pStyle w:val="FirstParagraph"/>
      </w:pPr>
      <w:r>
        <w:t xml:space="preserve">The study is investigator-initiated and unfunded.</w:t>
      </w:r>
    </w:p>
    <w:bookmarkEnd w:id="70"/>
    <w:bookmarkStart w:id="71"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71"/>
    <w:bookmarkStart w:id="72"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The workshop will not be used to alter the predefined Delphi consensus classifications. Its purpose will be to:</w:t>
      </w:r>
    </w:p>
    <w:p>
      <w:pPr>
        <w:pStyle w:val="Compact"/>
        <w:numPr>
          <w:ilvl w:val="0"/>
          <w:numId w:val="1035"/>
        </w:numPr>
      </w:pPr>
      <w:r>
        <w:t xml:space="preserve">assess whether the final framework is understandable and practically useful;</w:t>
      </w:r>
    </w:p>
    <w:p>
      <w:pPr>
        <w:pStyle w:val="Compact"/>
        <w:numPr>
          <w:ilvl w:val="0"/>
          <w:numId w:val="1035"/>
        </w:numPr>
      </w:pPr>
      <w:r>
        <w:t xml:space="preserve">identify implementation considerations;</w:t>
      </w:r>
    </w:p>
    <w:p>
      <w:pPr>
        <w:pStyle w:val="Compact"/>
        <w:numPr>
          <w:ilvl w:val="0"/>
          <w:numId w:val="1035"/>
        </w:numPr>
      </w:pPr>
      <w:r>
        <w:t xml:space="preserve">identify unintended consequences or feasibility concerns;</w:t>
      </w:r>
    </w:p>
    <w:p>
      <w:pPr>
        <w:pStyle w:val="Compact"/>
        <w:numPr>
          <w:ilvl w:val="0"/>
          <w:numId w:val="1035"/>
        </w:numPr>
      </w:pPr>
      <w:r>
        <w:t xml:space="preserve">identify gaps requiring future empirical research; and</w:t>
      </w:r>
    </w:p>
    <w:p>
      <w:pPr>
        <w:pStyle w:val="Compact"/>
        <w:numPr>
          <w:ilvl w:val="0"/>
          <w:numId w:val="1035"/>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72"/>
    <w:bookmarkStart w:id="73"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establish steering group; conduct focused evidence review; develop initial item pool</w:t>
            </w:r>
          </w:p>
        </w:tc>
      </w:tr>
      <w:tr>
        <w:tc>
          <w:tcPr/>
          <w:p>
            <w:pPr>
              <w:pStyle w:val="Compact"/>
            </w:pPr>
            <w:r>
              <w:t xml:space="preserve">Month 2</w:t>
            </w:r>
          </w:p>
        </w:tc>
        <w:tc>
          <w:tcPr/>
          <w:p>
            <w:pPr>
              <w:pStyle w:val="Compact"/>
            </w:pPr>
            <w:r>
              <w:t xml:space="preserve">Expert review and pilot testing; finalize questionnaire; prepare participant information and consent materials; submit/complete IRB requirements</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73"/>
    <w:bookmarkStart w:id="74" w:name="dissemination"/>
    <w:p>
      <w:pPr>
        <w:pStyle w:val="Heading1"/>
      </w:pPr>
      <w:r>
        <w:t xml:space="preserve">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74"/>
    <w:bookmarkStart w:id="75"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75"/>
    <w:bookmarkStart w:id="76"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w:t>
      </w:r>
    </w:p>
    <w:p>
      <w:pPr>
        <w:pStyle w:val="BodyText"/>
      </w:pPr>
      <w:r>
        <w:t xml:space="preserve">Consensus results will only be interpreted if at least three stakeholder categories are represented and no single stakeholder group contributes more than 60% of all valid responses. If this condition is not met, overall consensus results will be reported descriptively but will be labeled as limited in representativeness and will not be used to support the full multilevel action framework.</w:t>
      </w:r>
    </w:p>
    <w:bookmarkEnd w:id="76"/>
    <w:bookmarkStart w:id="81" w:name="appendices"/>
    <w:p>
      <w:pPr>
        <w:pStyle w:val="Heading1"/>
      </w:pPr>
      <w:r>
        <w:t xml:space="preserve">Appendices</w:t>
      </w:r>
    </w:p>
    <w:bookmarkStart w:id="77" w:name="investigators-and-roles"/>
    <w:p>
      <w:pPr>
        <w:pStyle w:val="Heading2"/>
      </w:pPr>
      <w:r>
        <w:t xml:space="preserve">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77"/>
    <w:bookmarkStart w:id="78" w:name="appendix-1.-proposed-barrier-domains"/>
    <w:p>
      <w:pPr>
        <w:pStyle w:val="Heading2"/>
      </w:pPr>
      <w:r>
        <w:t xml:space="preserve">Appendix 1.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78"/>
    <w:bookmarkStart w:id="79" w:name="Xe0a1a1cef9d9b27590d18caae8a9de54c832d0a"/>
    <w:p>
      <w:pPr>
        <w:pStyle w:val="Heading2"/>
      </w:pPr>
      <w:r>
        <w:t xml:space="preserve">Appendix 2.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79"/>
    <w:bookmarkStart w:id="80" w:name="X4c722202d6367c528c2bccc24c524140be283eb"/>
    <w:p>
      <w:pPr>
        <w:pStyle w:val="Heading2"/>
      </w:pPr>
      <w:r>
        <w:t xml:space="preserve">Appendix 3. Core Delphi reporting dataset</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source;</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80"/>
    <w:bookmarkEnd w:id="81"/>
    <w:bookmarkStart w:id="82"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will be added to the final protocol and participant-facing materials where appropriate.</w:t>
      </w:r>
    </w:p>
    <w:p>
      <w:pPr>
        <w:pStyle w:val="BodyText"/>
      </w:pPr>
      <w:r>
        <w:t xml:space="preserve">The completed study will be reported in accordance with the ACCORD guidance for reporting of modified Delphi studies.</w:t>
      </w:r>
      <w:r>
        <w:t xml:space="preserve"> </w:t>
      </w:r>
      <w:r>
        <w:t xml:space="preserve">[10]</w:t>
      </w:r>
    </w:p>
    <w:bookmarkEnd w:id="82"/>
    <w:bookmarkStart w:id="104" w:name="references"/>
    <w:p>
      <w:pPr>
        <w:pStyle w:val="Heading1"/>
      </w:pPr>
      <w:r>
        <w:t xml:space="preserve">References</w:t>
      </w:r>
    </w:p>
    <w:bookmarkStart w:id="103" w:name="refs"/>
    <w:bookmarkStart w:id="84" w:name="ref-chalmers2009"/>
    <w:p>
      <w:pPr>
        <w:pStyle w:val="Bibliography"/>
      </w:pPr>
      <w:r>
        <w:t xml:space="preserve">1. Chalmers I, Glasziou P.</w:t>
      </w:r>
      <w:r>
        <w:t xml:space="preserve"> </w:t>
      </w:r>
      <w:hyperlink r:id="rId83">
        <w:r>
          <w:rPr>
            <w:rStyle w:val="Hyperlink"/>
          </w:rPr>
          <w:t xml:space="preserve">Avoidable waste in the production and reporting of research evidence</w:t>
        </w:r>
      </w:hyperlink>
      <w:r>
        <w:t xml:space="preserve">. The Lancet. 2009;374:86–9.</w:t>
      </w:r>
    </w:p>
    <w:bookmarkEnd w:id="84"/>
    <w:bookmarkStart w:id="86" w:name="ref-glaziou2018"/>
    <w:p>
      <w:pPr>
        <w:pStyle w:val="Bibliography"/>
      </w:pPr>
      <w:r>
        <w:t xml:space="preserve">2. Glasziou P, Chalmers I.</w:t>
      </w:r>
      <w:r>
        <w:t xml:space="preserve"> </w:t>
      </w:r>
      <w:hyperlink r:id="rId85">
        <w:r>
          <w:rPr>
            <w:rStyle w:val="Hyperlink"/>
          </w:rPr>
          <w:t xml:space="preserve">Research waste is still a scandal–an essay by paul glasziou and iain chalmers</w:t>
        </w:r>
      </w:hyperlink>
      <w:r>
        <w:t xml:space="preserve">. BMJ. 2018;363:k4645.</w:t>
      </w:r>
    </w:p>
    <w:bookmarkEnd w:id="86"/>
    <w:bookmarkStart w:id="88" w:name="ref-moher2016"/>
    <w:p>
      <w:pPr>
        <w:pStyle w:val="Bibliography"/>
      </w:pPr>
      <w:r>
        <w:t xml:space="preserve">3. Moher D, Glasziou P, Chalmers I, Nasser M, Bossuyt PMM, Korevaar DA, et al.</w:t>
      </w:r>
      <w:r>
        <w:t xml:space="preserve"> </w:t>
      </w:r>
      <w:hyperlink r:id="rId87">
        <w:r>
          <w:rPr>
            <w:rStyle w:val="Hyperlink"/>
          </w:rPr>
          <w:t xml:space="preserve">Increasing value and reducing waste in biomedical research: Who’s listening?</w:t>
        </w:r>
      </w:hyperlink>
      <w:r>
        <w:t xml:space="preserve"> The Lancet. 2016;387:1573–86.</w:t>
      </w:r>
    </w:p>
    <w:bookmarkEnd w:id="88"/>
    <w:bookmarkStart w:id="90"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89">
        <w:r>
          <w:rPr>
            <w:rStyle w:val="Hyperlink"/>
          </w:rPr>
          <w:t xml:space="preserve">http://dx.doi.org/10.1016/S0140-6736(13)62229-1</w:t>
        </w:r>
      </w:hyperlink>
    </w:p>
    <w:bookmarkEnd w:id="90"/>
    <w:bookmarkStart w:id="92"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91">
        <w:r>
          <w:rPr>
            <w:rStyle w:val="Hyperlink"/>
          </w:rPr>
          <w:t xml:space="preserve">http://dx.doi.org/10.1016/S0140-6736(13)62227-8</w:t>
        </w:r>
      </w:hyperlink>
    </w:p>
    <w:bookmarkEnd w:id="92"/>
    <w:bookmarkStart w:id="94"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93">
        <w:r>
          <w:rPr>
            <w:rStyle w:val="Hyperlink"/>
          </w:rPr>
          <w:t xml:space="preserve">http://dx.doi.org/10.1016/S0140-6736(13)62297-7</w:t>
        </w:r>
      </w:hyperlink>
    </w:p>
    <w:bookmarkEnd w:id="94"/>
    <w:bookmarkStart w:id="96" w:name="ref-jorm2025"/>
    <w:p>
      <w:pPr>
        <w:pStyle w:val="Bibliography"/>
      </w:pPr>
      <w:r>
        <w:t xml:space="preserve">7. Jorm A. Using the delphi method to establish expert consensus [Internet]. Springer Nature Singapore; 2025. Available from:</w:t>
      </w:r>
      <w:r>
        <w:t xml:space="preserve"> </w:t>
      </w:r>
      <w:hyperlink r:id="rId95">
        <w:r>
          <w:rPr>
            <w:rStyle w:val="Hyperlink"/>
          </w:rPr>
          <w:t xml:space="preserve">http://dx.doi.org/10.1007/978-981-96-8357-4</w:t>
        </w:r>
      </w:hyperlink>
    </w:p>
    <w:bookmarkEnd w:id="96"/>
    <w:bookmarkStart w:id="98" w:name="ref-RStudio2026"/>
    <w:p>
      <w:pPr>
        <w:pStyle w:val="Bibliography"/>
      </w:pPr>
      <w:r>
        <w:t xml:space="preserve">8. Posit Software, PBC. RStudio: Integrated development environment for r [Internet]. Boston, MA: Posit Software, PBC; 2026. Available from:</w:t>
      </w:r>
      <w:r>
        <w:t xml:space="preserve"> </w:t>
      </w:r>
      <w:hyperlink r:id="rId97">
        <w:r>
          <w:rPr>
            <w:rStyle w:val="Hyperlink"/>
          </w:rPr>
          <w:t xml:space="preserve">https://posit.co/products/open-source/rstudio/</w:t>
        </w:r>
      </w:hyperlink>
    </w:p>
    <w:bookmarkEnd w:id="98"/>
    <w:bookmarkStart w:id="100"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99">
        <w:r>
          <w:rPr>
            <w:rStyle w:val="Hyperlink"/>
          </w:rPr>
          <w:t xml:space="preserve">https://www.R-project.org/</w:t>
        </w:r>
      </w:hyperlink>
    </w:p>
    <w:bookmarkEnd w:id="100"/>
    <w:bookmarkStart w:id="102" w:name="ref-gattrell2024"/>
    <w:p>
      <w:pPr>
        <w:pStyle w:val="Bibliography"/>
      </w:pPr>
      <w:r>
        <w:t xml:space="preserve">10. Gattrell WT, Logullo P, Zuuren EJ van, Price A, Hughes EL, Blazey P, et al.</w:t>
      </w:r>
      <w:r>
        <w:t xml:space="preserve"> </w:t>
      </w:r>
      <w:hyperlink r:id="rId101">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dx.doi.org/10.1007/978-981-96-8357-4" TargetMode="External" /><Relationship Type="http://schemas.openxmlformats.org/officeDocument/2006/relationships/hyperlink" Id="rId91" Target="http://dx.doi.org/10.1016/S0140-6736(13)62227-8" TargetMode="External" /><Relationship Type="http://schemas.openxmlformats.org/officeDocument/2006/relationships/hyperlink" Id="rId89" Target="http://dx.doi.org/10.1016/S0140-6736(13)62229-1" TargetMode="External" /><Relationship Type="http://schemas.openxmlformats.org/officeDocument/2006/relationships/hyperlink" Id="rId93" Target="http://dx.doi.org/10.1016/S0140-6736(13)62297-7" TargetMode="External" /><Relationship Type="http://schemas.openxmlformats.org/officeDocument/2006/relationships/hyperlink" Id="rId83" Target="https://doi.org/10.1016/S0140-6736(09)60329-9" TargetMode="External" /><Relationship Type="http://schemas.openxmlformats.org/officeDocument/2006/relationships/hyperlink" Id="rId87" Target="https://doi.org/10.1016/S0140-6736(15)00307-4" TargetMode="External" /><Relationship Type="http://schemas.openxmlformats.org/officeDocument/2006/relationships/hyperlink" Id="rId85" Target="https://doi.org/10.1136/bmj.k4645" TargetMode="External" /><Relationship Type="http://schemas.openxmlformats.org/officeDocument/2006/relationships/hyperlink" Id="rId101" Target="https://doi.org/10.1371/journal.pmed.1004326" TargetMode="External" /><Relationship Type="http://schemas.openxmlformats.org/officeDocument/2006/relationships/hyperlink" Id="rId97" Target="https://posit.co/products/open-source/rstudio/" TargetMode="External" /><Relationship Type="http://schemas.openxmlformats.org/officeDocument/2006/relationships/hyperlink" Id="rId9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5" Target="http://dx.doi.org/10.1007/978-981-96-8357-4" TargetMode="External" /><Relationship Type="http://schemas.openxmlformats.org/officeDocument/2006/relationships/hyperlink" Id="rId91" Target="http://dx.doi.org/10.1016/S0140-6736(13)62227-8" TargetMode="External" /><Relationship Type="http://schemas.openxmlformats.org/officeDocument/2006/relationships/hyperlink" Id="rId89" Target="http://dx.doi.org/10.1016/S0140-6736(13)62229-1" TargetMode="External" /><Relationship Type="http://schemas.openxmlformats.org/officeDocument/2006/relationships/hyperlink" Id="rId93" Target="http://dx.doi.org/10.1016/S0140-6736(13)62297-7" TargetMode="External" /><Relationship Type="http://schemas.openxmlformats.org/officeDocument/2006/relationships/hyperlink" Id="rId83" Target="https://doi.org/10.1016/S0140-6736(09)60329-9" TargetMode="External" /><Relationship Type="http://schemas.openxmlformats.org/officeDocument/2006/relationships/hyperlink" Id="rId87" Target="https://doi.org/10.1016/S0140-6736(15)00307-4" TargetMode="External" /><Relationship Type="http://schemas.openxmlformats.org/officeDocument/2006/relationships/hyperlink" Id="rId85" Target="https://doi.org/10.1136/bmj.k4645" TargetMode="External" /><Relationship Type="http://schemas.openxmlformats.org/officeDocument/2006/relationships/hyperlink" Id="rId101" Target="https://doi.org/10.1371/journal.pmed.1004326" TargetMode="External" /><Relationship Type="http://schemas.openxmlformats.org/officeDocument/2006/relationships/hyperlink" Id="rId97" Target="https://posit.co/products/open-source/rstudio/" TargetMode="External" /><Relationship Type="http://schemas.openxmlformats.org/officeDocument/2006/relationships/hyperlink" Id="rId9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cp:keywords/>
  <dcterms:created xsi:type="dcterms:W3CDTF">2026-10-04T12:45:47Z</dcterms:created>
  <dcterms:modified xsi:type="dcterms:W3CDTF">2026-10-04T12:45:47Z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