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Barriers to Valid Medical Research Among Early-Career Researchers in Egypt: A Modified Delphi Study Protocol</w:t>
      </w:r>
    </w:p>
    <w:bookmarkStart w:id="20" w:name="protocol-summary"/>
    <w:p>
      <w:pPr>
        <w:pStyle w:val="Heading1"/>
      </w:pPr>
      <w:r>
        <w:t xml:space="preserve">1. Protocol summary</w:t>
      </w:r>
    </w:p>
    <w:p>
      <w:pPr>
        <w:numPr>
          <w:ilvl w:val="0"/>
          <w:numId w:val="1001"/>
        </w:numPr>
      </w:pPr>
      <w:r>
        <w:t xml:space="preserve">Protocol version number: 1.0</w:t>
      </w:r>
    </w:p>
    <w:p>
      <w:pPr>
        <w:numPr>
          <w:ilvl w:val="0"/>
          <w:numId w:val="1001"/>
        </w:numPr>
      </w:pPr>
      <w:r>
        <w:t xml:space="preserve">Protocol version date: 6 October 2026</w:t>
      </w:r>
    </w:p>
    <w:p>
      <w:pPr>
        <w:numPr>
          <w:ilvl w:val="0"/>
          <w:numId w:val="1001"/>
        </w:numPr>
      </w:pPr>
      <w:r>
        <w:t xml:space="preserve">Lead institution: Faculty of Medicine, MTI University</w:t>
      </w:r>
    </w:p>
    <w:p>
      <w:pPr>
        <w:numPr>
          <w:ilvl w:val="0"/>
          <w:numId w:val="1001"/>
        </w:numPr>
      </w:pPr>
      <w:r>
        <w:t xml:space="preserve">Principal investigators: Prof. Ashraf Nabhan</w:t>
      </w:r>
    </w:p>
    <w:p>
      <w:pPr>
        <w:numPr>
          <w:ilvl w:val="0"/>
          <w:numId w:val="1001"/>
        </w:numPr>
      </w:pPr>
      <w:r>
        <w:t xml:space="preserve">Funding: No external funding</w:t>
      </w:r>
    </w:p>
    <w:p>
      <w:pPr>
        <w:numPr>
          <w:ilvl w:val="0"/>
          <w:numId w:val="1001"/>
        </w:numPr>
      </w:pPr>
      <w:r>
        <w:t xml:space="preserve">Conflicts of interest: None declared</w:t>
      </w:r>
    </w:p>
    <w:p>
      <w:pPr>
        <w:numPr>
          <w:ilvl w:val="0"/>
          <w:numId w:val="1001"/>
        </w:numPr>
      </w:pPr>
      <w:r>
        <w:t xml:space="preserve">Study registration: OSF. The registration identifier is OSF.IO/83G7B. DOI: https://doi.org/10.17605/OSF.IO/83G7B</w:t>
      </w:r>
    </w:p>
    <w:p>
      <w:pPr>
        <w:numPr>
          <w:ilvl w:val="0"/>
          <w:numId w:val="1001"/>
        </w:numPr>
      </w:pPr>
      <w:r>
        <w:t xml:space="preserve">IRB approval: Pending.</w:t>
      </w:r>
    </w:p>
    <w:p>
      <w:pPr>
        <w:numPr>
          <w:ilvl w:val="0"/>
          <w:numId w:val="1001"/>
        </w:numPr>
      </w:pPr>
      <w:r>
        <w:t xml:space="preserve">Protocol amendments: All amendments will be submitted to the IRB for approval before implementation. All amendments will be documented in a protocol amendment log containing date, description, reason, and IRB approval status.</w:t>
      </w:r>
    </w:p>
    <w:bookmarkEnd w:id="20"/>
    <w:bookmarkStart w:id="21" w:name="background-and-rationale"/>
    <w:p>
      <w:pPr>
        <w:pStyle w:val="Heading1"/>
      </w:pPr>
      <w:r>
        <w:t xml:space="preserve">2. Background and Rationale</w:t>
      </w:r>
    </w:p>
    <w:p>
      <w:pPr>
        <w:pStyle w:val="FirstParagraph"/>
      </w:pPr>
      <w:r>
        <w:t xml:space="preserve">Research is intended to generate knowledge that is relevant, trustworthy, and usable. However, avoidable waste can occur throughout the research process, including through poorly prioritized questions, inadequate design and methods, inefficient conduct, non-publication, and incomplete or unusable reporting. Chalmers and Glasziou estimated in 2009 that as much as 85% of health research investment could be avoidably wasted across these stages; this estimate is best understood as a broad estimate of potential waste across the research system rather than a measured proportion of all current research in every setting.</w:t>
      </w:r>
      <w:r>
        <w:t xml:space="preserve"> </w:t>
      </w:r>
      <w:r>
        <w:t xml:space="preserve">[1]</w:t>
      </w:r>
      <w:r>
        <w:t xml:space="preserve"> </w:t>
      </w:r>
      <w:r>
        <w:t xml:space="preserve">Subsequent work has continued to emphasize improving research value and reducing waste through better prioritization, appropriate methods, efficient conduct, complete dissemination, and usable reporting.</w:t>
      </w:r>
      <w:r>
        <w:t xml:space="preserve"> </w:t>
      </w:r>
      <w:r>
        <w:t xml:space="preserve">[2–4]</w:t>
      </w:r>
    </w:p>
    <w:p>
      <w:pPr>
        <w:pStyle w:val="BodyText"/>
      </w:pPr>
      <w:r>
        <w:t xml:space="preserve">Early-career medical researchers may be particularly vulnerable to these system-level problems because they are developing research skills while simultaneously navigating clinical, academic, and administrative responsibilities. Potential barriers may include inadequate training in research methods; limited protected research time; insufficient or poorly matched supervision; limited access to statistical, methodological, laboratory, or data resources; difficulty obtaining funding; burdensome administrative or ethical processes; weak research collaboration and mentorship; publication and academic incentives that reward quantity rather than research value; and limited institutional support.</w:t>
      </w:r>
      <w:r>
        <w:t xml:space="preserve"> </w:t>
      </w:r>
      <w:r>
        <w:t xml:space="preserve">[5]</w:t>
      </w:r>
    </w:p>
    <w:p>
      <w:pPr>
        <w:pStyle w:val="BodyText"/>
      </w:pPr>
      <w:r>
        <w:t xml:space="preserve">The problem, however, should not be reduced to an assumption that early-career researchers simply lack skills or motivation. Barriers may arise at multiple levels and may interact. For example, a researcher may receive methodological training but lack a supervisor able to support appropriate study design; alternatively, a capable researcher may have a suitable supervisor but insufficient time, funding, data access, or institutional infrastructure. Identifying which barriers stakeholders perceive as important, which are considered modifiable, and which interventions are considered feasible is therefore necessary before designing a practical improvement strategy.</w:t>
      </w:r>
      <w:r>
        <w:t xml:space="preserve"> </w:t>
      </w:r>
      <w:r>
        <w:t xml:space="preserve">[6]</w:t>
      </w:r>
    </w:p>
    <w:p>
      <w:pPr>
        <w:pStyle w:val="BodyText"/>
      </w:pPr>
      <w:r>
        <w:t xml:space="preserve">The present study will use a modified Delphi approach to build structured consensus across stakeholder groups involved in medical research in Egypt. Delphi methodology is appropriate when a problem involves multiple perspectives and the available evidence does not by itself determine a single set of priorities. The method allows participants to provide independent judgments, receive anonymous group-level feedback, and reconsider their ratings over successive rounds. Methodological decisions will be informed by established Delphi guidance.</w:t>
      </w:r>
      <w:r>
        <w:t xml:space="preserve"> </w:t>
      </w:r>
      <w:r>
        <w:t xml:space="preserve">[7]</w:t>
      </w:r>
    </w:p>
    <w:p>
      <w:pPr>
        <w:pStyle w:val="BodyText"/>
      </w:pPr>
      <w:r>
        <w:t xml:space="preserve">The study is designed to identify perceived and prioritized barriers and potential interventions. It will not estimate the prevalence of individual barriers, establish causal relationships between barriers and research outcomes, or measure the absolute amount of research waste in Egypt.</w:t>
      </w:r>
    </w:p>
    <w:bookmarkEnd w:id="21"/>
    <w:bookmarkStart w:id="22" w:name="research-question-and-objectives"/>
    <w:p>
      <w:pPr>
        <w:pStyle w:val="Heading1"/>
      </w:pPr>
      <w:r>
        <w:t xml:space="preserve">3. Research Question and Objectives</w:t>
      </w:r>
    </w:p>
    <w:p>
      <w:pPr>
        <w:pStyle w:val="FirstParagraph"/>
      </w:pPr>
      <w:r>
        <w:rPr>
          <w:b/>
          <w:bCs/>
        </w:rPr>
        <w:t xml:space="preserve">Research Question:</w:t>
      </w:r>
      <w:r>
        <w:t xml:space="preserve"> </w:t>
      </w:r>
      <w:r>
        <w:t xml:space="preserve">Among stakeholders involved in medical research in Egypt, which barriers are perceived as most important in limiting the ability of early-career medical researchers to conduct valid, relevant, and high-value research; which barriers are considered most modifiable; and which interventions are considered sufficiently important and feasible to prioritize?</w:t>
      </w:r>
    </w:p>
    <w:p>
      <w:pPr>
        <w:pStyle w:val="BodyText"/>
      </w:pPr>
      <w:r>
        <w:rPr>
          <w:b/>
          <w:bCs/>
        </w:rPr>
        <w:t xml:space="preserve">Objectives</w:t>
      </w:r>
    </w:p>
    <w:p>
      <w:pPr>
        <w:numPr>
          <w:ilvl w:val="0"/>
          <w:numId w:val="1002"/>
        </w:numPr>
      </w:pPr>
      <w:r>
        <w:rPr>
          <w:b/>
          <w:bCs/>
        </w:rPr>
        <w:t xml:space="preserve">Primary objective:</w:t>
      </w:r>
      <w:r>
        <w:t xml:space="preserve"> </w:t>
      </w:r>
      <w:r>
        <w:t xml:space="preserve">To achieve consensus on the principal barriers perceived to limit early-career medical researchers’ ability to conduct valid, relevant, and high-value research in Egypt.</w:t>
      </w:r>
    </w:p>
    <w:p>
      <w:pPr>
        <w:numPr>
          <w:ilvl w:val="0"/>
          <w:numId w:val="1002"/>
        </w:numPr>
      </w:pPr>
      <w:r>
        <w:rPr>
          <w:b/>
          <w:bCs/>
        </w:rPr>
        <w:t xml:space="preserve">Secondary objectives</w:t>
      </w:r>
    </w:p>
    <w:p>
      <w:pPr>
        <w:pStyle w:val="Compact"/>
        <w:numPr>
          <w:ilvl w:val="1"/>
          <w:numId w:val="1003"/>
        </w:numPr>
      </w:pPr>
      <w:r>
        <w:t xml:space="preserve">To identify barriers that stakeholders consider highly modifiable.</w:t>
      </w:r>
    </w:p>
    <w:p>
      <w:pPr>
        <w:pStyle w:val="Compact"/>
        <w:numPr>
          <w:ilvl w:val="1"/>
          <w:numId w:val="1003"/>
        </w:numPr>
      </w:pPr>
      <w:r>
        <w:t xml:space="preserve">To identify and prioritize interventions that could improve research validity and reduce avoidable research waste.</w:t>
      </w:r>
    </w:p>
    <w:p>
      <w:pPr>
        <w:pStyle w:val="Compact"/>
        <w:numPr>
          <w:ilvl w:val="1"/>
          <w:numId w:val="1003"/>
        </w:numPr>
      </w:pPr>
      <w:r>
        <w:t xml:space="preserve">To assess the perceived feasibility of interventions at individual, supervisory, institutional, and national levels.</w:t>
      </w:r>
    </w:p>
    <w:p>
      <w:pPr>
        <w:pStyle w:val="Compact"/>
        <w:numPr>
          <w:ilvl w:val="1"/>
          <w:numId w:val="1003"/>
        </w:numPr>
      </w:pPr>
      <w:r>
        <w:t xml:space="preserve">To examine areas of agreement and disagreement across predefined stakeholder groups.</w:t>
      </w:r>
    </w:p>
    <w:p>
      <w:pPr>
        <w:pStyle w:val="Compact"/>
        <w:numPr>
          <w:ilvl w:val="1"/>
          <w:numId w:val="1003"/>
        </w:numPr>
      </w:pPr>
      <w:r>
        <w:t xml:space="preserve">To develop a consensus-based priority framework that summarizes important and modifiable barriers, priority interventions, and areas of stakeholder agreement or disagreement.</w:t>
      </w:r>
    </w:p>
    <w:bookmarkEnd w:id="22"/>
    <w:bookmarkStart w:id="23" w:name="conceptual-framework-and-key-definitions"/>
    <w:p>
      <w:pPr>
        <w:pStyle w:val="Heading1"/>
      </w:pPr>
      <w:r>
        <w:t xml:space="preserve">4. Conceptual Framework and Key Definitions</w:t>
      </w:r>
    </w:p>
    <w:p>
      <w:pPr>
        <w:pStyle w:val="FirstParagraph"/>
      </w:pPr>
      <w:r>
        <w:rPr>
          <w:b/>
          <w:bCs/>
        </w:rPr>
        <w:t xml:space="preserve">Conceptual Framework:</w:t>
      </w:r>
    </w:p>
    <w:p>
      <w:pPr>
        <w:pStyle w:val="BodyText"/>
      </w:pPr>
      <w:r>
        <w:t xml:space="preserve">The study will conceptualize barriers across four interacting levels:</w:t>
      </w:r>
    </w:p>
    <w:p>
      <w:pPr>
        <w:pStyle w:val="Compact"/>
        <w:numPr>
          <w:ilvl w:val="0"/>
          <w:numId w:val="1004"/>
        </w:numPr>
      </w:pPr>
      <w:r>
        <w:rPr>
          <w:b/>
          <w:bCs/>
        </w:rPr>
        <w:t xml:space="preserve">Researcher level</w:t>
      </w:r>
    </w:p>
    <w:p>
      <w:pPr>
        <w:pStyle w:val="Compact"/>
        <w:numPr>
          <w:ilvl w:val="1"/>
          <w:numId w:val="1005"/>
        </w:numPr>
      </w:pPr>
      <w:r>
        <w:t xml:space="preserve">Research-methodology knowledge and skills</w:t>
      </w:r>
    </w:p>
    <w:p>
      <w:pPr>
        <w:pStyle w:val="Compact"/>
        <w:numPr>
          <w:ilvl w:val="1"/>
          <w:numId w:val="1005"/>
        </w:numPr>
      </w:pPr>
      <w:r>
        <w:t xml:space="preserve">Statistical literacy and data-analysis skills</w:t>
      </w:r>
    </w:p>
    <w:p>
      <w:pPr>
        <w:pStyle w:val="Compact"/>
        <w:numPr>
          <w:ilvl w:val="1"/>
          <w:numId w:val="1005"/>
        </w:numPr>
      </w:pPr>
      <w:r>
        <w:t xml:space="preserve">Scientific writing and reporting skills</w:t>
      </w:r>
    </w:p>
    <w:p>
      <w:pPr>
        <w:pStyle w:val="Compact"/>
        <w:numPr>
          <w:ilvl w:val="1"/>
          <w:numId w:val="1005"/>
        </w:numPr>
      </w:pPr>
      <w:r>
        <w:t xml:space="preserve">Ability to identify researchable and relevant questions</w:t>
      </w:r>
    </w:p>
    <w:p>
      <w:pPr>
        <w:pStyle w:val="Compact"/>
        <w:numPr>
          <w:ilvl w:val="1"/>
          <w:numId w:val="1005"/>
        </w:numPr>
      </w:pPr>
      <w:r>
        <w:t xml:space="preserve">Time management and competing clinical and/or academic responsibilities</w:t>
      </w:r>
    </w:p>
    <w:p>
      <w:pPr>
        <w:pStyle w:val="Compact"/>
        <w:numPr>
          <w:ilvl w:val="1"/>
          <w:numId w:val="1005"/>
        </w:numPr>
      </w:pPr>
      <w:r>
        <w:t xml:space="preserve">Motivation, confidence, and research self-efficacy</w:t>
      </w:r>
    </w:p>
    <w:p>
      <w:pPr>
        <w:pStyle w:val="Compact"/>
        <w:numPr>
          <w:ilvl w:val="0"/>
          <w:numId w:val="1004"/>
        </w:numPr>
      </w:pPr>
      <w:r>
        <w:rPr>
          <w:b/>
          <w:bCs/>
        </w:rPr>
        <w:t xml:space="preserve">Supervision and mentorship level</w:t>
      </w:r>
    </w:p>
    <w:p>
      <w:pPr>
        <w:pStyle w:val="Compact"/>
        <w:numPr>
          <w:ilvl w:val="1"/>
          <w:numId w:val="1006"/>
        </w:numPr>
      </w:pPr>
      <w:r>
        <w:t xml:space="preserve">Availability of supervisors</w:t>
      </w:r>
    </w:p>
    <w:p>
      <w:pPr>
        <w:pStyle w:val="Compact"/>
        <w:numPr>
          <w:ilvl w:val="1"/>
          <w:numId w:val="1006"/>
        </w:numPr>
      </w:pPr>
      <w:r>
        <w:t xml:space="preserve">Supervisor methodological competence</w:t>
      </w:r>
    </w:p>
    <w:p>
      <w:pPr>
        <w:pStyle w:val="Compact"/>
        <w:numPr>
          <w:ilvl w:val="1"/>
          <w:numId w:val="1006"/>
        </w:numPr>
      </w:pPr>
      <w:r>
        <w:t xml:space="preserve">Accessibility and continuity of supervision</w:t>
      </w:r>
    </w:p>
    <w:p>
      <w:pPr>
        <w:pStyle w:val="Compact"/>
        <w:numPr>
          <w:ilvl w:val="1"/>
          <w:numId w:val="1006"/>
        </w:numPr>
      </w:pPr>
      <w:r>
        <w:t xml:space="preserve">Quality of feedback</w:t>
      </w:r>
    </w:p>
    <w:p>
      <w:pPr>
        <w:pStyle w:val="Compact"/>
        <w:numPr>
          <w:ilvl w:val="1"/>
          <w:numId w:val="1006"/>
        </w:numPr>
      </w:pPr>
      <w:r>
        <w:t xml:space="preserve">Alignment between supervisor expertise and the research question</w:t>
      </w:r>
    </w:p>
    <w:p>
      <w:pPr>
        <w:pStyle w:val="Compact"/>
        <w:numPr>
          <w:ilvl w:val="1"/>
          <w:numId w:val="1006"/>
        </w:numPr>
      </w:pPr>
      <w:r>
        <w:t xml:space="preserve">Authorship and academic-credit practices</w:t>
      </w:r>
    </w:p>
    <w:p>
      <w:pPr>
        <w:pStyle w:val="Compact"/>
        <w:numPr>
          <w:ilvl w:val="1"/>
          <w:numId w:val="1006"/>
        </w:numPr>
      </w:pPr>
      <w:r>
        <w:t xml:space="preserve">Mentorship and research-network access</w:t>
      </w:r>
    </w:p>
    <w:p>
      <w:pPr>
        <w:pStyle w:val="Compact"/>
        <w:numPr>
          <w:ilvl w:val="0"/>
          <w:numId w:val="1004"/>
        </w:numPr>
      </w:pPr>
      <w:r>
        <w:rPr>
          <w:b/>
          <w:bCs/>
        </w:rPr>
        <w:t xml:space="preserve">Institutional/system level</w:t>
      </w:r>
    </w:p>
    <w:p>
      <w:pPr>
        <w:pStyle w:val="Compact"/>
        <w:numPr>
          <w:ilvl w:val="1"/>
          <w:numId w:val="1007"/>
        </w:numPr>
      </w:pPr>
      <w:r>
        <w:t xml:space="preserve">Protected research time</w:t>
      </w:r>
    </w:p>
    <w:p>
      <w:pPr>
        <w:pStyle w:val="Compact"/>
        <w:numPr>
          <w:ilvl w:val="1"/>
          <w:numId w:val="1007"/>
        </w:numPr>
      </w:pPr>
      <w:r>
        <w:t xml:space="preserve">Research infrastructure</w:t>
      </w:r>
    </w:p>
    <w:p>
      <w:pPr>
        <w:pStyle w:val="Compact"/>
        <w:numPr>
          <w:ilvl w:val="1"/>
          <w:numId w:val="1007"/>
        </w:numPr>
      </w:pPr>
      <w:r>
        <w:t xml:space="preserve">Statistical and methodological support</w:t>
      </w:r>
    </w:p>
    <w:p>
      <w:pPr>
        <w:pStyle w:val="Compact"/>
        <w:numPr>
          <w:ilvl w:val="1"/>
          <w:numId w:val="1007"/>
        </w:numPr>
      </w:pPr>
      <w:r>
        <w:t xml:space="preserve">Data access and information systems</w:t>
      </w:r>
    </w:p>
    <w:p>
      <w:pPr>
        <w:pStyle w:val="Compact"/>
        <w:numPr>
          <w:ilvl w:val="1"/>
          <w:numId w:val="1007"/>
        </w:numPr>
      </w:pPr>
      <w:r>
        <w:t xml:space="preserve">Laboratory and technical resources</w:t>
      </w:r>
    </w:p>
    <w:p>
      <w:pPr>
        <w:pStyle w:val="Compact"/>
        <w:numPr>
          <w:ilvl w:val="1"/>
          <w:numId w:val="1007"/>
        </w:numPr>
      </w:pPr>
      <w:r>
        <w:t xml:space="preserve">Ethics and administrative processes</w:t>
      </w:r>
    </w:p>
    <w:p>
      <w:pPr>
        <w:pStyle w:val="Compact"/>
        <w:numPr>
          <w:ilvl w:val="1"/>
          <w:numId w:val="1007"/>
        </w:numPr>
      </w:pPr>
      <w:r>
        <w:t xml:space="preserve">Institutional research support offices</w:t>
      </w:r>
    </w:p>
    <w:p>
      <w:pPr>
        <w:pStyle w:val="Compact"/>
        <w:numPr>
          <w:ilvl w:val="1"/>
          <w:numId w:val="1007"/>
        </w:numPr>
      </w:pPr>
      <w:r>
        <w:t xml:space="preserve">Collaboration and multidisciplinary research structures</w:t>
      </w:r>
    </w:p>
    <w:p>
      <w:pPr>
        <w:pStyle w:val="Compact"/>
        <w:numPr>
          <w:ilvl w:val="1"/>
          <w:numId w:val="1007"/>
        </w:numPr>
      </w:pPr>
      <w:r>
        <w:t xml:space="preserve">Research culture and incentives</w:t>
      </w:r>
    </w:p>
    <w:p>
      <w:pPr>
        <w:pStyle w:val="Compact"/>
        <w:numPr>
          <w:ilvl w:val="0"/>
          <w:numId w:val="1004"/>
        </w:numPr>
      </w:pPr>
      <w:r>
        <w:rPr>
          <w:b/>
          <w:bCs/>
        </w:rPr>
        <w:t xml:space="preserve">National research ecosystem level</w:t>
      </w:r>
    </w:p>
    <w:p>
      <w:pPr>
        <w:pStyle w:val="Compact"/>
        <w:numPr>
          <w:ilvl w:val="1"/>
          <w:numId w:val="1008"/>
        </w:numPr>
      </w:pPr>
      <w:r>
        <w:t xml:space="preserve">Availability and accessibility of research funding</w:t>
      </w:r>
    </w:p>
    <w:p>
      <w:pPr>
        <w:pStyle w:val="Compact"/>
        <w:numPr>
          <w:ilvl w:val="1"/>
          <w:numId w:val="1008"/>
        </w:numPr>
      </w:pPr>
      <w:r>
        <w:t xml:space="preserve">Funding mechanisms and administrative requirements</w:t>
      </w:r>
    </w:p>
    <w:p>
      <w:pPr>
        <w:pStyle w:val="Compact"/>
        <w:numPr>
          <w:ilvl w:val="1"/>
          <w:numId w:val="1008"/>
        </w:numPr>
      </w:pPr>
      <w:r>
        <w:t xml:space="preserve">Research regulation and governance</w:t>
      </w:r>
    </w:p>
    <w:p>
      <w:pPr>
        <w:pStyle w:val="Compact"/>
        <w:numPr>
          <w:ilvl w:val="1"/>
          <w:numId w:val="1008"/>
        </w:numPr>
      </w:pPr>
      <w:r>
        <w:t xml:space="preserve">Career and promotion incentives</w:t>
      </w:r>
    </w:p>
    <w:p>
      <w:pPr>
        <w:pStyle w:val="Compact"/>
        <w:numPr>
          <w:ilvl w:val="1"/>
          <w:numId w:val="1008"/>
        </w:numPr>
      </w:pPr>
      <w:r>
        <w:t xml:space="preserve">National research infrastructure</w:t>
      </w:r>
    </w:p>
    <w:p>
      <w:pPr>
        <w:pStyle w:val="Compact"/>
        <w:numPr>
          <w:ilvl w:val="1"/>
          <w:numId w:val="1008"/>
        </w:numPr>
      </w:pPr>
      <w:r>
        <w:t xml:space="preserve">Opportunities for inter-institutional and international collaboration</w:t>
      </w:r>
    </w:p>
    <w:p>
      <w:pPr>
        <w:pStyle w:val="FirstParagraph"/>
      </w:pPr>
      <w:r>
        <w:t xml:space="preserve">The study will also map barriers against stages of the research lifecycle: question selection → evidence synthesis and justification → design and methods → ethics and approvals → recruitment/data collection → analysis → reporting → dissemination and implementation.</w:t>
      </w:r>
    </w:p>
    <w:p>
      <w:pPr>
        <w:pStyle w:val="BodyText"/>
      </w:pPr>
      <w:r>
        <w:rPr>
          <w:b/>
          <w:bCs/>
        </w:rPr>
        <w:t xml:space="preserve">Key Definitions</w:t>
      </w:r>
    </w:p>
    <w:p>
      <w:pPr>
        <w:numPr>
          <w:ilvl w:val="0"/>
          <w:numId w:val="1009"/>
        </w:numPr>
      </w:pPr>
      <w:r>
        <w:t xml:space="preserve">Valid research: Research that uses methods appropriate to its question and design and is conducted, analyzed, and reported sufficiently well to support credible interpretation.</w:t>
      </w:r>
      <w:r>
        <w:t xml:space="preserve"> </w:t>
      </w:r>
      <w:r>
        <w:t xml:space="preserve">[1–6]</w:t>
      </w:r>
    </w:p>
    <w:p>
      <w:pPr>
        <w:numPr>
          <w:ilvl w:val="0"/>
          <w:numId w:val="1009"/>
        </w:numPr>
      </w:pPr>
      <w:r>
        <w:t xml:space="preserve">High-value research: Research that addresses an important and relevant question, builds appropriately on existing knowledge, uses proportionate and rigorous methods, and produces findings that can be meaningfully used by patients, clinicians, researchers, health systems, or policymakers.</w:t>
      </w:r>
      <w:r>
        <w:t xml:space="preserve"> </w:t>
      </w:r>
      <w:r>
        <w:t xml:space="preserve">[1–6]</w:t>
      </w:r>
    </w:p>
    <w:p>
      <w:pPr>
        <w:numPr>
          <w:ilvl w:val="0"/>
          <w:numId w:val="1009"/>
        </w:numPr>
      </w:pPr>
      <w:r>
        <w:t xml:space="preserve">Research waste: Avoidable loss of research value arising at one or more stages of the research lifecycle, including poor prioritization of questions, unnecessary duplication, inadequate design or methods, inefficient conduct, failure to disseminate findings, and incomplete or unusable reporting.</w:t>
      </w:r>
      <w:r>
        <w:t xml:space="preserve"> </w:t>
      </w:r>
      <w:r>
        <w:t xml:space="preserve">[1–6]</w:t>
      </w:r>
    </w:p>
    <w:p>
      <w:pPr>
        <w:numPr>
          <w:ilvl w:val="0"/>
          <w:numId w:val="1009"/>
        </w:numPr>
      </w:pPr>
      <w:r>
        <w:t xml:space="preserve">Expertise: Expertise for this Delphi study is defined as demonstrable experience in conducting, supervising, supporting, funding, governing, implementing, or evaluating medical research within the Egyptian research environment.</w:t>
      </w:r>
    </w:p>
    <w:bookmarkEnd w:id="23"/>
    <w:bookmarkStart w:id="24" w:name="study-design-and-setting"/>
    <w:p>
      <w:pPr>
        <w:pStyle w:val="Heading1"/>
      </w:pPr>
      <w:r>
        <w:t xml:space="preserve">5. Study Design and Setting</w:t>
      </w:r>
    </w:p>
    <w:p>
      <w:pPr>
        <w:pStyle w:val="FirstParagraph"/>
      </w:pPr>
      <w:r>
        <w:rPr>
          <w:b/>
          <w:bCs/>
        </w:rPr>
        <w:t xml:space="preserve">Design</w:t>
      </w:r>
      <w:r>
        <w:t xml:space="preserve">:</w:t>
      </w:r>
    </w:p>
    <w:p>
      <w:pPr>
        <w:pStyle w:val="BodyText"/>
      </w:pPr>
      <w:r>
        <w:t xml:space="preserve">This study will use a two-round modified Delphi consensus design, preceded by a structured item-generation phase. The preliminary phase will generate and refine candidate barrier and intervention statements. These statements will then undergo anonymous Delphi rating.</w:t>
      </w:r>
      <w:r>
        <w:t xml:space="preserve"> </w:t>
      </w:r>
      <w:r>
        <w:t xml:space="preserve">[7]</w:t>
      </w:r>
    </w:p>
    <w:p>
      <w:pPr>
        <w:pStyle w:val="BodyText"/>
      </w:pPr>
      <w:r>
        <w:t xml:space="preserve">The Delphi process will consist of:</w:t>
      </w:r>
    </w:p>
    <w:p>
      <w:pPr>
        <w:pStyle w:val="Compact"/>
        <w:numPr>
          <w:ilvl w:val="0"/>
          <w:numId w:val="1010"/>
        </w:numPr>
      </w:pPr>
      <w:r>
        <w:rPr>
          <w:b/>
          <w:bCs/>
        </w:rPr>
        <w:t xml:space="preserve">Preparation phase:</w:t>
      </w:r>
      <w:r>
        <w:t xml:space="preserve"> </w:t>
      </w:r>
      <w:r>
        <w:t xml:space="preserve">evidence review, conceptual framework development, item generation, expert review.</w:t>
      </w:r>
    </w:p>
    <w:p>
      <w:pPr>
        <w:pStyle w:val="Compact"/>
        <w:numPr>
          <w:ilvl w:val="0"/>
          <w:numId w:val="1010"/>
        </w:numPr>
      </w:pPr>
      <w:r>
        <w:rPr>
          <w:b/>
          <w:bCs/>
        </w:rPr>
        <w:t xml:space="preserve">Round 1:</w:t>
      </w:r>
      <w:r>
        <w:t xml:space="preserve"> </w:t>
      </w:r>
      <w:r>
        <w:t xml:space="preserve">rating of candidate barriers and interventions.</w:t>
      </w:r>
    </w:p>
    <w:p>
      <w:pPr>
        <w:pStyle w:val="Compact"/>
        <w:numPr>
          <w:ilvl w:val="0"/>
          <w:numId w:val="1010"/>
        </w:numPr>
      </w:pPr>
      <w:r>
        <w:rPr>
          <w:b/>
          <w:bCs/>
        </w:rPr>
        <w:t xml:space="preserve">Round 2:</w:t>
      </w:r>
      <w:r>
        <w:t xml:space="preserve"> </w:t>
      </w:r>
      <w:r>
        <w:t xml:space="preserve">re-rating of retained or revised items following anonymous group feedback.</w:t>
      </w:r>
    </w:p>
    <w:p>
      <w:pPr>
        <w:pStyle w:val="Compact"/>
        <w:numPr>
          <w:ilvl w:val="0"/>
          <w:numId w:val="1010"/>
        </w:numPr>
      </w:pPr>
      <w:r>
        <w:rPr>
          <w:b/>
          <w:bCs/>
        </w:rPr>
        <w:t xml:space="preserve">Final synthesis:</w:t>
      </w:r>
      <w:r>
        <w:t xml:space="preserve"> </w:t>
      </w:r>
      <w:r>
        <w:t xml:space="preserve">classification of consensus, persistent disagreement, stakeholder-group variation, development of the consensus-based priority framework.</w:t>
      </w:r>
    </w:p>
    <w:p>
      <w:pPr>
        <w:pStyle w:val="FirstParagraph"/>
      </w:pPr>
      <w:r>
        <w:t xml:space="preserve">No individual participant will be shown another participant’s identity or individual responses.</w:t>
      </w:r>
    </w:p>
    <w:p>
      <w:pPr>
        <w:pStyle w:val="BodyText"/>
      </w:pPr>
      <w:r>
        <w:rPr>
          <w:b/>
          <w:bCs/>
        </w:rPr>
        <w:t xml:space="preserve">Setting</w:t>
      </w:r>
    </w:p>
    <w:p>
      <w:pPr>
        <w:pStyle w:val="BodyText"/>
      </w:pPr>
      <w:r>
        <w:t xml:space="preserve">The study will recruit participants from multiple Egyptian medical schools, teaching hospitals, and research institutions. Recruitment will aim to achieve geographic and institutional diversity, including participants from Governmental, National, and Private universities.</w:t>
      </w:r>
    </w:p>
    <w:p>
      <w:pPr>
        <w:pStyle w:val="BodyText"/>
      </w:pPr>
      <w:r>
        <w:t xml:space="preserve">The study is not intended to produce statistically representative estimates for the Egyptian medical research workforce. Its purpose is to obtain a diverse range of informed perspectives relevant to consensus formation.</w:t>
      </w:r>
    </w:p>
    <w:bookmarkEnd w:id="24"/>
    <w:bookmarkStart w:id="25" w:name="participants-eligibility-and-sampling"/>
    <w:p>
      <w:pPr>
        <w:pStyle w:val="Heading1"/>
      </w:pPr>
      <w:r>
        <w:t xml:space="preserve">6. Participants, Eligibility, and Sampling</w:t>
      </w:r>
    </w:p>
    <w:p>
      <w:pPr>
        <w:pStyle w:val="FirstParagraph"/>
      </w:pPr>
      <w:r>
        <w:rPr>
          <w:b/>
          <w:bCs/>
        </w:rPr>
        <w:t xml:space="preserve">Inclusion criteria</w:t>
      </w:r>
    </w:p>
    <w:p>
      <w:pPr>
        <w:pStyle w:val="BodyText"/>
      </w:pPr>
      <w:r>
        <w:t xml:space="preserve">Participants must meet at least one of the following criteria:</w:t>
      </w:r>
    </w:p>
    <w:p>
      <w:pPr>
        <w:numPr>
          <w:ilvl w:val="0"/>
          <w:numId w:val="1011"/>
        </w:numPr>
      </w:pPr>
      <w:r>
        <w:t xml:space="preserve">Early-career researchers: be a medical student, house officer, resident, teaching assistant, assistant lecturer, or equivalent early-career medical researcher in Egypt; and have participated in, planned, conducted, analyzed, or written at least one research project.</w:t>
      </w:r>
    </w:p>
    <w:p>
      <w:pPr>
        <w:numPr>
          <w:ilvl w:val="0"/>
          <w:numId w:val="1011"/>
        </w:numPr>
      </w:pPr>
      <w:r>
        <w:t xml:space="preserve">Research supervisors: be a lecturer, associate professor, professor, or equivalent researcher who has supervised medical research involving early-career researchers; and have current or recent experience in research supervision.</w:t>
      </w:r>
    </w:p>
    <w:p>
      <w:pPr>
        <w:numPr>
          <w:ilvl w:val="0"/>
          <w:numId w:val="1011"/>
        </w:numPr>
      </w:pPr>
      <w:r>
        <w:t xml:space="preserve">Research methodologists/biostatisticians: have formal or substantial professional experience in epidemiology, biostatistics, research methodology, evidence synthesis, qualitative research, or related methodological disciplines; and have experience supporting or conducting health research.</w:t>
      </w:r>
    </w:p>
    <w:p>
      <w:pPr>
        <w:numPr>
          <w:ilvl w:val="0"/>
          <w:numId w:val="1011"/>
        </w:numPr>
      </w:pPr>
      <w:r>
        <w:t xml:space="preserve">Ethics/research governance participants: be a member or former member of a research ethics committee, research governance body, or comparable institutional structure.</w:t>
      </w:r>
    </w:p>
    <w:p>
      <w:pPr>
        <w:pStyle w:val="FirstParagraph"/>
      </w:pPr>
      <w:r>
        <w:t xml:space="preserve">Participants will have to choose one group that best describes their role for the purpose of panel characterization and subgroup analysis.</w:t>
      </w:r>
    </w:p>
    <w:p>
      <w:pPr>
        <w:pStyle w:val="BodyText"/>
      </w:pPr>
      <w:r>
        <w:rPr>
          <w:b/>
          <w:bCs/>
        </w:rPr>
        <w:t xml:space="preserve">Exclusion criteria</w:t>
      </w:r>
    </w:p>
    <w:p>
      <w:pPr>
        <w:pStyle w:val="BodyText"/>
      </w:pPr>
      <w:r>
        <w:t xml:space="preserve">Participants will be excluded if they:</w:t>
      </w:r>
    </w:p>
    <w:p>
      <w:pPr>
        <w:pStyle w:val="Compact"/>
        <w:numPr>
          <w:ilvl w:val="0"/>
          <w:numId w:val="1012"/>
        </w:numPr>
      </w:pPr>
      <w:r>
        <w:t xml:space="preserve">cannot provide informed consent; or</w:t>
      </w:r>
    </w:p>
    <w:p>
      <w:pPr>
        <w:pStyle w:val="Compact"/>
        <w:numPr>
          <w:ilvl w:val="0"/>
          <w:numId w:val="1012"/>
        </w:numPr>
      </w:pPr>
      <w:r>
        <w:t xml:space="preserve">have insufficient familiarity with medical research in Egypt to complete the Delphi questionnaire meaningfully.</w:t>
      </w:r>
    </w:p>
    <w:p>
      <w:pPr>
        <w:pStyle w:val="FirstParagraph"/>
      </w:pPr>
      <w:r>
        <w:rPr>
          <w:b/>
          <w:bCs/>
        </w:rPr>
        <w:t xml:space="preserve">Panel Composition and Sampling</w:t>
      </w:r>
    </w:p>
    <w:p>
      <w:pPr>
        <w:pStyle w:val="BodyText"/>
      </w:pPr>
      <w:r>
        <w:t xml:space="preserve">A purposive maximum-variation sampling strategy will be used.</w:t>
      </w:r>
    </w:p>
    <w:p>
      <w:pPr>
        <w:pStyle w:val="BodyText"/>
      </w:pPr>
      <w:r>
        <w:t xml:space="preserve">Stakeholders are grouped because barriers to high-value research arise across multiple levels of the research ecosystem. Early-career researchers provide direct experience of barriers; supervisors provide insight regarding mentorship and training; methodologists contribute expertise regarding research validity; and institutional/governance stakeholders provide perspectives on ethics and regulatory processes.</w:t>
      </w:r>
    </w:p>
    <w:p>
      <w:pPr>
        <w:pStyle w:val="BodyText"/>
      </w:pPr>
      <w:r>
        <w:t xml:space="preserve">The planned panel composition is approximately: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Stakeholder group</w:t>
            </w:r>
          </w:p>
        </w:tc>
        <w:tc>
          <w:tcPr/>
          <w:p>
            <w:pPr>
              <w:pStyle w:val="Compact"/>
              <w:jc w:val="right"/>
            </w:pPr>
            <w:r>
              <w:t xml:space="preserve">Target number</w:t>
            </w:r>
          </w:p>
        </w:tc>
      </w:tr>
      <w:tr>
        <w:tc>
          <w:tcPr/>
          <w:p>
            <w:pPr>
              <w:pStyle w:val="Compact"/>
            </w:pPr>
            <w:r>
              <w:t xml:space="preserve">Early-career researchers</w:t>
            </w:r>
          </w:p>
        </w:tc>
        <w:tc>
          <w:tcPr/>
          <w:p>
            <w:pPr>
              <w:pStyle w:val="Compact"/>
              <w:jc w:val="right"/>
            </w:pPr>
            <w:r>
              <w:t xml:space="preserve">30</w:t>
            </w:r>
          </w:p>
        </w:tc>
      </w:tr>
      <w:tr>
        <w:tc>
          <w:tcPr/>
          <w:p>
            <w:pPr>
              <w:pStyle w:val="Compact"/>
            </w:pPr>
            <w:r>
              <w:t xml:space="preserve">Research supervisors</w:t>
            </w:r>
          </w:p>
        </w:tc>
        <w:tc>
          <w:tcPr/>
          <w:p>
            <w:pPr>
              <w:pStyle w:val="Compact"/>
              <w:jc w:val="right"/>
            </w:pPr>
            <w:r>
              <w:t xml:space="preserve">20</w:t>
            </w:r>
          </w:p>
        </w:tc>
      </w:tr>
      <w:tr>
        <w:tc>
          <w:tcPr/>
          <w:p>
            <w:pPr>
              <w:pStyle w:val="Compact"/>
            </w:pPr>
            <w:r>
              <w:t xml:space="preserve">Biostatisticians/methodologists</w:t>
            </w:r>
          </w:p>
        </w:tc>
        <w:tc>
          <w:tcPr/>
          <w:p>
            <w:pPr>
              <w:pStyle w:val="Compact"/>
              <w:jc w:val="right"/>
            </w:pPr>
            <w:r>
              <w:t xml:space="preserve">10</w:t>
            </w:r>
          </w:p>
        </w:tc>
      </w:tr>
      <w:tr>
        <w:tc>
          <w:tcPr/>
          <w:p>
            <w:pPr>
              <w:pStyle w:val="Compact"/>
            </w:pPr>
            <w:r>
              <w:t xml:space="preserve">Institutional/governance stakeholders</w:t>
            </w:r>
          </w:p>
        </w:tc>
        <w:tc>
          <w:tcPr/>
          <w:p>
            <w:pPr>
              <w:pStyle w:val="Compact"/>
              <w:jc w:val="right"/>
            </w:pPr>
            <w:r>
              <w:t xml:space="preserve">10</w:t>
            </w:r>
          </w:p>
        </w:tc>
      </w:tr>
      <w:tr>
        <w:tc>
          <w:tcPr/>
          <w:p>
            <w:pPr>
              <w:pStyle w:val="Compact"/>
            </w:pPr>
            <w:r>
              <w:rPr>
                <w:b/>
                <w:bCs/>
              </w:rPr>
              <w:t xml:space="preserve">Total target panel</w:t>
            </w:r>
          </w:p>
        </w:tc>
        <w:tc>
          <w:tcPr/>
          <w:p>
            <w:pPr>
              <w:pStyle w:val="Compact"/>
              <w:jc w:val="right"/>
            </w:pPr>
            <w:r>
              <w:rPr>
                <w:b/>
                <w:bCs/>
              </w:rPr>
              <w:t xml:space="preserve">70</w:t>
            </w:r>
          </w:p>
        </w:tc>
      </w:tr>
    </w:tbl>
    <w:p>
      <w:pPr>
        <w:pStyle w:val="BodyText"/>
      </w:pPr>
      <w:r>
        <w:t xml:space="preserve">The target is approximately 70 invited participants, with at least 50 completing Round 1 and 40 completing Round 2. The final number may vary according to recruitment feasibility and the need to maintain meaningful representation of stakeholder groups.</w:t>
      </w:r>
    </w:p>
    <w:p>
      <w:pPr>
        <w:pStyle w:val="BodyText"/>
      </w:pPr>
      <w:r>
        <w:t xml:space="preserve">The study will not use statistical weighting to make one stakeholder group numerically representative of the Egyptian research workforce. Instead, stakeholder composition and response rates will be reported transparently, and subgroup differences will be treated as exploratory unless sufficient numbers permit more formal comparison.</w:t>
      </w:r>
    </w:p>
    <w:p>
      <w:pPr>
        <w:pStyle w:val="BodyText"/>
      </w:pPr>
      <w:r>
        <w:rPr>
          <w:b/>
          <w:bCs/>
        </w:rPr>
        <w:t xml:space="preserve">Recruitment procedures</w:t>
      </w:r>
    </w:p>
    <w:p>
      <w:pPr>
        <w:pStyle w:val="BodyText"/>
      </w:pPr>
      <w:r>
        <w:t xml:space="preserve">The study team will approach participants directly by an individualized invitation. No snowball recruitment will be used. The invitation will include a brief study description, an information sheet, and a link to the electronic consent form and Round-1 questionnaire.</w:t>
      </w:r>
    </w:p>
    <w:p>
      <w:pPr>
        <w:pStyle w:val="BodyText"/>
      </w:pPr>
      <w:r>
        <w:t xml:space="preserve">The advisory board, PI, co-investigators and coordinators are excluded from the panel.</w:t>
      </w:r>
    </w:p>
    <w:bookmarkEnd w:id="25"/>
    <w:bookmarkStart w:id="26" w:name="item-generation"/>
    <w:p>
      <w:pPr>
        <w:pStyle w:val="Heading1"/>
      </w:pPr>
      <w:r>
        <w:t xml:space="preserve">7. Item Generation</w:t>
      </w:r>
    </w:p>
    <w:p>
      <w:pPr>
        <w:pStyle w:val="FirstParagraph"/>
      </w:pPr>
      <w:r>
        <w:t xml:space="preserve">A structured narrative review of existing literature will focus on domains related to reducing research waste and increasing value with particular attention to early-career researchers and low- and middle-income settings. The review will be used to generate candidate domains and statements.</w:t>
      </w:r>
    </w:p>
    <w:p>
      <w:pPr>
        <w:pStyle w:val="BodyText"/>
      </w:pPr>
      <w:r>
        <w:t xml:space="preserve">Evidence-review findings will be converted into concise, single-concept statements.</w:t>
      </w:r>
    </w:p>
    <w:p>
      <w:pPr>
        <w:pStyle w:val="BodyText"/>
      </w:pPr>
      <w:r>
        <w:t xml:space="preserve">Where possible, each item will:</w:t>
      </w:r>
    </w:p>
    <w:p>
      <w:pPr>
        <w:pStyle w:val="Compact"/>
        <w:numPr>
          <w:ilvl w:val="0"/>
          <w:numId w:val="1013"/>
        </w:numPr>
      </w:pPr>
      <w:r>
        <w:t xml:space="preserve">describe one barrier or intervention;</w:t>
      </w:r>
    </w:p>
    <w:p>
      <w:pPr>
        <w:pStyle w:val="Compact"/>
        <w:numPr>
          <w:ilvl w:val="0"/>
          <w:numId w:val="1013"/>
        </w:numPr>
      </w:pPr>
      <w:r>
        <w:t xml:space="preserve">use neutral, non-accusatory wording;</w:t>
      </w:r>
    </w:p>
    <w:p>
      <w:pPr>
        <w:pStyle w:val="Compact"/>
        <w:numPr>
          <w:ilvl w:val="0"/>
          <w:numId w:val="1013"/>
        </w:numPr>
      </w:pPr>
      <w:r>
        <w:t xml:space="preserve">avoid double-barrelled concepts;</w:t>
      </w:r>
    </w:p>
    <w:p>
      <w:pPr>
        <w:pStyle w:val="Compact"/>
        <w:numPr>
          <w:ilvl w:val="0"/>
          <w:numId w:val="1013"/>
        </w:numPr>
      </w:pPr>
      <w:r>
        <w:t xml:space="preserve">be understandable to participants from different professional backgrounds; and</w:t>
      </w:r>
    </w:p>
    <w:p>
      <w:pPr>
        <w:pStyle w:val="Compact"/>
        <w:numPr>
          <w:ilvl w:val="0"/>
          <w:numId w:val="1013"/>
        </w:numPr>
      </w:pPr>
      <w:r>
        <w:t xml:space="preserve">identify the level or research-stage at which the barrier operates.</w:t>
      </w:r>
    </w:p>
    <w:p>
      <w:pPr>
        <w:pStyle w:val="FirstParagraph"/>
      </w:pPr>
      <w:r>
        <w:t xml:space="preserve">The advisory board will review the initial item pool for conceptual overlap, redundancy, ambiguity, and comprehensiveness. A record of major item additions, deletions, mergers, and wording changes will be maintained.</w:t>
      </w:r>
    </w:p>
    <w:bookmarkEnd w:id="26"/>
    <w:bookmarkStart w:id="31" w:name="delphi-questionnaire-and-procedures"/>
    <w:p>
      <w:pPr>
        <w:pStyle w:val="Heading1"/>
      </w:pPr>
      <w:r>
        <w:t xml:space="preserve">8. Delphi Questionnaire and Procedures</w:t>
      </w:r>
    </w:p>
    <w:p>
      <w:pPr>
        <w:pStyle w:val="FirstParagraph"/>
      </w:pPr>
      <w:r>
        <w:rPr>
          <w:b/>
          <w:bCs/>
        </w:rPr>
        <w:t xml:space="preserve">Questionnaire administration and participant burden</w:t>
      </w:r>
    </w:p>
    <w:p>
      <w:pPr>
        <w:pStyle w:val="BodyText"/>
      </w:pPr>
      <w:r>
        <w:t xml:space="preserve">The survey will be administered using Microsoft Forms. Data will be stored on secure password-protected system accessible only to study coordinators. Completion of each round is expected to require approximately 30 minutes. These estimates will be test-run and confirmed before recruitment. Participants will be informed of the expected time commitment in the invitation and information sheet.</w:t>
      </w:r>
    </w:p>
    <w:bookmarkStart w:id="27" w:name="delphi-round-1"/>
    <w:p>
      <w:pPr>
        <w:pStyle w:val="Heading2"/>
      </w:pPr>
      <w:r>
        <w:t xml:space="preserve">8.1 Delphi Round 1</w:t>
      </w:r>
    </w:p>
    <w:p>
      <w:pPr>
        <w:pStyle w:val="FirstParagraph"/>
      </w:pPr>
      <w:r>
        <w:t xml:space="preserve">Participants will receive:</w:t>
      </w:r>
    </w:p>
    <w:p>
      <w:pPr>
        <w:pStyle w:val="Compact"/>
        <w:numPr>
          <w:ilvl w:val="0"/>
          <w:numId w:val="1014"/>
        </w:numPr>
      </w:pPr>
      <w:r>
        <w:t xml:space="preserve">an information sheet and electronic consent form;</w:t>
      </w:r>
    </w:p>
    <w:p>
      <w:pPr>
        <w:pStyle w:val="Compact"/>
        <w:numPr>
          <w:ilvl w:val="0"/>
          <w:numId w:val="1014"/>
        </w:numPr>
      </w:pPr>
      <w:r>
        <w:t xml:space="preserve">brief instructions explaining the Delphi process;</w:t>
      </w:r>
    </w:p>
    <w:p>
      <w:pPr>
        <w:pStyle w:val="Compact"/>
        <w:numPr>
          <w:ilvl w:val="0"/>
          <w:numId w:val="1014"/>
        </w:numPr>
      </w:pPr>
      <w:r>
        <w:t xml:space="preserve">candidate barrier items;</w:t>
      </w:r>
    </w:p>
    <w:p>
      <w:pPr>
        <w:pStyle w:val="Compact"/>
        <w:numPr>
          <w:ilvl w:val="0"/>
          <w:numId w:val="1014"/>
        </w:numPr>
      </w:pPr>
      <w:r>
        <w:t xml:space="preserve">candidate intervention items;</w:t>
      </w:r>
    </w:p>
    <w:p>
      <w:pPr>
        <w:pStyle w:val="Compact"/>
        <w:numPr>
          <w:ilvl w:val="0"/>
          <w:numId w:val="1014"/>
        </w:numPr>
      </w:pPr>
      <w:r>
        <w:t xml:space="preserve">importance and modifiability rating scales for barriers;</w:t>
      </w:r>
    </w:p>
    <w:p>
      <w:pPr>
        <w:pStyle w:val="Compact"/>
        <w:numPr>
          <w:ilvl w:val="0"/>
          <w:numId w:val="1014"/>
        </w:numPr>
      </w:pPr>
      <w:r>
        <w:t xml:space="preserve">importance/potential-impact and feasibility rating scales for interventions;</w:t>
      </w:r>
    </w:p>
    <w:p>
      <w:pPr>
        <w:pStyle w:val="Compact"/>
        <w:numPr>
          <w:ilvl w:val="0"/>
          <w:numId w:val="1014"/>
        </w:numPr>
      </w:pPr>
      <w:r>
        <w:t xml:space="preserve">a question on the primary implementation level for each intervention; and</w:t>
      </w:r>
    </w:p>
    <w:p>
      <w:pPr>
        <w:pStyle w:val="Compact"/>
        <w:numPr>
          <w:ilvl w:val="0"/>
          <w:numId w:val="1014"/>
        </w:numPr>
      </w:pPr>
      <w:r>
        <w:t xml:space="preserve">basic professional and background questions required for panel characterization.</w:t>
      </w:r>
    </w:p>
    <w:p>
      <w:pPr>
        <w:pStyle w:val="FirstParagraph"/>
      </w:pPr>
      <w:r>
        <w:t xml:space="preserve">Participants will be asked to rate each barrier according to:</w:t>
      </w:r>
    </w:p>
    <w:p>
      <w:pPr>
        <w:pStyle w:val="Compact"/>
        <w:numPr>
          <w:ilvl w:val="0"/>
          <w:numId w:val="1015"/>
        </w:numPr>
      </w:pPr>
      <w:r>
        <w:rPr>
          <w:b/>
          <w:bCs/>
        </w:rPr>
        <w:t xml:space="preserve">Importance:</w:t>
      </w:r>
      <w:r>
        <w:t xml:space="preserve"> </w:t>
      </w:r>
      <w:r>
        <w:t xml:space="preserve">the extent to which the barrier limits valid, relevant, and high-value medical research among early-career researchers in Egypt; and</w:t>
      </w:r>
    </w:p>
    <w:p>
      <w:pPr>
        <w:pStyle w:val="Compact"/>
        <w:numPr>
          <w:ilvl w:val="0"/>
          <w:numId w:val="1015"/>
        </w:numPr>
      </w:pPr>
      <w:r>
        <w:rPr>
          <w:b/>
          <w:bCs/>
        </w:rPr>
        <w:t xml:space="preserve">Modifiability:</w:t>
      </w:r>
      <w:r>
        <w:t xml:space="preserve"> </w:t>
      </w:r>
      <w:r>
        <w:t xml:space="preserve">the extent to which the barrier could realistically be changed or improved through action at the Researcher level, Supervision and mentorship level, Institutional/system level, or National research ecosystem level.</w:t>
      </w:r>
    </w:p>
    <w:p>
      <w:pPr>
        <w:pStyle w:val="FirstParagraph"/>
      </w:pPr>
      <w:r>
        <w:t xml:space="preserve">Participants will also be asked to rate each candidate intervention according to:</w:t>
      </w:r>
    </w:p>
    <w:p>
      <w:pPr>
        <w:pStyle w:val="Compact"/>
        <w:numPr>
          <w:ilvl w:val="0"/>
          <w:numId w:val="1016"/>
        </w:numPr>
      </w:pPr>
      <w:r>
        <w:rPr>
          <w:b/>
          <w:bCs/>
        </w:rPr>
        <w:t xml:space="preserve">Importance/potential impact:</w:t>
      </w:r>
      <w:r>
        <w:t xml:space="preserve"> </w:t>
      </w:r>
      <w:r>
        <w:t xml:space="preserve">the extent to which the intervention, if appropriately implemented, could meaningfully address important barriers and improve valid, relevant, and high-value research; and</w:t>
      </w:r>
    </w:p>
    <w:p>
      <w:pPr>
        <w:pStyle w:val="Compact"/>
        <w:numPr>
          <w:ilvl w:val="0"/>
          <w:numId w:val="1016"/>
        </w:numPr>
      </w:pPr>
      <w:r>
        <w:rPr>
          <w:b/>
          <w:bCs/>
        </w:rPr>
        <w:t xml:space="preserve">Feasibility in the Egyptian context:</w:t>
      </w:r>
      <w:r>
        <w:t xml:space="preserve"> </w:t>
      </w:r>
      <w:r>
        <w:t xml:space="preserve">the extent to which the intervention could realistically be implemented within a realistic timeframe and with realistic resources.</w:t>
      </w:r>
    </w:p>
    <w:p>
      <w:pPr>
        <w:pStyle w:val="FirstParagraph"/>
      </w:pPr>
      <w:r>
        <w:t xml:space="preserve">For each intervention, participants will also select the</w:t>
      </w:r>
      <w:r>
        <w:t xml:space="preserve"> </w:t>
      </w:r>
      <w:r>
        <w:rPr>
          <w:b/>
          <w:bCs/>
        </w:rPr>
        <w:t xml:space="preserve">primary implementation level</w:t>
      </w:r>
      <w:r>
        <w:t xml:space="preserve">: Researcher, Supervision and mentorship level, Institutional/system, or National research ecosystem, multiple levels equally required, or “cannot judge.”</w:t>
      </w:r>
    </w:p>
    <w:p>
      <w:pPr>
        <w:pStyle w:val="BodyText"/>
      </w:pPr>
      <w:r>
        <w:t xml:space="preserve">Participants will be encouraged to consider the Egyptian research system as a whole rather than assigning responsibility for barriers to individual researchers, departments, or institutions.</w:t>
      </w:r>
    </w:p>
    <w:p>
      <w:pPr>
        <w:pStyle w:val="BodyText"/>
      </w:pPr>
      <w:r>
        <w:t xml:space="preserve">Participants may select “Cannot judge / insufficient experience” for any barrier or intervention item for which they do not feel sufficiently informed to provide a rating.</w:t>
      </w:r>
    </w:p>
    <w:p>
      <w:pPr>
        <w:pStyle w:val="BodyText"/>
      </w:pPr>
      <w:r>
        <w:t xml:space="preserve">Round 1 will remain open for approximately 2–3 weeks, with one or two reminders.</w:t>
      </w:r>
    </w:p>
    <w:bookmarkEnd w:id="27"/>
    <w:bookmarkStart w:id="28" w:name="round-1-item-handling"/>
    <w:p>
      <w:pPr>
        <w:pStyle w:val="Heading2"/>
      </w:pPr>
      <w:r>
        <w:t xml:space="preserve">8.2 Round-1 Item Handling</w:t>
      </w:r>
    </w:p>
    <w:p>
      <w:pPr>
        <w:pStyle w:val="FirstParagraph"/>
      </w:pPr>
      <w:r>
        <w:t xml:space="preserve">Item handling will follow the rules below, using valid Round-1 ratings (excluding “Cannot judge”) from the whole panel. The advisory board will see only item-level aggregate statistics, and every decision will be recorded in the audit trail.</w:t>
      </w:r>
    </w:p>
    <w:p>
      <w:pPr>
        <w:pStyle w:val="BodyText"/>
      </w:pPr>
      <w:r>
        <w:rPr>
          <w:b/>
          <w:bCs/>
        </w:rPr>
        <w:t xml:space="preserve">Barrier items (judged on importance ratings)</w:t>
      </w:r>
    </w:p>
    <w:p>
      <w:pPr>
        <w:pStyle w:val="Compact"/>
        <w:numPr>
          <w:ilvl w:val="0"/>
          <w:numId w:val="1017"/>
        </w:numPr>
      </w:pPr>
      <w:r>
        <w:t xml:space="preserve">Retain: the median is ≥7 and ≥60% of valid ratings are 7–9. The item advances to Round 2 unchanged, apart from agreed wording corrections.</w:t>
      </w:r>
    </w:p>
    <w:p>
      <w:pPr>
        <w:pStyle w:val="Compact"/>
        <w:numPr>
          <w:ilvl w:val="0"/>
          <w:numId w:val="1017"/>
        </w:numPr>
      </w:pPr>
      <w:r>
        <w:t xml:space="preserve">Conditional zone: 40–59% of valid ratings are 7–9. The item advances to Round 2 and is never removed on rating alone. It is revised only if a documented wording problem exists (see below).</w:t>
      </w:r>
    </w:p>
    <w:p>
      <w:pPr>
        <w:pStyle w:val="Compact"/>
        <w:numPr>
          <w:ilvl w:val="0"/>
          <w:numId w:val="1017"/>
        </w:numPr>
      </w:pPr>
      <w:r>
        <w:t xml:space="preserve">Remove from Round 2: fewer than 40% of valid ratings are 7–9. The item is still reported in the results.</w:t>
      </w:r>
    </w:p>
    <w:p>
      <w:pPr>
        <w:pStyle w:val="FirstParagraph"/>
      </w:pPr>
      <w:r>
        <w:rPr>
          <w:b/>
          <w:bCs/>
        </w:rPr>
        <w:t xml:space="preserve">Intervention items (judged on importance/potential-impact ratings only)</w:t>
      </w:r>
    </w:p>
    <w:p>
      <w:pPr>
        <w:pStyle w:val="BodyText"/>
      </w:pPr>
      <w:r>
        <w:t xml:space="preserve">The same three thresholds apply. Feasibility ratings will not be used to remove an intervention in Round 1, so that important but difficult interventions remain available for classification as “high-impact but less feasible” in Round 2.</w:t>
      </w:r>
    </w:p>
    <w:p>
      <w:pPr>
        <w:pStyle w:val="BodyText"/>
      </w:pPr>
      <w:r>
        <w:rPr>
          <w:b/>
          <w:bCs/>
        </w:rPr>
        <w:t xml:space="preserve">Revision</w:t>
      </w:r>
      <w:r>
        <w:t xml:space="preserve">. An item may be revised before Round 2 only if at least one of the following applies, and the reason will be recorded: (a) more than 25% of respondents selected “Cannot judge” for the item; (b) at least three participants independently commented that the wording is unclear or overlapping with another item; or (c) the advisory board identifies a wording problem by a two-thirds majority and documents it. Revision may change wording only, never the underlying construct, and a revised item is rated afresh in Round 2.</w:t>
      </w:r>
    </w:p>
    <w:p>
      <w:pPr>
        <w:pStyle w:val="BodyText"/>
      </w:pPr>
      <w:r>
        <w:rPr>
          <w:b/>
          <w:bCs/>
        </w:rPr>
        <w:t xml:space="preserve">Non-rating removal</w:t>
      </w:r>
      <w:r>
        <w:t xml:space="preserve">. An item may also be removed if it duplicates another item, is outside the study scope, or represents a different construct. This requires a two-thirds majority of the advisory board and a documented reason.</w:t>
      </w:r>
    </w:p>
    <w:p>
      <w:pPr>
        <w:pStyle w:val="BodyText"/>
      </w:pPr>
      <w:r>
        <w:rPr>
          <w:b/>
          <w:bCs/>
        </w:rPr>
        <w:t xml:space="preserve">Protection for minority views.</w:t>
      </w:r>
      <w:r>
        <w:t xml:space="preserve"> </w:t>
      </w:r>
      <w:r>
        <w:t xml:space="preserve">An item will not be removed under the numeric rule if at least 75% of valid ratings from any single stakeholder group (with ≥5 valid ratings) fall in 7–9.</w:t>
      </w:r>
    </w:p>
    <w:bookmarkEnd w:id="28"/>
    <w:bookmarkStart w:id="29" w:name="delphi-round-2"/>
    <w:p>
      <w:pPr>
        <w:pStyle w:val="Heading2"/>
      </w:pPr>
      <w:r>
        <w:t xml:space="preserve">8.3 Delphi Round 2</w:t>
      </w:r>
    </w:p>
    <w:p>
      <w:pPr>
        <w:pStyle w:val="FirstParagraph"/>
      </w:pPr>
      <w:r>
        <w:t xml:space="preserve">Round 2 will include retained and revised barrier and intervention items.</w:t>
      </w:r>
    </w:p>
    <w:p>
      <w:pPr>
        <w:pStyle w:val="BodyText"/>
      </w:pPr>
      <w:r>
        <w:t xml:space="preserve">Participants will receive anonymized group-level feedback from Round 1 for each retained or revised item, including:</w:t>
      </w:r>
    </w:p>
    <w:p>
      <w:pPr>
        <w:pStyle w:val="Compact"/>
        <w:numPr>
          <w:ilvl w:val="0"/>
          <w:numId w:val="1018"/>
        </w:numPr>
      </w:pPr>
      <w:r>
        <w:t xml:space="preserve">the number of valid responses;</w:t>
      </w:r>
    </w:p>
    <w:p>
      <w:pPr>
        <w:pStyle w:val="Compact"/>
        <w:numPr>
          <w:ilvl w:val="0"/>
          <w:numId w:val="1018"/>
        </w:numPr>
      </w:pPr>
      <w:r>
        <w:t xml:space="preserve">the median rating;</w:t>
      </w:r>
    </w:p>
    <w:p>
      <w:pPr>
        <w:pStyle w:val="Compact"/>
        <w:numPr>
          <w:ilvl w:val="0"/>
          <w:numId w:val="1018"/>
        </w:numPr>
      </w:pPr>
      <w:r>
        <w:t xml:space="preserve">the interquartile range; and</w:t>
      </w:r>
    </w:p>
    <w:p>
      <w:pPr>
        <w:pStyle w:val="Compact"/>
        <w:numPr>
          <w:ilvl w:val="0"/>
          <w:numId w:val="1018"/>
        </w:numPr>
      </w:pPr>
      <w:r>
        <w:t xml:space="preserve">the percentage of ratings in the predefined high-rating range.</w:t>
      </w:r>
    </w:p>
    <w:p>
      <w:pPr>
        <w:pStyle w:val="FirstParagraph"/>
      </w:pPr>
      <w:r>
        <w:t xml:space="preserve">For barriers, feedback will be presented separately for importance and modifiability.</w:t>
      </w:r>
    </w:p>
    <w:p>
      <w:pPr>
        <w:pStyle w:val="BodyText"/>
      </w:pPr>
      <w:r>
        <w:t xml:space="preserve">For interventions, feedback will be presented separately for importance/potential impact and feasibility.</w:t>
      </w:r>
    </w:p>
    <w:p>
      <w:pPr>
        <w:pStyle w:val="BodyText"/>
      </w:pPr>
      <w:r>
        <w:t xml:space="preserve">Individual participant responses will not be identified. Where technically appropriate and secure, participants may be shown their own previous Round-1 ratings to assist reconsideration; these responses will not be visible to other participants.</w:t>
      </w:r>
    </w:p>
    <w:p>
      <w:pPr>
        <w:pStyle w:val="BodyText"/>
      </w:pPr>
      <w:r>
        <w:t xml:space="preserve">Participants will be asked to re-rate:</w:t>
      </w:r>
    </w:p>
    <w:p>
      <w:pPr>
        <w:pStyle w:val="Compact"/>
        <w:numPr>
          <w:ilvl w:val="0"/>
          <w:numId w:val="1019"/>
        </w:numPr>
      </w:pPr>
      <w:r>
        <w:t xml:space="preserve">the importance and modifiability of retained or revised barriers; and</w:t>
      </w:r>
    </w:p>
    <w:p>
      <w:pPr>
        <w:pStyle w:val="Compact"/>
        <w:numPr>
          <w:ilvl w:val="0"/>
          <w:numId w:val="1019"/>
        </w:numPr>
      </w:pPr>
      <w:r>
        <w:t xml:space="preserve">the importance/potential impact and feasibility of retained or revised interventions.</w:t>
      </w:r>
    </w:p>
    <w:p>
      <w:pPr>
        <w:pStyle w:val="FirstParagraph"/>
      </w:pPr>
      <w:r>
        <w:t xml:space="preserve">For revised intervention items, participants will also be asked to reselect the primary implementation level.</w:t>
      </w:r>
    </w:p>
    <w:p>
      <w:pPr>
        <w:pStyle w:val="BodyText"/>
      </w:pPr>
      <w:r>
        <w:t xml:space="preserve">Round 2 will ask participants to select up to five barriers that they consider most important in limiting valid, relevant, and high-value medical research among early-career researchers in Egypt. The list will contain all barriers retained or revised for Round 2, shown in randomized order. Round 2 will also ask participants to identify up to three interventions that should be prioritized first because they are both important and feasible in the Egyptian context.</w:t>
      </w:r>
    </w:p>
    <w:p>
      <w:pPr>
        <w:pStyle w:val="BodyText"/>
      </w:pPr>
      <w:r>
        <w:t xml:space="preserve">The Round-2 questionnaire will remain open for approximately 2–3 weeks, with one or two reminders.</w:t>
      </w:r>
    </w:p>
    <w:bookmarkEnd w:id="29"/>
    <w:bookmarkStart w:id="30" w:name="consensus-and-prioritization-criteria"/>
    <w:p>
      <w:pPr>
        <w:pStyle w:val="Heading2"/>
      </w:pPr>
      <w:r>
        <w:t xml:space="preserve">8.4 Consensus and prioritization criteria</w:t>
      </w:r>
    </w:p>
    <w:p>
      <w:pPr>
        <w:pStyle w:val="FirstParagraph"/>
      </w:pPr>
      <w:r>
        <w:rPr>
          <w:b/>
          <w:bCs/>
        </w:rPr>
        <w:t xml:space="preserve">Consensus criteria</w:t>
      </w:r>
    </w:p>
    <w:p>
      <w:pPr>
        <w:pStyle w:val="BodyText"/>
      </w:pPr>
      <w:r>
        <w:t xml:space="preserve">Consensus criteria are specified before Round-1 launch and will not be changed in response to the observed results.</w:t>
      </w:r>
    </w:p>
    <w:p>
      <w:pPr>
        <w:pStyle w:val="BodyText"/>
      </w:pPr>
      <w:r>
        <w:t xml:space="preserve">All classifications will be based on valid ratings collected in Round 2. “Valid ratings” exclude responses of “Cannot judge / insufficient experience.” Round-1 results will be used to determine which items are retained, revised, or removed before Round 2, and will be reported descriptively.</w:t>
      </w:r>
    </w:p>
    <w:p>
      <w:pPr>
        <w:pStyle w:val="BodyText"/>
      </w:pPr>
      <w:r>
        <w:t xml:space="preserve">For each item and rating dimension, the study will report the number of valid responses, median, interquartile range (IQR), percentage of ratings in the 7–9 range, and percentage of ratings in the 1–3 range.</w:t>
      </w:r>
    </w:p>
    <w:p>
      <w:pPr>
        <w:pStyle w:val="BodyText"/>
      </w:pPr>
      <w:r>
        <w:rPr>
          <w:b/>
          <w:bCs/>
        </w:rPr>
        <w:t xml:space="preserve">Barrier classifications</w:t>
      </w:r>
    </w:p>
    <w:p>
      <w:pPr>
        <w:numPr>
          <w:ilvl w:val="0"/>
          <w:numId w:val="1020"/>
        </w:numPr>
      </w:pPr>
      <w:r>
        <w:rPr>
          <w:b/>
          <w:bCs/>
        </w:rPr>
        <w:t xml:space="preserve">Important barrier:</w:t>
      </w:r>
      <w:r>
        <w:t xml:space="preserve"> </w:t>
      </w:r>
      <w:r>
        <w:t xml:space="preserve">A barrier will be classified as having consensus as an</w:t>
      </w:r>
      <w:r>
        <w:t xml:space="preserve"> </w:t>
      </w:r>
      <w:r>
        <w:rPr>
          <w:b/>
          <w:bCs/>
        </w:rPr>
        <w:t xml:space="preserve">important barrier</w:t>
      </w:r>
      <w:r>
        <w:t xml:space="preserve"> </w:t>
      </w:r>
      <w:r>
        <w:t xml:space="preserve">when all of the following criteria are met:</w:t>
      </w:r>
    </w:p>
    <w:p>
      <w:pPr>
        <w:pStyle w:val="Compact"/>
        <w:numPr>
          <w:ilvl w:val="1"/>
          <w:numId w:val="1021"/>
        </w:numPr>
      </w:pPr>
      <w:r>
        <w:t xml:space="preserve">Median importance rating ≥7;</w:t>
      </w:r>
    </w:p>
    <w:p>
      <w:pPr>
        <w:pStyle w:val="Compact"/>
        <w:numPr>
          <w:ilvl w:val="1"/>
          <w:numId w:val="1021"/>
        </w:numPr>
      </w:pPr>
      <w:r>
        <w:t xml:space="preserve">IQR ≤2; and</w:t>
      </w:r>
    </w:p>
    <w:p>
      <w:pPr>
        <w:pStyle w:val="Compact"/>
        <w:numPr>
          <w:ilvl w:val="1"/>
          <w:numId w:val="1021"/>
        </w:numPr>
      </w:pPr>
      <w:r>
        <w:t xml:space="preserve">≥75% of valid importance ratings are 7–9.</w:t>
      </w:r>
    </w:p>
    <w:p>
      <w:pPr>
        <w:numPr>
          <w:ilvl w:val="0"/>
          <w:numId w:val="1020"/>
        </w:numPr>
      </w:pPr>
      <w:r>
        <w:rPr>
          <w:b/>
          <w:bCs/>
        </w:rPr>
        <w:t xml:space="preserve">Highly modifiable barrier:</w:t>
      </w:r>
      <w:r>
        <w:t xml:space="preserve"> </w:t>
      </w:r>
      <w:r>
        <w:t xml:space="preserve">A barrier will be classified as having consensus as</w:t>
      </w:r>
      <w:r>
        <w:t xml:space="preserve"> </w:t>
      </w:r>
      <w:r>
        <w:rPr>
          <w:b/>
          <w:bCs/>
        </w:rPr>
        <w:t xml:space="preserve">highly modifiable</w:t>
      </w:r>
      <w:r>
        <w:t xml:space="preserve"> </w:t>
      </w:r>
      <w:r>
        <w:t xml:space="preserve">when all of the following criteria are met:</w:t>
      </w:r>
    </w:p>
    <w:p>
      <w:pPr>
        <w:pStyle w:val="Compact"/>
        <w:numPr>
          <w:ilvl w:val="1"/>
          <w:numId w:val="1022"/>
        </w:numPr>
      </w:pPr>
      <w:r>
        <w:t xml:space="preserve">Median modifiability rating ≥7;</w:t>
      </w:r>
    </w:p>
    <w:p>
      <w:pPr>
        <w:pStyle w:val="Compact"/>
        <w:numPr>
          <w:ilvl w:val="1"/>
          <w:numId w:val="1022"/>
        </w:numPr>
      </w:pPr>
      <w:r>
        <w:t xml:space="preserve">IQR ≤2; and</w:t>
      </w:r>
    </w:p>
    <w:p>
      <w:pPr>
        <w:pStyle w:val="Compact"/>
        <w:numPr>
          <w:ilvl w:val="1"/>
          <w:numId w:val="1022"/>
        </w:numPr>
      </w:pPr>
      <w:r>
        <w:t xml:space="preserve">≥75% of valid modifiability ratings are 7–9.</w:t>
      </w:r>
    </w:p>
    <w:p>
      <w:pPr>
        <w:numPr>
          <w:ilvl w:val="0"/>
          <w:numId w:val="1020"/>
        </w:numPr>
      </w:pPr>
      <w:r>
        <w:rPr>
          <w:b/>
          <w:bCs/>
        </w:rPr>
        <w:t xml:space="preserve">Priority barrier for action:</w:t>
      </w:r>
      <w:r>
        <w:t xml:space="preserve"> </w:t>
      </w:r>
      <w:r>
        <w:t xml:space="preserve">A barrier will be classified as a</w:t>
      </w:r>
      <w:r>
        <w:t xml:space="preserve"> </w:t>
      </w:r>
      <w:r>
        <w:rPr>
          <w:b/>
          <w:bCs/>
        </w:rPr>
        <w:t xml:space="preserve">priority barrier for action</w:t>
      </w:r>
      <w:r>
        <w:t xml:space="preserve"> </w:t>
      </w:r>
      <w:r>
        <w:t xml:space="preserve">when it meets the criteria for both an</w:t>
      </w:r>
      <w:r>
        <w:t xml:space="preserve"> </w:t>
      </w:r>
      <w:r>
        <w:rPr>
          <w:b/>
          <w:bCs/>
        </w:rPr>
        <w:t xml:space="preserve">important barrier</w:t>
      </w:r>
      <w:r>
        <w:t xml:space="preserve"> </w:t>
      </w:r>
      <w:r>
        <w:t xml:space="preserve">and a</w:t>
      </w:r>
      <w:r>
        <w:t xml:space="preserve"> </w:t>
      </w:r>
      <w:r>
        <w:rPr>
          <w:b/>
          <w:bCs/>
        </w:rPr>
        <w:t xml:space="preserve">highly modifiable barrier</w:t>
      </w:r>
      <w:r>
        <w:t xml:space="preserve">.</w:t>
      </w:r>
    </w:p>
    <w:p>
      <w:pPr>
        <w:numPr>
          <w:ilvl w:val="0"/>
          <w:numId w:val="1020"/>
        </w:numPr>
      </w:pPr>
      <w:r>
        <w:rPr>
          <w:b/>
          <w:bCs/>
        </w:rPr>
        <w:t xml:space="preserve">Important but less modifiable barrier:</w:t>
      </w:r>
      <w:r>
        <w:t xml:space="preserve"> </w:t>
      </w:r>
      <w:r>
        <w:t xml:space="preserve">A barrier meeting the criteria for an</w:t>
      </w:r>
      <w:r>
        <w:t xml:space="preserve"> </w:t>
      </w:r>
      <w:r>
        <w:rPr>
          <w:b/>
          <w:bCs/>
        </w:rPr>
        <w:t xml:space="preserve">important barrier</w:t>
      </w:r>
      <w:r>
        <w:t xml:space="preserve"> </w:t>
      </w:r>
      <w:r>
        <w:t xml:space="preserve">but not for a</w:t>
      </w:r>
      <w:r>
        <w:t xml:space="preserve"> </w:t>
      </w:r>
      <w:r>
        <w:rPr>
          <w:b/>
          <w:bCs/>
        </w:rPr>
        <w:t xml:space="preserve">highly modifiable barrier</w:t>
      </w:r>
      <w:r>
        <w:t xml:space="preserve"> </w:t>
      </w:r>
      <w:r>
        <w:t xml:space="preserve">will be classified as</w:t>
      </w:r>
      <w:r>
        <w:t xml:space="preserve"> </w:t>
      </w:r>
      <w:r>
        <w:rPr>
          <w:b/>
          <w:bCs/>
        </w:rPr>
        <w:t xml:space="preserve">important but less modifiable</w:t>
      </w:r>
      <w:r>
        <w:t xml:space="preserve">. These barriers will still be reported because they may require longer-term, multilevel, or system-level action.</w:t>
      </w:r>
    </w:p>
    <w:p>
      <w:pPr>
        <w:numPr>
          <w:ilvl w:val="0"/>
          <w:numId w:val="1020"/>
        </w:numPr>
      </w:pPr>
      <w:r>
        <w:rPr>
          <w:b/>
          <w:bCs/>
        </w:rPr>
        <w:t xml:space="preserve">Consensus that a barrier is not important:</w:t>
      </w:r>
      <w:r>
        <w:t xml:space="preserve"> </w:t>
      </w:r>
      <w:r>
        <w:t xml:space="preserve">A barrier will be classified as having consensus that it is</w:t>
      </w:r>
      <w:r>
        <w:t xml:space="preserve"> </w:t>
      </w:r>
      <w:r>
        <w:rPr>
          <w:b/>
          <w:bCs/>
        </w:rPr>
        <w:t xml:space="preserve">not important</w:t>
      </w:r>
      <w:r>
        <w:t xml:space="preserve"> </w:t>
      </w:r>
      <w:r>
        <w:t xml:space="preserve">when:</w:t>
      </w:r>
    </w:p>
    <w:p>
      <w:pPr>
        <w:pStyle w:val="Compact"/>
        <w:numPr>
          <w:ilvl w:val="1"/>
          <w:numId w:val="1023"/>
        </w:numPr>
      </w:pPr>
      <w:r>
        <w:t xml:space="preserve">Median importance rating ≤3; and</w:t>
      </w:r>
    </w:p>
    <w:p>
      <w:pPr>
        <w:pStyle w:val="Compact"/>
        <w:numPr>
          <w:ilvl w:val="1"/>
          <w:numId w:val="1023"/>
        </w:numPr>
      </w:pPr>
      <w:r>
        <w:t xml:space="preserve">≥75% of valid importance ratings are 1–3.</w:t>
      </w:r>
    </w:p>
    <w:p>
      <w:pPr>
        <w:pStyle w:val="FirstParagraph"/>
      </w:pPr>
      <w:r>
        <w:rPr>
          <w:b/>
          <w:bCs/>
        </w:rPr>
        <w:t xml:space="preserve">Intervention classifications</w:t>
      </w:r>
    </w:p>
    <w:p>
      <w:pPr>
        <w:numPr>
          <w:ilvl w:val="0"/>
          <w:numId w:val="1024"/>
        </w:numPr>
      </w:pPr>
      <w:r>
        <w:rPr>
          <w:b/>
          <w:bCs/>
        </w:rPr>
        <w:t xml:space="preserve">High-impact intervention:</w:t>
      </w:r>
      <w:r>
        <w:t xml:space="preserve"> </w:t>
      </w:r>
      <w:r>
        <w:t xml:space="preserve">An intervention will be classified as having consensus as a</w:t>
      </w:r>
      <w:r>
        <w:t xml:space="preserve"> </w:t>
      </w:r>
      <w:r>
        <w:rPr>
          <w:b/>
          <w:bCs/>
        </w:rPr>
        <w:t xml:space="preserve">high-impact intervention</w:t>
      </w:r>
      <w:r>
        <w:t xml:space="preserve"> </w:t>
      </w:r>
      <w:r>
        <w:t xml:space="preserve">when all of the following criteria are met:</w:t>
      </w:r>
    </w:p>
    <w:p>
      <w:pPr>
        <w:pStyle w:val="Compact"/>
        <w:numPr>
          <w:ilvl w:val="1"/>
          <w:numId w:val="1025"/>
        </w:numPr>
      </w:pPr>
      <w:r>
        <w:t xml:space="preserve">Median importance/potential-impact rating ≥7;</w:t>
      </w:r>
    </w:p>
    <w:p>
      <w:pPr>
        <w:pStyle w:val="Compact"/>
        <w:numPr>
          <w:ilvl w:val="1"/>
          <w:numId w:val="1025"/>
        </w:numPr>
      </w:pPr>
      <w:r>
        <w:t xml:space="preserve">IQR ≤2; and</w:t>
      </w:r>
    </w:p>
    <w:p>
      <w:pPr>
        <w:pStyle w:val="Compact"/>
        <w:numPr>
          <w:ilvl w:val="1"/>
          <w:numId w:val="1025"/>
        </w:numPr>
      </w:pPr>
      <w:r>
        <w:t xml:space="preserve">≥75% of valid importance/potential-impact ratings are 7–9.</w:t>
      </w:r>
    </w:p>
    <w:p>
      <w:pPr>
        <w:numPr>
          <w:ilvl w:val="0"/>
          <w:numId w:val="1024"/>
        </w:numPr>
      </w:pPr>
      <w:r>
        <w:rPr>
          <w:b/>
          <w:bCs/>
        </w:rPr>
        <w:t xml:space="preserve">Feasible intervention:</w:t>
      </w:r>
      <w:r>
        <w:t xml:space="preserve"> </w:t>
      </w:r>
      <w:r>
        <w:t xml:space="preserve">An intervention will be classified as having consensus as</w:t>
      </w:r>
      <w:r>
        <w:t xml:space="preserve"> </w:t>
      </w:r>
      <w:r>
        <w:rPr>
          <w:b/>
          <w:bCs/>
        </w:rPr>
        <w:t xml:space="preserve">feasible in the Egyptian context</w:t>
      </w:r>
      <w:r>
        <w:t xml:space="preserve"> </w:t>
      </w:r>
      <w:r>
        <w:t xml:space="preserve">when:</w:t>
      </w:r>
    </w:p>
    <w:p>
      <w:pPr>
        <w:pStyle w:val="Compact"/>
        <w:numPr>
          <w:ilvl w:val="1"/>
          <w:numId w:val="1026"/>
        </w:numPr>
      </w:pPr>
      <w:r>
        <w:t xml:space="preserve">Median feasibility rating ≥7;</w:t>
      </w:r>
    </w:p>
    <w:p>
      <w:pPr>
        <w:pStyle w:val="Compact"/>
        <w:numPr>
          <w:ilvl w:val="1"/>
          <w:numId w:val="1026"/>
        </w:numPr>
      </w:pPr>
      <w:r>
        <w:t xml:space="preserve">IQR ≤2; and</w:t>
      </w:r>
    </w:p>
    <w:p>
      <w:pPr>
        <w:pStyle w:val="Compact"/>
        <w:numPr>
          <w:ilvl w:val="1"/>
          <w:numId w:val="1026"/>
        </w:numPr>
      </w:pPr>
      <w:r>
        <w:t xml:space="preserve">≥75% of valid feasibility ratings are 7–9.</w:t>
      </w:r>
    </w:p>
    <w:p>
      <w:pPr>
        <w:numPr>
          <w:ilvl w:val="0"/>
          <w:numId w:val="1024"/>
        </w:numPr>
      </w:pPr>
      <w:r>
        <w:rPr>
          <w:b/>
          <w:bCs/>
        </w:rPr>
        <w:t xml:space="preserve">High-priority feasible intervention:</w:t>
      </w:r>
      <w:r>
        <w:t xml:space="preserve"> </w:t>
      </w:r>
      <w:r>
        <w:t xml:space="preserve">An intervention will be classified as a</w:t>
      </w:r>
      <w:r>
        <w:t xml:space="preserve"> </w:t>
      </w:r>
      <w:r>
        <w:rPr>
          <w:b/>
          <w:bCs/>
        </w:rPr>
        <w:t xml:space="preserve">high-priority feasible intervention</w:t>
      </w:r>
      <w:r>
        <w:t xml:space="preserve"> </w:t>
      </w:r>
      <w:r>
        <w:t xml:space="preserve">when it meets the criteria for both a</w:t>
      </w:r>
      <w:r>
        <w:t xml:space="preserve"> </w:t>
      </w:r>
      <w:r>
        <w:rPr>
          <w:b/>
          <w:bCs/>
        </w:rPr>
        <w:t xml:space="preserve">high-impact intervention</w:t>
      </w:r>
      <w:r>
        <w:t xml:space="preserve"> </w:t>
      </w:r>
      <w:r>
        <w:t xml:space="preserve">and a</w:t>
      </w:r>
      <w:r>
        <w:t xml:space="preserve"> </w:t>
      </w:r>
      <w:r>
        <w:rPr>
          <w:b/>
          <w:bCs/>
        </w:rPr>
        <w:t xml:space="preserve">feasible intervention</w:t>
      </w:r>
      <w:r>
        <w:t xml:space="preserve">.</w:t>
      </w:r>
    </w:p>
    <w:p>
      <w:pPr>
        <w:numPr>
          <w:ilvl w:val="0"/>
          <w:numId w:val="1024"/>
        </w:numPr>
      </w:pPr>
      <w:r>
        <w:rPr>
          <w:b/>
          <w:bCs/>
        </w:rPr>
        <w:t xml:space="preserve">High-impact but less feasible intervention:</w:t>
      </w:r>
      <w:r>
        <w:t xml:space="preserve"> </w:t>
      </w:r>
      <w:r>
        <w:t xml:space="preserve">An intervention meeting the criteria for a</w:t>
      </w:r>
      <w:r>
        <w:t xml:space="preserve"> </w:t>
      </w:r>
      <w:r>
        <w:rPr>
          <w:b/>
          <w:bCs/>
        </w:rPr>
        <w:t xml:space="preserve">high-impact intervention</w:t>
      </w:r>
      <w:r>
        <w:t xml:space="preserve"> </w:t>
      </w:r>
      <w:r>
        <w:t xml:space="preserve">but not for a</w:t>
      </w:r>
      <w:r>
        <w:t xml:space="preserve"> </w:t>
      </w:r>
      <w:r>
        <w:rPr>
          <w:b/>
          <w:bCs/>
        </w:rPr>
        <w:t xml:space="preserve">feasible intervention</w:t>
      </w:r>
      <w:r>
        <w:t xml:space="preserve"> </w:t>
      </w:r>
      <w:r>
        <w:t xml:space="preserve">will be classified as</w:t>
      </w:r>
      <w:r>
        <w:t xml:space="preserve"> </w:t>
      </w:r>
      <w:r>
        <w:rPr>
          <w:b/>
          <w:bCs/>
        </w:rPr>
        <w:t xml:space="preserve">high-impact but less feasible</w:t>
      </w:r>
      <w:r>
        <w:t xml:space="preserve">. These interventions may still be reported as important longer-term priorities, while acknowledging implementation challenges.</w:t>
      </w:r>
    </w:p>
    <w:p>
      <w:pPr>
        <w:pStyle w:val="FirstParagraph"/>
      </w:pPr>
      <w:r>
        <w:rPr>
          <w:b/>
          <w:bCs/>
        </w:rPr>
        <w:t xml:space="preserve">Non-consensus and disagreement</w:t>
      </w:r>
    </w:p>
    <w:p>
      <w:pPr>
        <w:pStyle w:val="BodyText"/>
      </w:pPr>
      <w:r>
        <w:t xml:space="preserve">Items failing to meet the relevant consensus criteria after Round 2 will be classified as</w:t>
      </w:r>
      <w:r>
        <w:t xml:space="preserve"> </w:t>
      </w:r>
      <w:r>
        <w:rPr>
          <w:b/>
          <w:bCs/>
        </w:rPr>
        <w:t xml:space="preserve">no consensus</w:t>
      </w:r>
      <w:r>
        <w:t xml:space="preserve"> </w:t>
      </w:r>
      <w:r>
        <w:t xml:space="preserve">rather than being forced into a priority category.</w:t>
      </w:r>
    </w:p>
    <w:p>
      <w:pPr>
        <w:pStyle w:val="BodyText"/>
      </w:pPr>
      <w:r>
        <w:t xml:space="preserve">Where the distribution of ratings suggests meaningful polarization—for example, a wide IQR or materially different rating patterns across prespecified stakeholder groups—this will be reported as</w:t>
      </w:r>
      <w:r>
        <w:t xml:space="preserve"> </w:t>
      </w:r>
      <w:r>
        <w:rPr>
          <w:b/>
          <w:bCs/>
        </w:rPr>
        <w:t xml:space="preserve">stakeholder disagreement</w:t>
      </w:r>
      <w:r>
        <w:t xml:space="preserve"> </w:t>
      </w:r>
      <w:r>
        <w:t xml:space="preserve">rather than treated as study failure. Stakeholder-group analyses will be exploratory and will be interpreted cautiously, particularly where subgroup sample sizes are small.</w:t>
      </w:r>
    </w:p>
    <w:p>
      <w:pPr>
        <w:pStyle w:val="BodyText"/>
      </w:pPr>
      <w:r>
        <w:rPr>
          <w:b/>
          <w:bCs/>
        </w:rPr>
        <w:t xml:space="preserve">Final intervention priorities.</w:t>
      </w:r>
    </w:p>
    <w:p>
      <w:pPr>
        <w:pStyle w:val="BodyText"/>
      </w:pPr>
      <w:r>
        <w:t xml:space="preserve">Final priorities will be determined by the following rules, using Round-2 data only.</w:t>
      </w:r>
    </w:p>
    <w:p>
      <w:pPr>
        <w:pStyle w:val="Compact"/>
        <w:numPr>
          <w:ilvl w:val="0"/>
          <w:numId w:val="1027"/>
        </w:numPr>
      </w:pPr>
      <w:r>
        <w:t xml:space="preserve">Only interventions classified as high-priority feasible are eligible.</w:t>
      </w:r>
    </w:p>
    <w:p>
      <w:pPr>
        <w:pStyle w:val="Compact"/>
        <w:numPr>
          <w:ilvl w:val="0"/>
          <w:numId w:val="1027"/>
        </w:numPr>
      </w:pPr>
      <w:r>
        <w:t xml:space="preserve">Eligible interventions will be ranked by the percentage of participants who nominated them in the “top three” question. Ties will be broken by the percentage rating importance 7–9, then by the percentage rating feasibility 6–9.</w:t>
      </w:r>
    </w:p>
    <w:p>
      <w:pPr>
        <w:pStyle w:val="Compact"/>
        <w:numPr>
          <w:ilvl w:val="0"/>
          <w:numId w:val="1027"/>
        </w:numPr>
      </w:pPr>
      <w:r>
        <w:t xml:space="preserve">The top [10] ranked interventions will be reported as the consensus priorities, with their nomination percentages, rating distributions, and most frequently selected implementation level. High-impact but less feasible interventions will be reported separately as longer-term priorities, and interventions with no consensus will be listed without ranking.</w:t>
      </w:r>
    </w:p>
    <w:p>
      <w:pPr>
        <w:pStyle w:val="Compact"/>
        <w:numPr>
          <w:ilvl w:val="0"/>
          <w:numId w:val="1027"/>
        </w:numPr>
      </w:pPr>
      <w:r>
        <w:t xml:space="preserve">Nomination percentages will also be reported by stakeholder group (where at least five participants responded).</w:t>
      </w:r>
    </w:p>
    <w:p>
      <w:pPr>
        <w:pStyle w:val="Compact"/>
        <w:numPr>
          <w:ilvl w:val="0"/>
          <w:numId w:val="1027"/>
        </w:numPr>
      </w:pPr>
      <w:r>
        <w:t xml:space="preserve">The advisory board will review the final list for clarity, redundancy, and interpretability only. It may not add, remove, re-rank, or reclassify any intervention.</w:t>
      </w:r>
    </w:p>
    <w:p>
      <w:pPr>
        <w:pStyle w:val="FirstParagraph"/>
      </w:pPr>
      <w:r>
        <w:rPr>
          <w:b/>
          <w:bCs/>
        </w:rPr>
        <w:t xml:space="preserve">Feedback and confidentiality</w:t>
      </w:r>
    </w:p>
    <w:p>
      <w:pPr>
        <w:pStyle w:val="BodyText"/>
      </w:pPr>
      <w:r>
        <w:t xml:space="preserve">The Delphi process will preserve participant confidentiality during rating. Only aggregated feedback will be provided. Individual participant identities and individual ratings will not be disclosed to other participants.</w:t>
      </w:r>
    </w:p>
    <w:p>
      <w:pPr>
        <w:pStyle w:val="BodyText"/>
      </w:pPr>
      <w:r>
        <w:t xml:space="preserve">Participants will not be anonymous to the designated members of the research team responsible for consent, round linkage, and data management. These members will have access to the contact file and the linkage identifier for the purpose of managing the study. The research team will maintain a separate contact file for round linkage. The linkage identifier will not be included in analytic datasets used for reporting.</w:t>
      </w:r>
    </w:p>
    <w:p>
      <w:pPr>
        <w:pStyle w:val="BodyText"/>
      </w:pPr>
      <w:r>
        <w:rPr>
          <w:b/>
          <w:bCs/>
        </w:rPr>
        <w:t xml:space="preserve">Panel Attrition and Response Monitoring</w:t>
      </w:r>
    </w:p>
    <w:p>
      <w:pPr>
        <w:pStyle w:val="BodyText"/>
      </w:pPr>
      <w:r>
        <w:t xml:space="preserve">Response rates will be calculated separately for each round using clearly specified denominators:</w:t>
      </w:r>
    </w:p>
    <w:p>
      <w:pPr>
        <w:pStyle w:val="Compact"/>
        <w:numPr>
          <w:ilvl w:val="0"/>
          <w:numId w:val="1028"/>
        </w:numPr>
      </w:pPr>
      <w:r>
        <w:t xml:space="preserve">invited participants;</w:t>
      </w:r>
    </w:p>
    <w:p>
      <w:pPr>
        <w:pStyle w:val="Compact"/>
        <w:numPr>
          <w:ilvl w:val="0"/>
          <w:numId w:val="1028"/>
        </w:numPr>
      </w:pPr>
      <w:r>
        <w:t xml:space="preserve">participants who completed the questionnaire; and</w:t>
      </w:r>
    </w:p>
    <w:p>
      <w:pPr>
        <w:pStyle w:val="Compact"/>
        <w:numPr>
          <w:ilvl w:val="0"/>
          <w:numId w:val="1028"/>
        </w:numPr>
      </w:pPr>
      <w:r>
        <w:t xml:space="preserve">participants retained for the second round.</w:t>
      </w:r>
    </w:p>
    <w:p>
      <w:pPr>
        <w:pStyle w:val="FirstParagraph"/>
      </w:pPr>
      <w:r>
        <w:t xml:space="preserve">Round-specific and cumulative attrition will be reported. The study will not impute missing Delphi ratings.</w:t>
      </w:r>
    </w:p>
    <w:p>
      <w:pPr>
        <w:pStyle w:val="BodyText"/>
      </w:pPr>
      <w:r>
        <w:t xml:space="preserve">Participants who do not complete Round 1 will not be included in Round 2. Participants who complete Round 1 but do not complete Round 2 will contribute their Round-1 data to Round-1 analyses but will not contribute to Round-2 consensus calculations.</w:t>
      </w:r>
    </w:p>
    <w:bookmarkEnd w:id="30"/>
    <w:bookmarkEnd w:id="31"/>
    <w:bookmarkStart w:id="32" w:name="data-management"/>
    <w:p>
      <w:pPr>
        <w:pStyle w:val="Heading1"/>
      </w:pPr>
      <w:r>
        <w:t xml:space="preserve">9. Data Management</w:t>
      </w:r>
    </w:p>
    <w:p>
      <w:pPr>
        <w:pStyle w:val="FirstParagraph"/>
      </w:pPr>
      <w:r>
        <w:t xml:space="preserve">Survey data will be exported into a secure research dataset.</w:t>
      </w:r>
    </w:p>
    <w:p>
      <w:pPr>
        <w:pStyle w:val="BodyText"/>
      </w:pPr>
      <w:r>
        <w:t xml:space="preserve">The survey will use individualized participant links to support one response per participant per round. Duplicate or suspicious submissions will be reviewed. IP addresses and other technical metadata will not be used for participant identification.</w:t>
      </w:r>
    </w:p>
    <w:p>
      <w:pPr>
        <w:pStyle w:val="BodyText"/>
      </w:pPr>
      <w:r>
        <w:t xml:space="preserve">Data-quality procedures will include documenting incomplete questionnaires. Participants who submit partially completed questionnaires will be included for items that contain valid responses. Item-level denominators will therefore vary where missing data occur.</w:t>
      </w:r>
    </w:p>
    <w:p>
      <w:pPr>
        <w:pStyle w:val="BodyText"/>
      </w:pPr>
      <w:r>
        <w:t xml:space="preserve">We will maintain a data-cleaning log and preserve an analysis-ready dataset and a locked copy of the raw dataset.</w:t>
      </w:r>
    </w:p>
    <w:p>
      <w:pPr>
        <w:pStyle w:val="BodyText"/>
      </w:pPr>
      <w:r>
        <w:t xml:space="preserve">Data will be retained for seven years after study completion in accordance with institutional policy.</w:t>
      </w:r>
    </w:p>
    <w:bookmarkEnd w:id="32"/>
    <w:bookmarkStart w:id="33" w:name="statistical-analysis"/>
    <w:p>
      <w:pPr>
        <w:pStyle w:val="Heading1"/>
      </w:pPr>
      <w:r>
        <w:t xml:space="preserve">10. Statistical Analysis</w:t>
      </w:r>
    </w:p>
    <w:p>
      <w:pPr>
        <w:pStyle w:val="FirstParagraph"/>
      </w:pPr>
      <w:r>
        <w:rPr>
          <w:b/>
          <w:bCs/>
        </w:rPr>
        <w:t xml:space="preserve">Primary analysis</w:t>
      </w:r>
    </w:p>
    <w:p>
      <w:pPr>
        <w:pStyle w:val="BodyText"/>
      </w:pPr>
      <w:r>
        <w:t xml:space="preserve">Analysis will be primarily descriptive and consensus-based. For each item and each round, the following will be reported:</w:t>
      </w:r>
    </w:p>
    <w:p>
      <w:pPr>
        <w:pStyle w:val="Compact"/>
        <w:numPr>
          <w:ilvl w:val="0"/>
          <w:numId w:val="1029"/>
        </w:numPr>
      </w:pPr>
      <w:r>
        <w:t xml:space="preserve">number of valid responses;</w:t>
      </w:r>
    </w:p>
    <w:p>
      <w:pPr>
        <w:pStyle w:val="Compact"/>
        <w:numPr>
          <w:ilvl w:val="0"/>
          <w:numId w:val="1029"/>
        </w:numPr>
      </w:pPr>
      <w:r>
        <w:t xml:space="preserve">median;</w:t>
      </w:r>
    </w:p>
    <w:p>
      <w:pPr>
        <w:pStyle w:val="Compact"/>
        <w:numPr>
          <w:ilvl w:val="0"/>
          <w:numId w:val="1029"/>
        </w:numPr>
      </w:pPr>
      <w:r>
        <w:t xml:space="preserve">IQR;</w:t>
      </w:r>
    </w:p>
    <w:p>
      <w:pPr>
        <w:pStyle w:val="Compact"/>
        <w:numPr>
          <w:ilvl w:val="0"/>
          <w:numId w:val="1029"/>
        </w:numPr>
      </w:pPr>
      <w:r>
        <w:t xml:space="preserve">full response distribution;</w:t>
      </w:r>
    </w:p>
    <w:p>
      <w:pPr>
        <w:pStyle w:val="Compact"/>
        <w:numPr>
          <w:ilvl w:val="0"/>
          <w:numId w:val="1029"/>
        </w:numPr>
      </w:pPr>
      <w:r>
        <w:t xml:space="preserve">percentage rating 7–9;</w:t>
      </w:r>
    </w:p>
    <w:p>
      <w:pPr>
        <w:pStyle w:val="Compact"/>
        <w:numPr>
          <w:ilvl w:val="0"/>
          <w:numId w:val="1029"/>
        </w:numPr>
      </w:pPr>
      <w:r>
        <w:t xml:space="preserve">consensus classification; and</w:t>
      </w:r>
    </w:p>
    <w:p>
      <w:pPr>
        <w:pStyle w:val="Compact"/>
        <w:numPr>
          <w:ilvl w:val="0"/>
          <w:numId w:val="1029"/>
        </w:numPr>
      </w:pPr>
      <w:r>
        <w:t xml:space="preserve">item disposition between rounds.</w:t>
      </w:r>
    </w:p>
    <w:p>
      <w:pPr>
        <w:pStyle w:val="FirstParagraph"/>
      </w:pPr>
      <w:r>
        <w:t xml:space="preserve">Analyses will be performed using a current, documented version of R</w:t>
      </w:r>
      <w:r>
        <w:t xml:space="preserve"> </w:t>
      </w:r>
      <w:r>
        <w:t xml:space="preserve">[8]</w:t>
      </w:r>
      <w:r>
        <w:t xml:space="preserve"> </w:t>
      </w:r>
      <w:r>
        <w:t xml:space="preserve">and the compatible R integrated development environment (RStudio</w:t>
      </w:r>
      <w:r>
        <w:t xml:space="preserve"> </w:t>
      </w:r>
      <w:r>
        <w:t xml:space="preserve">[9]</w:t>
      </w:r>
      <w:r>
        <w:t xml:space="preserve">). The exact versions used will be recorded in the analysis log.</w:t>
      </w:r>
    </w:p>
    <w:p>
      <w:pPr>
        <w:pStyle w:val="BodyText"/>
      </w:pPr>
      <w:r>
        <w:rPr>
          <w:b/>
          <w:bCs/>
        </w:rPr>
        <w:t xml:space="preserve">Change between rounds</w:t>
      </w:r>
    </w:p>
    <w:p>
      <w:pPr>
        <w:pStyle w:val="BodyText"/>
      </w:pPr>
      <w:r>
        <w:t xml:space="preserve">For retained items, Round-1 and Round-2 distributions will be compared descriptively using changes in median, IQR, and percentage agreement. The analysis will emphasize movement toward or away from consensus rather than statistical significance testing.</w:t>
      </w:r>
    </w:p>
    <w:p>
      <w:pPr>
        <w:pStyle w:val="BodyText"/>
      </w:pPr>
      <w:r>
        <w:rPr>
          <w:b/>
          <w:bCs/>
        </w:rPr>
        <w:t xml:space="preserve">Subgroup analysis</w:t>
      </w:r>
    </w:p>
    <w:p>
      <w:pPr>
        <w:pStyle w:val="BodyText"/>
      </w:pPr>
      <w:r>
        <w:t xml:space="preserve">Ratings will be examined descriptively by predefined stakeholder group:</w:t>
      </w:r>
    </w:p>
    <w:p>
      <w:pPr>
        <w:pStyle w:val="Compact"/>
        <w:numPr>
          <w:ilvl w:val="0"/>
          <w:numId w:val="1030"/>
        </w:numPr>
      </w:pPr>
      <w:r>
        <w:t xml:space="preserve">early-career researchers;</w:t>
      </w:r>
    </w:p>
    <w:p>
      <w:pPr>
        <w:pStyle w:val="Compact"/>
        <w:numPr>
          <w:ilvl w:val="0"/>
          <w:numId w:val="1030"/>
        </w:numPr>
      </w:pPr>
      <w:r>
        <w:t xml:space="preserve">supervisors;</w:t>
      </w:r>
    </w:p>
    <w:p>
      <w:pPr>
        <w:pStyle w:val="Compact"/>
        <w:numPr>
          <w:ilvl w:val="0"/>
          <w:numId w:val="1030"/>
        </w:numPr>
      </w:pPr>
      <w:r>
        <w:t xml:space="preserve">methodologists/biostatisticians; and</w:t>
      </w:r>
    </w:p>
    <w:p>
      <w:pPr>
        <w:pStyle w:val="Compact"/>
        <w:numPr>
          <w:ilvl w:val="0"/>
          <w:numId w:val="1030"/>
        </w:numPr>
      </w:pPr>
      <w:r>
        <w:t xml:space="preserve">institutional/governance stakeholders.</w:t>
      </w:r>
    </w:p>
    <w:p>
      <w:pPr>
        <w:pStyle w:val="FirstParagraph"/>
      </w:pPr>
      <w:r>
        <w:t xml:space="preserve">Subgroup analyses will be considered exploratory because the study is not powered to detect small between-group differences.</w:t>
      </w:r>
    </w:p>
    <w:p>
      <w:pPr>
        <w:pStyle w:val="BodyText"/>
      </w:pPr>
      <w:r>
        <w:t xml:space="preserve">Stakeholder-group analyses will be reported only when at least five participants from that stakeholder category provide valid ratings. A valid rating is a response within the prespecified 1–9 scale, excluding blank responses and “cannot judge/insufficient experience” responses where applicable.</w:t>
      </w:r>
    </w:p>
    <w:p>
      <w:pPr>
        <w:pStyle w:val="BodyText"/>
      </w:pPr>
      <w:r>
        <w:rPr>
          <w:b/>
          <w:bCs/>
        </w:rPr>
        <w:t xml:space="preserve">Sensitivity analyses</w:t>
      </w:r>
    </w:p>
    <w:p>
      <w:pPr>
        <w:pStyle w:val="BodyText"/>
      </w:pPr>
      <w:r>
        <w:t xml:space="preserve">Sensitivity analyses will examine whether conclusions change when only participants completing both rounds are considered.</w:t>
      </w:r>
    </w:p>
    <w:p>
      <w:pPr>
        <w:pStyle w:val="BodyText"/>
      </w:pPr>
      <w:r>
        <w:t xml:space="preserve">These analyses will be prespecified before the final analysis where feasible.</w:t>
      </w:r>
    </w:p>
    <w:bookmarkEnd w:id="33"/>
    <w:bookmarkStart w:id="34" w:name="bias-and-mitigation-strategies"/>
    <w:p>
      <w:pPr>
        <w:pStyle w:val="Heading1"/>
      </w:pPr>
      <w:r>
        <w:t xml:space="preserve">11. Bias and Mitigation Strategies</w:t>
      </w:r>
    </w:p>
    <w:p>
      <w:pPr>
        <w:numPr>
          <w:ilvl w:val="0"/>
          <w:numId w:val="1031"/>
        </w:numPr>
      </w:pPr>
      <w:r>
        <w:t xml:space="preserve">Selection bias: Purposive recruitment may over-represent individuals who are already interested in research quality. To reduce this risk, recruitment will seek variation in career stage, institution, discipline, research experience, and stakeholder role. Response rates will be reported by stakeholder group where possible.</w:t>
      </w:r>
    </w:p>
    <w:p>
      <w:pPr>
        <w:numPr>
          <w:ilvl w:val="0"/>
          <w:numId w:val="1031"/>
        </w:numPr>
      </w:pPr>
      <w:r>
        <w:t xml:space="preserve">Professional hierarchy and social desirability: Because junior researchers may be supervised by senior panelists, perceived hierarchy could affect participation or responses. Invitations and surveys will emphasize independence, confidentiality, and the absence of academic consequences from participation or non-participation.</w:t>
      </w:r>
    </w:p>
    <w:p>
      <w:pPr>
        <w:numPr>
          <w:ilvl w:val="0"/>
          <w:numId w:val="1031"/>
        </w:numPr>
      </w:pPr>
      <w:r>
        <w:t xml:space="preserve">Attrition bias: Loss of participants between rounds may alter the final consensus. Attrition will therefore be reported by stakeholder group and considered when interpreting the findings.</w:t>
      </w:r>
    </w:p>
    <w:bookmarkEnd w:id="34"/>
    <w:bookmarkStart w:id="35" w:name="ethical-considerations"/>
    <w:p>
      <w:pPr>
        <w:pStyle w:val="Heading1"/>
      </w:pPr>
      <w:r>
        <w:t xml:space="preserve">12. Ethical Considerations</w:t>
      </w:r>
    </w:p>
    <w:p>
      <w:pPr>
        <w:pStyle w:val="FirstParagraph"/>
      </w:pPr>
      <w:r>
        <w:t xml:space="preserve">Ethical approval will be sought from the Institutional Review Board (IRB) of the Faculty of Medicine, MTI University.</w:t>
      </w:r>
    </w:p>
    <w:p>
      <w:pPr>
        <w:pStyle w:val="BodyText"/>
      </w:pPr>
      <w:r>
        <w:rPr>
          <w:b/>
          <w:bCs/>
        </w:rPr>
        <w:t xml:space="preserve">Participant information sheet</w:t>
      </w:r>
    </w:p>
    <w:p>
      <w:pPr>
        <w:pStyle w:val="BodyText"/>
      </w:pPr>
      <w:r>
        <w:t xml:space="preserve">The information sheet (detailed in</w:t>
      </w:r>
      <w:r>
        <w:t xml:space="preserve"> </w:t>
      </w:r>
      <w:hyperlink w:anchor="sec-pis">
        <w:r>
          <w:rPr>
            <w:rStyle w:val="Hyperlink"/>
          </w:rPr>
          <w:t xml:space="preserve">Section 18.5</w:t>
        </w:r>
      </w:hyperlink>
      <w:r>
        <w:t xml:space="preserve">) will include: the purpose of the study; what participation involves; the expected time commitment; the voluntary nature of participation; the right to withdraw without penalty; the right to request removal of data; confidentiality and anonymity procedures; foreseeable risks and benefits; how data will be used and stored; and contact information for the research team and ethics committee.</w:t>
      </w:r>
    </w:p>
    <w:p>
      <w:pPr>
        <w:pStyle w:val="BodyText"/>
      </w:pPr>
      <w:r>
        <w:rPr>
          <w:b/>
          <w:bCs/>
        </w:rPr>
        <w:t xml:space="preserve">Informed consent</w:t>
      </w:r>
    </w:p>
    <w:p>
      <w:pPr>
        <w:pStyle w:val="BodyText"/>
      </w:pPr>
      <w:r>
        <w:t xml:space="preserve">Written electronic consent will be obtained before Round 1. Before Round 2, participants will receive a brief reminder of the study procedures, risks, confidentiality arrangements, and voluntary nature of participation and will be asked to reconfirm their willingness to continue. The consent form is available in</w:t>
      </w:r>
      <w:r>
        <w:t xml:space="preserve"> </w:t>
      </w:r>
      <w:hyperlink w:anchor="sec-consent">
        <w:r>
          <w:rPr>
            <w:rStyle w:val="Hyperlink"/>
          </w:rPr>
          <w:t xml:space="preserve">Section 18.6</w:t>
        </w:r>
      </w:hyperlink>
    </w:p>
    <w:p>
      <w:pPr>
        <w:pStyle w:val="BodyText"/>
      </w:pPr>
      <w:r>
        <w:rPr>
          <w:b/>
          <w:bCs/>
        </w:rPr>
        <w:t xml:space="preserve">Confidentiality</w:t>
      </w:r>
    </w:p>
    <w:p>
      <w:pPr>
        <w:pStyle w:val="BodyText"/>
      </w:pPr>
      <w:r>
        <w:t xml:space="preserve">Names, email addresses, and other direct identifiers will be stored separately from survey responses in password-protected, access-controlled files on secure institutional systems. Only the study coordinators will have access to the contact/linkage file.</w:t>
      </w:r>
    </w:p>
    <w:p>
      <w:pPr>
        <w:pStyle w:val="BodyText"/>
      </w:pPr>
      <w:r>
        <w:t xml:space="preserve">Contact lists used solely for recruitment and round linkage will be deleted once all study procedures, follow-up communications, and reporting obligations are completed.</w:t>
      </w:r>
    </w:p>
    <w:p>
      <w:pPr>
        <w:pStyle w:val="BodyText"/>
      </w:pPr>
      <w:r>
        <w:t xml:space="preserve">Findings will be reported in aggregate form. No individual participant, supervisor, department, or institution will be identifiable in the published results unless explicit permission is obtained and the information is clearly non-sensitive.</w:t>
      </w:r>
    </w:p>
    <w:p>
      <w:pPr>
        <w:pStyle w:val="BodyText"/>
      </w:pPr>
      <w:r>
        <w:rPr>
          <w:b/>
          <w:bCs/>
        </w:rPr>
        <w:t xml:space="preserve">Protection of junior participants</w:t>
      </w:r>
    </w:p>
    <w:p>
      <w:pPr>
        <w:pStyle w:val="BodyText"/>
      </w:pPr>
      <w:r>
        <w:t xml:space="preserve">Junior participants will be explicitly informed that participation or non-participation will not affect their academic standing, supervision, assessment, employment, or career progression. Protection of junior participants will be enhanced by the following measures:</w:t>
      </w:r>
    </w:p>
    <w:p>
      <w:pPr>
        <w:pStyle w:val="Compact"/>
        <w:numPr>
          <w:ilvl w:val="0"/>
          <w:numId w:val="1032"/>
        </w:numPr>
      </w:pPr>
      <w:r>
        <w:t xml:space="preserve">invitations will be sent directly to potential participants;</w:t>
      </w:r>
    </w:p>
    <w:p>
      <w:pPr>
        <w:pStyle w:val="Compact"/>
        <w:numPr>
          <w:ilvl w:val="0"/>
          <w:numId w:val="1032"/>
        </w:numPr>
      </w:pPr>
      <w:r>
        <w:t xml:space="preserve">participation will not be arranged through a direct supervisor;</w:t>
      </w:r>
    </w:p>
    <w:p>
      <w:pPr>
        <w:pStyle w:val="Compact"/>
        <w:numPr>
          <w:ilvl w:val="0"/>
          <w:numId w:val="1032"/>
        </w:numPr>
      </w:pPr>
      <w:r>
        <w:t xml:space="preserve">supervisors will not know whether a specific junior researcher participated;</w:t>
      </w:r>
    </w:p>
    <w:p>
      <w:pPr>
        <w:pStyle w:val="Compact"/>
        <w:numPr>
          <w:ilvl w:val="0"/>
          <w:numId w:val="1032"/>
        </w:numPr>
      </w:pPr>
      <w:r>
        <w:t xml:space="preserve">reminders will be automated and sent by research staff who are not in a direct supervisory relationship with potential participants;</w:t>
      </w:r>
    </w:p>
    <w:p>
      <w:pPr>
        <w:pStyle w:val="Compact"/>
        <w:numPr>
          <w:ilvl w:val="0"/>
          <w:numId w:val="1032"/>
        </w:numPr>
      </w:pPr>
      <w:r>
        <w:t xml:space="preserve">participants will not be asked to discuss identifiable supervisory conflicts.</w:t>
      </w:r>
    </w:p>
    <w:p>
      <w:pPr>
        <w:pStyle w:val="FirstParagraph"/>
      </w:pPr>
      <w:r>
        <w:rPr>
          <w:b/>
          <w:bCs/>
        </w:rPr>
        <w:t xml:space="preserve">Risks and benefits</w:t>
      </w:r>
    </w:p>
    <w:p>
      <w:pPr>
        <w:pStyle w:val="BodyText"/>
      </w:pPr>
      <w:r>
        <w:t xml:space="preserve">This study is expected to involve no more than minimal risk. The principal foreseeable risks are discomfort when rating institutional or supervisory barriers. No clinical intervention, biological sample collection, deception, or collection of personal health information is involved.</w:t>
      </w:r>
    </w:p>
    <w:p>
      <w:pPr>
        <w:pStyle w:val="BodyText"/>
      </w:pPr>
      <w:r>
        <w:t xml:space="preserve">These risks will be minimized through confidential participation, neutral wording, separation of contact information from responses, and aggregate reporting.</w:t>
      </w:r>
    </w:p>
    <w:p>
      <w:pPr>
        <w:pStyle w:val="BodyText"/>
      </w:pPr>
      <w:r>
        <w:t xml:space="preserve">There may be no direct personal benefit to participants. The anticipated societal and professional benefit is improved understanding of barriers to valid, relevant, and high-value medical research and development of practical interventions to address them.</w:t>
      </w:r>
    </w:p>
    <w:p>
      <w:pPr>
        <w:pStyle w:val="BodyText"/>
      </w:pPr>
      <w:r>
        <w:rPr>
          <w:b/>
          <w:bCs/>
        </w:rPr>
        <w:t xml:space="preserve">Compensation and reimbursement</w:t>
      </w:r>
    </w:p>
    <w:p>
      <w:pPr>
        <w:pStyle w:val="BodyText"/>
      </w:pPr>
      <w:r>
        <w:t xml:space="preserve">Participants will not receive financial compensation. No reimbursement is anticipated because participation is remote. Participants who complete both rounds may receive a certificate of participation, if requested.</w:t>
      </w:r>
    </w:p>
    <w:p>
      <w:pPr>
        <w:pStyle w:val="BodyText"/>
      </w:pPr>
      <w:r>
        <w:rPr>
          <w:b/>
          <w:bCs/>
        </w:rPr>
        <w:t xml:space="preserve">Conflicts of Interest</w:t>
      </w:r>
    </w:p>
    <w:p>
      <w:pPr>
        <w:pStyle w:val="BodyText"/>
      </w:pPr>
      <w:r>
        <w:t xml:space="preserve">All investigators and advisory board members will disclose relevant financial, academic, professional, or institutional conflicts of interest. Potential conflicts that could affect item generation, panel recruitment, interpretation, or dissemination will be documented and managed before the Delphi process begins.</w:t>
      </w:r>
    </w:p>
    <w:bookmarkEnd w:id="35"/>
    <w:bookmarkStart w:id="36" w:name="interpretation-and-expected-outputs"/>
    <w:p>
      <w:pPr>
        <w:pStyle w:val="Heading1"/>
      </w:pPr>
      <w:r>
        <w:t xml:space="preserve">13. Interpretation and Expected Outputs</w:t>
      </w:r>
    </w:p>
    <w:p>
      <w:pPr>
        <w:pStyle w:val="FirstParagraph"/>
      </w:pPr>
      <w:r>
        <w:rPr>
          <w:b/>
          <w:bCs/>
        </w:rPr>
        <w:t xml:space="preserve">Interpretation Framework</w:t>
      </w:r>
    </w:p>
    <w:p>
      <w:pPr>
        <w:pStyle w:val="BodyText"/>
      </w:pPr>
      <w:r>
        <w:t xml:space="preserve">The findings will be interpreted as stakeholder judgments regarding the perceived importance, modifiability, and feasibility of barriers and interventions. They will not be interpreted as prevalence estimates, causal evidence, or evidence of intervention effectiveness. Consensus and disagreement will be reported transparently.</w:t>
      </w:r>
    </w:p>
    <w:p>
      <w:pPr>
        <w:pStyle w:val="BodyText"/>
      </w:pPr>
      <w:r>
        <w:rPr>
          <w:b/>
          <w:bCs/>
        </w:rPr>
        <w:t xml:space="preserve">Expected Outputs</w:t>
      </w:r>
    </w:p>
    <w:p>
      <w:pPr>
        <w:pStyle w:val="BodyText"/>
      </w:pPr>
      <w:r>
        <w:t xml:space="preserve">The study will generate a consensus-based priority framework identifying:</w:t>
      </w:r>
    </w:p>
    <w:p>
      <w:pPr>
        <w:numPr>
          <w:ilvl w:val="0"/>
          <w:numId w:val="1033"/>
        </w:numPr>
      </w:pPr>
      <w:r>
        <w:t xml:space="preserve">important and modifiable barriers to valid, relevant, and high-value medical research among early-career researchers in Egypt; and</w:t>
      </w:r>
    </w:p>
    <w:p>
      <w:pPr>
        <w:numPr>
          <w:ilvl w:val="0"/>
          <w:numId w:val="1033"/>
        </w:numPr>
      </w:pPr>
      <w:r>
        <w:t xml:space="preserve">important, feasible interventions to address these barriers.</w:t>
      </w:r>
    </w:p>
    <w:p>
      <w:pPr>
        <w:pStyle w:val="FirstParagraph"/>
      </w:pPr>
      <w:r>
        <w:t xml:space="preserve">The resulting priority framework may organize identified interventions across the following levels:</w:t>
      </w:r>
    </w:p>
    <w:tbl>
      <w:tblPr>
        <w:tblStyle w:val="Table"/>
        <w:tblW w:type="pct" w:w="5000"/>
        <w:tblLayout w:type="fixed"/>
        <w:tblLook w:firstRow="1" w:lastRow="0" w:firstColumn="0" w:lastColumn="0" w:noHBand="0" w:noVBand="0" w:val="0020"/>
      </w:tblPr>
      <w:tblGrid>
        <w:gridCol w:w="3004"/>
        <w:gridCol w:w="4915"/>
      </w:tblGrid>
      <w:tr>
        <w:trPr>
          <w:tblHeader w:val="on"/>
        </w:trPr>
        <w:tc>
          <w:tcPr/>
          <w:p>
            <w:pPr>
              <w:pStyle w:val="Compact"/>
            </w:pPr>
            <w:r>
              <w:t xml:space="preserve">Level</w:t>
            </w:r>
          </w:p>
        </w:tc>
        <w:tc>
          <w:tcPr/>
          <w:p>
            <w:pPr>
              <w:pStyle w:val="Compact"/>
            </w:pPr>
            <w:r>
              <w:t xml:space="preserve">Examples of intervention domains</w:t>
            </w:r>
          </w:p>
        </w:tc>
      </w:tr>
      <w:tr>
        <w:tc>
          <w:tcPr/>
          <w:p>
            <w:pPr>
              <w:pStyle w:val="Compact"/>
            </w:pPr>
            <w:r>
              <w:t xml:space="preserve">Individual</w:t>
            </w:r>
          </w:p>
        </w:tc>
        <w:tc>
          <w:tcPr/>
          <w:p>
            <w:pPr>
              <w:pStyle w:val="Compact"/>
            </w:pPr>
            <w:r>
              <w:t xml:space="preserve">Research-methodology training, statistics, scientific writing, evidence appraisal</w:t>
            </w:r>
          </w:p>
        </w:tc>
      </w:tr>
      <w:tr>
        <w:tc>
          <w:tcPr/>
          <w:p>
            <w:pPr>
              <w:pStyle w:val="Compact"/>
            </w:pPr>
            <w:r>
              <w:t xml:space="preserve">Supervisor</w:t>
            </w:r>
          </w:p>
        </w:tc>
        <w:tc>
          <w:tcPr/>
          <w:p>
            <w:pPr>
              <w:pStyle w:val="Compact"/>
            </w:pPr>
            <w:r>
              <w:t xml:space="preserve">Supervisor training, mentorship structures, methodological support, feedback standards</w:t>
            </w:r>
          </w:p>
        </w:tc>
      </w:tr>
      <w:tr>
        <w:tc>
          <w:tcPr/>
          <w:p>
            <w:pPr>
              <w:pStyle w:val="Compact"/>
            </w:pPr>
            <w:r>
              <w:t xml:space="preserve">Institution</w:t>
            </w:r>
          </w:p>
        </w:tc>
        <w:tc>
          <w:tcPr/>
          <w:p>
            <w:pPr>
              <w:pStyle w:val="Compact"/>
            </w:pPr>
            <w:r>
              <w:t xml:space="preserve">Research governance, infrastructure, incentives, collaboration mechanisms</w:t>
            </w:r>
          </w:p>
        </w:tc>
      </w:tr>
      <w:tr>
        <w:tc>
          <w:tcPr/>
          <w:p>
            <w:pPr>
              <w:pStyle w:val="Compact"/>
            </w:pPr>
            <w:r>
              <w:t xml:space="preserve">National system</w:t>
            </w:r>
          </w:p>
        </w:tc>
        <w:tc>
          <w:tcPr/>
          <w:p>
            <w:pPr>
              <w:pStyle w:val="Compact"/>
            </w:pPr>
            <w:r>
              <w:t xml:space="preserve">Funding, policy, career incentives, research priorities, national infrastructure</w:t>
            </w:r>
          </w:p>
        </w:tc>
      </w:tr>
    </w:tbl>
    <w:bookmarkEnd w:id="36"/>
    <w:bookmarkStart w:id="37" w:name="funding-registration-and-open-science"/>
    <w:p>
      <w:pPr>
        <w:pStyle w:val="Heading1"/>
      </w:pPr>
      <w:r>
        <w:t xml:space="preserve">14. Funding, Registration, and Open Science</w:t>
      </w:r>
    </w:p>
    <w:p>
      <w:pPr>
        <w:pStyle w:val="FirstParagraph"/>
      </w:pPr>
      <w:r>
        <w:t xml:space="preserve">The study is investigator-initiated and unfunded.</w:t>
      </w:r>
    </w:p>
    <w:p>
      <w:pPr>
        <w:pStyle w:val="BodyText"/>
      </w:pPr>
      <w:r>
        <w:t xml:space="preserve">De-identified aggregate Delphi data, the final questionnaire, item-development documentation, and analytic code will be shared in OSF, subject to ethics approval, participant consent, institutional policy, and protection against deductive identification of participants or institutions.</w:t>
      </w:r>
    </w:p>
    <w:p>
      <w:pPr>
        <w:pStyle w:val="BodyText"/>
      </w:pPr>
      <w:r>
        <w:t xml:space="preserve">The final protocol will be dated and version controlled before recruitment.</w:t>
      </w:r>
    </w:p>
    <w:p>
      <w:pPr>
        <w:pStyle w:val="BodyText"/>
      </w:pPr>
      <w:r>
        <w:t xml:space="preserve">This protocol is prospectively registered on the Open Science Framework before participant recruitment and data collection begin. The registration identifier is OSF.IO/83G7B.</w:t>
      </w:r>
    </w:p>
    <w:p>
      <w:pPr>
        <w:pStyle w:val="BodyText"/>
      </w:pPr>
      <w:r>
        <w:t xml:space="preserve">Any substantive amendment affecting participant eligibility, item-generation procedures, consensus definitions, number of rounds, or primary outcomes will be documented with the date, rationale, and potential effect on interpretation. Ethical approval will be obtained for amendments where required.</w:t>
      </w:r>
    </w:p>
    <w:p>
      <w:pPr>
        <w:pStyle w:val="BodyText"/>
      </w:pPr>
      <w:r>
        <w:t xml:space="preserve">The completed study will be reported in accordance with the ACCORD guidance for reporting of modified Delphi studies.</w:t>
      </w:r>
      <w:r>
        <w:t xml:space="preserve"> </w:t>
      </w:r>
      <w:r>
        <w:t xml:space="preserve">[10]</w:t>
      </w:r>
    </w:p>
    <w:p>
      <w:pPr>
        <w:pStyle w:val="BodyText"/>
      </w:pPr>
      <w:r>
        <w:t xml:space="preserve">The analysis codebook, derived variables, and final statistical analysis scripts will be archived alongside the dataset where permitted by ethics approval and institutional policy.</w:t>
      </w:r>
    </w:p>
    <w:bookmarkEnd w:id="37"/>
    <w:bookmarkStart w:id="38" w:name="timeline"/>
    <w:p>
      <w:pPr>
        <w:pStyle w:val="Heading1"/>
      </w:pPr>
      <w:r>
        <w:t xml:space="preserve">15. Timeline</w:t>
      </w:r>
    </w:p>
    <w:tbl>
      <w:tblPr>
        <w:tblStyle w:val="Table"/>
        <w:tblW w:type="pct" w:w="5000"/>
        <w:tblLayout w:type="fixed"/>
        <w:tblLook w:firstRow="1" w:lastRow="0" w:firstColumn="0" w:lastColumn="0" w:noHBand="0" w:noVBand="0" w:val="0020"/>
      </w:tblPr>
      <w:tblGrid>
        <w:gridCol w:w="2090"/>
        <w:gridCol w:w="5830"/>
      </w:tblGrid>
      <w:tr>
        <w:trPr>
          <w:tblHeader w:val="on"/>
        </w:trPr>
        <w:tc>
          <w:tcPr/>
          <w:p>
            <w:pPr>
              <w:pStyle w:val="Compact"/>
            </w:pPr>
            <w:r>
              <w:t xml:space="preserve">Period</w:t>
            </w:r>
          </w:p>
        </w:tc>
        <w:tc>
          <w:tcPr/>
          <w:p>
            <w:pPr>
              <w:pStyle w:val="Compact"/>
            </w:pPr>
            <w:r>
              <w:t xml:space="preserve">Activities</w:t>
            </w:r>
          </w:p>
        </w:tc>
      </w:tr>
      <w:tr>
        <w:tc>
          <w:tcPr/>
          <w:p>
            <w:pPr>
              <w:pStyle w:val="Compact"/>
            </w:pPr>
            <w:r>
              <w:t xml:space="preserve">Month 1</w:t>
            </w:r>
          </w:p>
        </w:tc>
        <w:tc>
          <w:tcPr/>
          <w:p>
            <w:pPr>
              <w:pStyle w:val="Compact"/>
            </w:pPr>
            <w:r>
              <w:t xml:space="preserve">Finalize protocol; prepare participant information and consent material; submit IRB application</w:t>
            </w:r>
          </w:p>
        </w:tc>
      </w:tr>
      <w:tr>
        <w:tc>
          <w:tcPr/>
          <w:p>
            <w:pPr>
              <w:pStyle w:val="Compact"/>
            </w:pPr>
            <w:r>
              <w:t xml:space="preserve">Month 2</w:t>
            </w:r>
          </w:p>
        </w:tc>
        <w:tc>
          <w:tcPr/>
          <w:p>
            <w:pPr>
              <w:pStyle w:val="Compact"/>
            </w:pPr>
            <w:r>
              <w:t xml:space="preserve">Conduct focused literature review; develop initial item pool; expert review; finalize questionnaire</w:t>
            </w:r>
          </w:p>
        </w:tc>
      </w:tr>
      <w:tr>
        <w:tc>
          <w:tcPr/>
          <w:p>
            <w:pPr>
              <w:pStyle w:val="Compact"/>
            </w:pPr>
            <w:r>
              <w:t xml:space="preserve">Month 3</w:t>
            </w:r>
          </w:p>
        </w:tc>
        <w:tc>
          <w:tcPr/>
          <w:p>
            <w:pPr>
              <w:pStyle w:val="Compact"/>
            </w:pPr>
            <w:r>
              <w:t xml:space="preserve">Recruit panel; launch Round 1; send 1–2 reminders over a 2–3 week response window</w:t>
            </w:r>
          </w:p>
        </w:tc>
      </w:tr>
      <w:tr>
        <w:tc>
          <w:tcPr/>
          <w:p>
            <w:pPr>
              <w:pStyle w:val="Compact"/>
            </w:pPr>
            <w:r>
              <w:t xml:space="preserve">Month 4</w:t>
            </w:r>
          </w:p>
        </w:tc>
        <w:tc>
          <w:tcPr/>
          <w:p>
            <w:pPr>
              <w:pStyle w:val="Compact"/>
            </w:pPr>
            <w:r>
              <w:t xml:space="preserve">Clean and analyze Round-1 data; finalize Round-2 items and anonymous feedback</w:t>
            </w:r>
          </w:p>
        </w:tc>
      </w:tr>
      <w:tr>
        <w:tc>
          <w:tcPr/>
          <w:p>
            <w:pPr>
              <w:pStyle w:val="Compact"/>
            </w:pPr>
            <w:r>
              <w:t xml:space="preserve">Month 5</w:t>
            </w:r>
          </w:p>
        </w:tc>
        <w:tc>
          <w:tcPr/>
          <w:p>
            <w:pPr>
              <w:pStyle w:val="Compact"/>
            </w:pPr>
            <w:r>
              <w:t xml:space="preserve">Launch Round 2; send reminders over a 2–3 week response window; close Round 2</w:t>
            </w:r>
          </w:p>
        </w:tc>
      </w:tr>
      <w:tr>
        <w:tc>
          <w:tcPr/>
          <w:p>
            <w:pPr>
              <w:pStyle w:val="Compact"/>
            </w:pPr>
            <w:r>
              <w:t xml:space="preserve">Month 6</w:t>
            </w:r>
          </w:p>
        </w:tc>
        <w:tc>
          <w:tcPr/>
          <w:p>
            <w:pPr>
              <w:pStyle w:val="Compact"/>
            </w:pPr>
            <w:r>
              <w:t xml:space="preserve">Final Delphi analysis; finalize consensus classifications</w:t>
            </w:r>
          </w:p>
        </w:tc>
      </w:tr>
      <w:tr>
        <w:tc>
          <w:tcPr/>
          <w:p>
            <w:pPr>
              <w:pStyle w:val="Compact"/>
            </w:pPr>
            <w:r>
              <w:t xml:space="preserve">Month 7</w:t>
            </w:r>
          </w:p>
        </w:tc>
        <w:tc>
          <w:tcPr/>
          <w:p>
            <w:pPr>
              <w:pStyle w:val="Compact"/>
            </w:pPr>
            <w:r>
              <w:t xml:space="preserve">Develop and format the consensus-based priority framework; advisory board interpretation</w:t>
            </w:r>
          </w:p>
        </w:tc>
      </w:tr>
      <w:tr>
        <w:tc>
          <w:tcPr/>
          <w:p>
            <w:pPr>
              <w:pStyle w:val="Compact"/>
            </w:pPr>
            <w:r>
              <w:t xml:space="preserve">Month 8</w:t>
            </w:r>
          </w:p>
        </w:tc>
        <w:tc>
          <w:tcPr/>
          <w:p>
            <w:pPr>
              <w:pStyle w:val="Compact"/>
            </w:pPr>
            <w:r>
              <w:t xml:space="preserve">Document feedback and any post-Delphi refinements</w:t>
            </w:r>
          </w:p>
        </w:tc>
      </w:tr>
      <w:tr>
        <w:tc>
          <w:tcPr/>
          <w:p>
            <w:pPr>
              <w:pStyle w:val="Compact"/>
            </w:pPr>
            <w:r>
              <w:t xml:space="preserve">Month 9</w:t>
            </w:r>
          </w:p>
        </w:tc>
        <w:tc>
          <w:tcPr/>
          <w:p>
            <w:pPr>
              <w:pStyle w:val="Compact"/>
            </w:pPr>
            <w:r>
              <w:t xml:space="preserve">Manuscript preparation; policy brief; dissemination materials.</w:t>
            </w:r>
          </w:p>
        </w:tc>
      </w:tr>
    </w:tbl>
    <w:bookmarkEnd w:id="38"/>
    <w:bookmarkStart w:id="39" w:name="dissemination"/>
    <w:p>
      <w:pPr>
        <w:pStyle w:val="Heading1"/>
      </w:pPr>
      <w:r>
        <w:t xml:space="preserve">16. Dissemination</w:t>
      </w:r>
    </w:p>
    <w:p>
      <w:pPr>
        <w:pStyle w:val="FirstParagraph"/>
      </w:pPr>
      <w:r>
        <w:t xml:space="preserve">Findings will be disseminated through peer-reviewed scientific publication and a policy brief.</w:t>
      </w:r>
    </w:p>
    <w:p>
      <w:pPr>
        <w:pStyle w:val="BodyText"/>
      </w:pPr>
      <w:r>
        <w:t xml:space="preserve">Dissemination materials will distinguish between:</w:t>
      </w:r>
    </w:p>
    <w:p>
      <w:pPr>
        <w:pStyle w:val="Compact"/>
        <w:numPr>
          <w:ilvl w:val="0"/>
          <w:numId w:val="1034"/>
        </w:numPr>
      </w:pPr>
      <w:r>
        <w:t xml:space="preserve">barriers that achieved consensus;</w:t>
      </w:r>
    </w:p>
    <w:p>
      <w:pPr>
        <w:pStyle w:val="Compact"/>
        <w:numPr>
          <w:ilvl w:val="0"/>
          <w:numId w:val="1034"/>
        </w:numPr>
      </w:pPr>
      <w:r>
        <w:t xml:space="preserve">interventions that achieved consensus as important and feasible;</w:t>
      </w:r>
    </w:p>
    <w:p>
      <w:pPr>
        <w:pStyle w:val="Compact"/>
        <w:numPr>
          <w:ilvl w:val="0"/>
          <w:numId w:val="1034"/>
        </w:numPr>
      </w:pPr>
      <w:r>
        <w:t xml:space="preserve">areas of persistent disagreement; and</w:t>
      </w:r>
    </w:p>
    <w:p>
      <w:pPr>
        <w:pStyle w:val="Compact"/>
        <w:numPr>
          <w:ilvl w:val="0"/>
          <w:numId w:val="1034"/>
        </w:numPr>
      </w:pPr>
      <w:r>
        <w:t xml:space="preserve">recommendations that require subsequent empirical evaluation.</w:t>
      </w:r>
    </w:p>
    <w:bookmarkEnd w:id="39"/>
    <w:bookmarkStart w:id="40" w:name="limitations"/>
    <w:p>
      <w:pPr>
        <w:pStyle w:val="Heading1"/>
      </w:pPr>
      <w:r>
        <w:t xml:space="preserve">17. Limitations</w:t>
      </w:r>
    </w:p>
    <w:p>
      <w:pPr>
        <w:pStyle w:val="FirstParagraph"/>
      </w:pPr>
      <w:r>
        <w:t xml:space="preserve">We anticipate limitations related to purposive sampling and selection bias; voluntary participation and attrition; limited representativeness; consensus not establishing causality; two rounds may not be sufficient for complex issues; small stakeholder subgroups; and intervention priorities requiring later implementation and effectiveness evaluation.</w:t>
      </w:r>
    </w:p>
    <w:bookmarkEnd w:id="40"/>
    <w:bookmarkStart w:id="48" w:name="appendices"/>
    <w:p>
      <w:pPr>
        <w:pStyle w:val="Heading1"/>
      </w:pPr>
      <w:r>
        <w:t xml:space="preserve">18. Appendices</w:t>
      </w:r>
    </w:p>
    <w:bookmarkStart w:id="41" w:name="appendix-1.-study-investigators"/>
    <w:p>
      <w:pPr>
        <w:pStyle w:val="Heading2"/>
      </w:pPr>
      <w:r>
        <w:t xml:space="preserve">18.1 Appendix 1. Study Investigators</w:t>
      </w:r>
    </w:p>
    <w:p>
      <w:pPr>
        <w:pStyle w:val="Compact"/>
        <w:numPr>
          <w:ilvl w:val="0"/>
          <w:numId w:val="1035"/>
        </w:numPr>
      </w:pPr>
      <w:r>
        <w:rPr>
          <w:b/>
          <w:bCs/>
        </w:rPr>
        <w:t xml:space="preserve">Principal Investigator:</w:t>
      </w:r>
      <w:r>
        <w:t xml:space="preserve"> </w:t>
      </w:r>
      <w:r>
        <w:t xml:space="preserve">Prof. Ashraf Nabhan (Faculty of Medicine, MTI University).</w:t>
      </w:r>
    </w:p>
    <w:p>
      <w:pPr>
        <w:pStyle w:val="Compact"/>
        <w:numPr>
          <w:ilvl w:val="0"/>
          <w:numId w:val="1035"/>
        </w:numPr>
      </w:pPr>
      <w:r>
        <w:rPr>
          <w:b/>
          <w:bCs/>
        </w:rPr>
        <w:t xml:space="preserve">Co-Investigators:</w:t>
      </w:r>
      <w:r>
        <w:t xml:space="preserve"> </w:t>
      </w:r>
      <w:r>
        <w:t xml:space="preserve">Dr Nabila Raouf (Faculty of Medicine, MTI University).</w:t>
      </w:r>
    </w:p>
    <w:p>
      <w:pPr>
        <w:pStyle w:val="Compact"/>
        <w:numPr>
          <w:ilvl w:val="0"/>
          <w:numId w:val="1035"/>
        </w:numPr>
      </w:pPr>
      <w:r>
        <w:rPr>
          <w:b/>
          <w:bCs/>
        </w:rPr>
        <w:t xml:space="preserve">Research Coordinators:</w:t>
      </w:r>
      <w:r>
        <w:t xml:space="preserve"> </w:t>
      </w:r>
      <w:r>
        <w:t xml:space="preserve">Sara Ibrahim Abdelkader (Faculty of Medicine, Galala University), Omar Ahmed Salem (Faculty of Medicine, Cairo University).</w:t>
      </w:r>
    </w:p>
    <w:p>
      <w:pPr>
        <w:pStyle w:val="Compact"/>
        <w:numPr>
          <w:ilvl w:val="0"/>
          <w:numId w:val="1035"/>
        </w:numPr>
      </w:pPr>
      <w:r>
        <w:rPr>
          <w:b/>
          <w:bCs/>
        </w:rPr>
        <w:t xml:space="preserve">Advisory Board:</w:t>
      </w:r>
      <w:r>
        <w:t xml:space="preserve"> </w:t>
      </w:r>
      <w:r>
        <w:t xml:space="preserve">Prof. Mohey El-Banna (Dean, Faculty of Medicine, MTI University) will lead a multidisciplinary advisory board representing early-career researchers, research supervisors, and research-methodology experts. The advisory board will consist of 5 members. The group will oversee protocol development, item generation, interpretation of Delphi findings, and preparation of the final priority framework.</w:t>
      </w:r>
    </w:p>
    <w:bookmarkEnd w:id="41"/>
    <w:bookmarkStart w:id="42" w:name="appendix-2.-proposed-barrier-domains"/>
    <w:p>
      <w:pPr>
        <w:pStyle w:val="Heading2"/>
      </w:pPr>
      <w:r>
        <w:t xml:space="preserve">18.2 Appendix 2. Proposed barrier domains</w:t>
      </w:r>
    </w:p>
    <w:p>
      <w:pPr>
        <w:pStyle w:val="Compact"/>
        <w:numPr>
          <w:ilvl w:val="0"/>
          <w:numId w:val="1036"/>
        </w:numPr>
      </w:pPr>
      <w:r>
        <w:t xml:space="preserve">Research question selection and prioritization</w:t>
      </w:r>
    </w:p>
    <w:p>
      <w:pPr>
        <w:pStyle w:val="Compact"/>
        <w:numPr>
          <w:ilvl w:val="0"/>
          <w:numId w:val="1036"/>
        </w:numPr>
      </w:pPr>
      <w:r>
        <w:t xml:space="preserve">Evidence searching and synthesis</w:t>
      </w:r>
    </w:p>
    <w:p>
      <w:pPr>
        <w:pStyle w:val="Compact"/>
        <w:numPr>
          <w:ilvl w:val="0"/>
          <w:numId w:val="1036"/>
        </w:numPr>
      </w:pPr>
      <w:r>
        <w:t xml:space="preserve">Research methodology knowledge</w:t>
      </w:r>
    </w:p>
    <w:p>
      <w:pPr>
        <w:pStyle w:val="Compact"/>
        <w:numPr>
          <w:ilvl w:val="0"/>
          <w:numId w:val="1036"/>
        </w:numPr>
      </w:pPr>
      <w:r>
        <w:t xml:space="preserve">Biostatistics and data analysis</w:t>
      </w:r>
    </w:p>
    <w:p>
      <w:pPr>
        <w:pStyle w:val="Compact"/>
        <w:numPr>
          <w:ilvl w:val="0"/>
          <w:numId w:val="1036"/>
        </w:numPr>
      </w:pPr>
      <w:r>
        <w:t xml:space="preserve">Scientific writing and reporting</w:t>
      </w:r>
    </w:p>
    <w:p>
      <w:pPr>
        <w:pStyle w:val="Compact"/>
        <w:numPr>
          <w:ilvl w:val="0"/>
          <w:numId w:val="1036"/>
        </w:numPr>
      </w:pPr>
      <w:r>
        <w:t xml:space="preserve">Research supervision and mentorship</w:t>
      </w:r>
    </w:p>
    <w:p>
      <w:pPr>
        <w:pStyle w:val="Compact"/>
        <w:numPr>
          <w:ilvl w:val="0"/>
          <w:numId w:val="1036"/>
        </w:numPr>
      </w:pPr>
      <w:r>
        <w:t xml:space="preserve">Protected research time</w:t>
      </w:r>
    </w:p>
    <w:p>
      <w:pPr>
        <w:pStyle w:val="Compact"/>
        <w:numPr>
          <w:ilvl w:val="0"/>
          <w:numId w:val="1036"/>
        </w:numPr>
      </w:pPr>
      <w:r>
        <w:t xml:space="preserve">Funding and financial resources</w:t>
      </w:r>
    </w:p>
    <w:p>
      <w:pPr>
        <w:pStyle w:val="Compact"/>
        <w:numPr>
          <w:ilvl w:val="0"/>
          <w:numId w:val="1036"/>
        </w:numPr>
      </w:pPr>
      <w:r>
        <w:t xml:space="preserve">Data availability and access</w:t>
      </w:r>
    </w:p>
    <w:p>
      <w:pPr>
        <w:pStyle w:val="Compact"/>
        <w:numPr>
          <w:ilvl w:val="0"/>
          <w:numId w:val="1036"/>
        </w:numPr>
      </w:pPr>
      <w:r>
        <w:t xml:space="preserve">Laboratory and technical infrastructure</w:t>
      </w:r>
    </w:p>
    <w:p>
      <w:pPr>
        <w:pStyle w:val="Compact"/>
        <w:numPr>
          <w:ilvl w:val="0"/>
          <w:numId w:val="1036"/>
        </w:numPr>
      </w:pPr>
      <w:r>
        <w:t xml:space="preserve">Research ethics and administrative processes</w:t>
      </w:r>
    </w:p>
    <w:p>
      <w:pPr>
        <w:pStyle w:val="Compact"/>
        <w:numPr>
          <w:ilvl w:val="0"/>
          <w:numId w:val="1036"/>
        </w:numPr>
      </w:pPr>
      <w:r>
        <w:t xml:space="preserve">Collaboration and multidisciplinary research</w:t>
      </w:r>
    </w:p>
    <w:p>
      <w:pPr>
        <w:pStyle w:val="Compact"/>
        <w:numPr>
          <w:ilvl w:val="0"/>
          <w:numId w:val="1036"/>
        </w:numPr>
      </w:pPr>
      <w:r>
        <w:t xml:space="preserve">Institutional research culture</w:t>
      </w:r>
    </w:p>
    <w:p>
      <w:pPr>
        <w:pStyle w:val="Compact"/>
        <w:numPr>
          <w:ilvl w:val="0"/>
          <w:numId w:val="1036"/>
        </w:numPr>
      </w:pPr>
      <w:r>
        <w:t xml:space="preserve">Academic promotion and incentive structures</w:t>
      </w:r>
    </w:p>
    <w:p>
      <w:pPr>
        <w:pStyle w:val="Compact"/>
        <w:numPr>
          <w:ilvl w:val="0"/>
          <w:numId w:val="1036"/>
        </w:numPr>
      </w:pPr>
      <w:r>
        <w:t xml:space="preserve">Publication and dissemination</w:t>
      </w:r>
    </w:p>
    <w:p>
      <w:pPr>
        <w:pStyle w:val="Compact"/>
        <w:numPr>
          <w:ilvl w:val="0"/>
          <w:numId w:val="1036"/>
        </w:numPr>
      </w:pPr>
      <w:r>
        <w:t xml:space="preserve">Research governance and integrity</w:t>
      </w:r>
    </w:p>
    <w:p>
      <w:pPr>
        <w:pStyle w:val="Compact"/>
        <w:numPr>
          <w:ilvl w:val="0"/>
          <w:numId w:val="1036"/>
        </w:numPr>
      </w:pPr>
      <w:r>
        <w:t xml:space="preserve">National research policy and infrastructure</w:t>
      </w:r>
    </w:p>
    <w:bookmarkEnd w:id="42"/>
    <w:bookmarkStart w:id="43" w:name="Xbad515ac281b62739dfb411df580324f52669ee"/>
    <w:p>
      <w:pPr>
        <w:pStyle w:val="Heading2"/>
      </w:pPr>
      <w:r>
        <w:t xml:space="preserve">18.3 Appendix 3. Proposed intervention domains</w:t>
      </w:r>
    </w:p>
    <w:p>
      <w:pPr>
        <w:pStyle w:val="Compact"/>
        <w:numPr>
          <w:ilvl w:val="0"/>
          <w:numId w:val="1037"/>
        </w:numPr>
      </w:pPr>
      <w:r>
        <w:t xml:space="preserve">Structured research-methodology curricula</w:t>
      </w:r>
    </w:p>
    <w:p>
      <w:pPr>
        <w:pStyle w:val="Compact"/>
        <w:numPr>
          <w:ilvl w:val="0"/>
          <w:numId w:val="1037"/>
        </w:numPr>
      </w:pPr>
      <w:r>
        <w:t xml:space="preserve">Supervisor-development programs</w:t>
      </w:r>
    </w:p>
    <w:p>
      <w:pPr>
        <w:pStyle w:val="Compact"/>
        <w:numPr>
          <w:ilvl w:val="0"/>
          <w:numId w:val="1037"/>
        </w:numPr>
      </w:pPr>
      <w:r>
        <w:t xml:space="preserve">Formal mentorship systems</w:t>
      </w:r>
    </w:p>
    <w:p>
      <w:pPr>
        <w:pStyle w:val="Compact"/>
        <w:numPr>
          <w:ilvl w:val="0"/>
          <w:numId w:val="1037"/>
        </w:numPr>
      </w:pPr>
      <w:r>
        <w:t xml:space="preserve">Institutional statistical/methodological consultation</w:t>
      </w:r>
    </w:p>
    <w:p>
      <w:pPr>
        <w:pStyle w:val="Compact"/>
        <w:numPr>
          <w:ilvl w:val="0"/>
          <w:numId w:val="1037"/>
        </w:numPr>
      </w:pPr>
      <w:r>
        <w:t xml:space="preserve">Enforce a protected research time</w:t>
      </w:r>
    </w:p>
    <w:p>
      <w:pPr>
        <w:pStyle w:val="Compact"/>
        <w:numPr>
          <w:ilvl w:val="0"/>
          <w:numId w:val="1037"/>
        </w:numPr>
      </w:pPr>
      <w:r>
        <w:t xml:space="preserve">Small-grant mechanisms</w:t>
      </w:r>
    </w:p>
    <w:p>
      <w:pPr>
        <w:pStyle w:val="Compact"/>
        <w:numPr>
          <w:ilvl w:val="0"/>
          <w:numId w:val="1037"/>
        </w:numPr>
      </w:pPr>
      <w:r>
        <w:t xml:space="preserve">Shared research infrastructure</w:t>
      </w:r>
    </w:p>
    <w:p>
      <w:pPr>
        <w:pStyle w:val="Compact"/>
        <w:numPr>
          <w:ilvl w:val="0"/>
          <w:numId w:val="1037"/>
        </w:numPr>
      </w:pPr>
      <w:r>
        <w:t xml:space="preserve">Research-support offices</w:t>
      </w:r>
    </w:p>
    <w:p>
      <w:pPr>
        <w:pStyle w:val="Compact"/>
        <w:numPr>
          <w:ilvl w:val="0"/>
          <w:numId w:val="1037"/>
        </w:numPr>
      </w:pPr>
      <w:r>
        <w:t xml:space="preserve">Data-access systems</w:t>
      </w:r>
    </w:p>
    <w:p>
      <w:pPr>
        <w:pStyle w:val="Compact"/>
        <w:numPr>
          <w:ilvl w:val="0"/>
          <w:numId w:val="1037"/>
        </w:numPr>
      </w:pPr>
      <w:r>
        <w:t xml:space="preserve">Research collaboration networks</w:t>
      </w:r>
    </w:p>
    <w:p>
      <w:pPr>
        <w:pStyle w:val="Compact"/>
        <w:numPr>
          <w:ilvl w:val="0"/>
          <w:numId w:val="1037"/>
        </w:numPr>
      </w:pPr>
      <w:r>
        <w:t xml:space="preserve">Research-integrity and reporting training</w:t>
      </w:r>
    </w:p>
    <w:p>
      <w:pPr>
        <w:pStyle w:val="Compact"/>
        <w:numPr>
          <w:ilvl w:val="0"/>
          <w:numId w:val="1037"/>
        </w:numPr>
      </w:pPr>
      <w:r>
        <w:t xml:space="preserve">Incentive and promotion reform</w:t>
      </w:r>
    </w:p>
    <w:p>
      <w:pPr>
        <w:pStyle w:val="Compact"/>
        <w:numPr>
          <w:ilvl w:val="0"/>
          <w:numId w:val="1037"/>
        </w:numPr>
      </w:pPr>
      <w:r>
        <w:t xml:space="preserve">Research-priority setting</w:t>
      </w:r>
    </w:p>
    <w:p>
      <w:pPr>
        <w:pStyle w:val="Compact"/>
        <w:numPr>
          <w:ilvl w:val="0"/>
          <w:numId w:val="1037"/>
        </w:numPr>
      </w:pPr>
      <w:r>
        <w:t xml:space="preserve">National research-capacity programs</w:t>
      </w:r>
    </w:p>
    <w:p>
      <w:pPr>
        <w:pStyle w:val="Compact"/>
        <w:numPr>
          <w:ilvl w:val="0"/>
          <w:numId w:val="1037"/>
        </w:numPr>
      </w:pPr>
      <w:r>
        <w:t xml:space="preserve">Mechanisms for dissemination and uptake of research findings</w:t>
      </w:r>
    </w:p>
    <w:bookmarkEnd w:id="43"/>
    <w:bookmarkStart w:id="44" w:name="appendix-4.-study-level-audit-trail"/>
    <w:p>
      <w:pPr>
        <w:pStyle w:val="Heading2"/>
      </w:pPr>
      <w:r>
        <w:t xml:space="preserve">18.4 Appendix 4. Study-level audit trail</w:t>
      </w:r>
    </w:p>
    <w:p>
      <w:pPr>
        <w:pStyle w:val="FirstParagraph"/>
      </w:pPr>
      <w:r>
        <w:t xml:space="preserve">The research team will maintain a study-level audit trail containing:</w:t>
      </w:r>
    </w:p>
    <w:p>
      <w:pPr>
        <w:pStyle w:val="Compact"/>
        <w:numPr>
          <w:ilvl w:val="0"/>
          <w:numId w:val="1038"/>
        </w:numPr>
      </w:pPr>
      <w:r>
        <w:t xml:space="preserve">protocol version;</w:t>
      </w:r>
    </w:p>
    <w:p>
      <w:pPr>
        <w:pStyle w:val="Compact"/>
        <w:numPr>
          <w:ilvl w:val="0"/>
          <w:numId w:val="1038"/>
        </w:numPr>
      </w:pPr>
      <w:r>
        <w:t xml:space="preserve">item wording and revisions;</w:t>
      </w:r>
    </w:p>
    <w:p>
      <w:pPr>
        <w:pStyle w:val="Compact"/>
        <w:numPr>
          <w:ilvl w:val="0"/>
          <w:numId w:val="1038"/>
        </w:numPr>
      </w:pPr>
      <w:r>
        <w:t xml:space="preserve">reason for each material item change;</w:t>
      </w:r>
    </w:p>
    <w:p>
      <w:pPr>
        <w:pStyle w:val="Compact"/>
        <w:numPr>
          <w:ilvl w:val="0"/>
          <w:numId w:val="1038"/>
        </w:numPr>
      </w:pPr>
      <w:r>
        <w:t xml:space="preserve">participant recruitment numbers;</w:t>
      </w:r>
    </w:p>
    <w:p>
      <w:pPr>
        <w:pStyle w:val="Compact"/>
        <w:numPr>
          <w:ilvl w:val="0"/>
          <w:numId w:val="1038"/>
        </w:numPr>
      </w:pPr>
      <w:r>
        <w:t xml:space="preserve">stakeholder category;</w:t>
      </w:r>
    </w:p>
    <w:p>
      <w:pPr>
        <w:pStyle w:val="Compact"/>
        <w:numPr>
          <w:ilvl w:val="0"/>
          <w:numId w:val="1038"/>
        </w:numPr>
      </w:pPr>
      <w:r>
        <w:t xml:space="preserve">round-specific response rates;</w:t>
      </w:r>
    </w:p>
    <w:p>
      <w:pPr>
        <w:pStyle w:val="Compact"/>
        <w:numPr>
          <w:ilvl w:val="0"/>
          <w:numId w:val="1038"/>
        </w:numPr>
      </w:pPr>
      <w:r>
        <w:t xml:space="preserve">item-level response distributions;</w:t>
      </w:r>
    </w:p>
    <w:p>
      <w:pPr>
        <w:pStyle w:val="Compact"/>
        <w:numPr>
          <w:ilvl w:val="0"/>
          <w:numId w:val="1038"/>
        </w:numPr>
      </w:pPr>
      <w:r>
        <w:t xml:space="preserve">median and IQR;</w:t>
      </w:r>
    </w:p>
    <w:p>
      <w:pPr>
        <w:pStyle w:val="Compact"/>
        <w:numPr>
          <w:ilvl w:val="0"/>
          <w:numId w:val="1038"/>
        </w:numPr>
      </w:pPr>
      <w:r>
        <w:t xml:space="preserve">consensus classification;</w:t>
      </w:r>
    </w:p>
    <w:p>
      <w:pPr>
        <w:pStyle w:val="Compact"/>
        <w:numPr>
          <w:ilvl w:val="0"/>
          <w:numId w:val="1038"/>
        </w:numPr>
      </w:pPr>
      <w:r>
        <w:t xml:space="preserve">subgroup findings; and</w:t>
      </w:r>
    </w:p>
    <w:p>
      <w:pPr>
        <w:pStyle w:val="Compact"/>
        <w:numPr>
          <w:ilvl w:val="0"/>
          <w:numId w:val="1038"/>
        </w:numPr>
      </w:pPr>
      <w:r>
        <w:t xml:space="preserve">documented protocol deviations.</w:t>
      </w:r>
    </w:p>
    <w:bookmarkEnd w:id="44"/>
    <w:bookmarkStart w:id="46" w:name="sec-pis"/>
    <w:p>
      <w:pPr>
        <w:pStyle w:val="Heading2"/>
      </w:pPr>
      <w:r>
        <w:t xml:space="preserve">18.5 Appendix 5. Participant Information Sheet</w:t>
      </w:r>
    </w:p>
    <w:p>
      <w:pPr>
        <w:pStyle w:val="FirstParagraph"/>
      </w:pPr>
      <w:r>
        <w:rPr>
          <w:b/>
          <w:bCs/>
        </w:rPr>
        <w:t xml:space="preserve">Study title</w:t>
      </w:r>
    </w:p>
    <w:p>
      <w:pPr>
        <w:pStyle w:val="BodyText"/>
      </w:pPr>
      <w:r>
        <w:rPr>
          <w:b/>
          <w:bCs/>
        </w:rPr>
        <w:t xml:space="preserve">Barriers to Valid Medical Research Among Early-Career Researchers in Egypt: A Modified Delphi Study</w:t>
      </w:r>
    </w:p>
    <w:p>
      <w:pPr>
        <w:pStyle w:val="BodyText"/>
      </w:pPr>
      <w:r>
        <w:t xml:space="preserve">Principal Investigator: Prof. Ashraf Nabhan (Faculty of Medicine, MTI University)</w:t>
      </w:r>
    </w:p>
    <w:p>
      <w:pPr>
        <w:pStyle w:val="BodyText"/>
      </w:pPr>
      <w:r>
        <w:t xml:space="preserve">Research Coordinators: Sara Ibrahim Abdelkader and Omar Ahmed Salem</w:t>
      </w:r>
    </w:p>
    <w:p>
      <w:pPr>
        <w:pStyle w:val="BodyText"/>
      </w:pPr>
      <w:r>
        <w:rPr>
          <w:b/>
          <w:bCs/>
        </w:rPr>
        <w:t xml:space="preserve">Invitation to take part</w:t>
      </w:r>
    </w:p>
    <w:p>
      <w:pPr>
        <w:pStyle w:val="BodyText"/>
      </w:pPr>
      <w:r>
        <w:t xml:space="preserve">You are invited to participate in a research study about barriers that may affect the ability of early-career medical researchers in Egypt to conduct valid, relevant, and high-value research.</w:t>
      </w:r>
    </w:p>
    <w:p>
      <w:pPr>
        <w:pStyle w:val="BodyText"/>
      </w:pPr>
      <w:r>
        <w:t xml:space="preserve">Before deciding whether to participate, please read this information carefully. It explains why the study is being done, what participation involves, possible risks and benefits, and how your information will be handled.</w:t>
      </w:r>
    </w:p>
    <w:p>
      <w:pPr>
        <w:pStyle w:val="BodyText"/>
      </w:pPr>
      <w:r>
        <w:t xml:space="preserve">Taking part is entirely voluntary.</w:t>
      </w:r>
    </w:p>
    <w:p>
      <w:pPr>
        <w:pStyle w:val="BodyText"/>
      </w:pPr>
      <w:r>
        <w:rPr>
          <w:b/>
          <w:bCs/>
        </w:rPr>
        <w:t xml:space="preserve">Why is this study being conducted?</w:t>
      </w:r>
    </w:p>
    <w:p>
      <w:pPr>
        <w:pStyle w:val="BodyText"/>
      </w:pPr>
      <w:r>
        <w:t xml:space="preserve">Medical research should address important questions and use appropriate methods so that its findings can be trusted and used. However, early-career researchers may face barriers related to research skills, supervision, time, funding, data access, infrastructure, ethics and administrative procedures, institutional culture, incentives, and the wider research system.</w:t>
      </w:r>
    </w:p>
    <w:p>
      <w:pPr>
        <w:pStyle w:val="BodyText"/>
      </w:pPr>
      <w:r>
        <w:t xml:space="preserve">This study aims to develop expert consensus on:</w:t>
      </w:r>
    </w:p>
    <w:p>
      <w:pPr>
        <w:pStyle w:val="Compact"/>
        <w:numPr>
          <w:ilvl w:val="0"/>
          <w:numId w:val="1039"/>
        </w:numPr>
      </w:pPr>
      <w:r>
        <w:t xml:space="preserve">The barriers considered most important in limiting valid, relevant, and high-value medical research among early-career researchers in Egypt.</w:t>
      </w:r>
    </w:p>
    <w:p>
      <w:pPr>
        <w:pStyle w:val="Compact"/>
        <w:numPr>
          <w:ilvl w:val="0"/>
          <w:numId w:val="1039"/>
        </w:numPr>
      </w:pPr>
      <w:r>
        <w:t xml:space="preserve">Which barriers are considered modifiable.</w:t>
      </w:r>
    </w:p>
    <w:p>
      <w:pPr>
        <w:pStyle w:val="Compact"/>
        <w:numPr>
          <w:ilvl w:val="0"/>
          <w:numId w:val="1039"/>
        </w:numPr>
      </w:pPr>
      <w:r>
        <w:t xml:space="preserve">Which interventions are considered important, feasible, and suitable for prioritization.</w:t>
      </w:r>
    </w:p>
    <w:p>
      <w:pPr>
        <w:pStyle w:val="FirstParagraph"/>
      </w:pPr>
      <w:r>
        <w:t xml:space="preserve">The study does not aim to measure how common each barrier is in Egypt, determine whether a particular barrier causes poor research quality, evaluate institutions or individuals, or assess the performance of any named supervisor, department, university, hospital, or organization.</w:t>
      </w:r>
    </w:p>
    <w:p>
      <w:pPr>
        <w:pStyle w:val="BodyText"/>
      </w:pPr>
      <w:r>
        <w:rPr>
          <w:b/>
          <w:bCs/>
        </w:rPr>
        <w:t xml:space="preserve">Why have I been invited?</w:t>
      </w:r>
    </w:p>
    <w:p>
      <w:pPr>
        <w:pStyle w:val="BodyText"/>
      </w:pPr>
      <w:r>
        <w:t xml:space="preserve">You have been invited because of your experience in one or more areas relevant to medical research in Egypt. Eligible participants include:</w:t>
      </w:r>
    </w:p>
    <w:p>
      <w:pPr>
        <w:pStyle w:val="Compact"/>
        <w:numPr>
          <w:ilvl w:val="0"/>
          <w:numId w:val="1040"/>
        </w:numPr>
      </w:pPr>
      <w:r>
        <w:t xml:space="preserve">Medical students, house officers, residents, teaching assistants, assistant lecturers, or equivalent early-career medical researchers.</w:t>
      </w:r>
    </w:p>
    <w:p>
      <w:pPr>
        <w:pStyle w:val="Compact"/>
        <w:numPr>
          <w:ilvl w:val="0"/>
          <w:numId w:val="1040"/>
        </w:numPr>
      </w:pPr>
      <w:r>
        <w:t xml:space="preserve">Research supervisors.</w:t>
      </w:r>
    </w:p>
    <w:p>
      <w:pPr>
        <w:pStyle w:val="Compact"/>
        <w:numPr>
          <w:ilvl w:val="0"/>
          <w:numId w:val="1040"/>
        </w:numPr>
      </w:pPr>
      <w:r>
        <w:t xml:space="preserve">Biostatisticians or research methodologists.</w:t>
      </w:r>
    </w:p>
    <w:p>
      <w:pPr>
        <w:pStyle w:val="Compact"/>
        <w:numPr>
          <w:ilvl w:val="0"/>
          <w:numId w:val="1040"/>
        </w:numPr>
      </w:pPr>
      <w:r>
        <w:t xml:space="preserve">Members of ethics committees or research-governance structures.</w:t>
      </w:r>
    </w:p>
    <w:p>
      <w:pPr>
        <w:pStyle w:val="FirstParagraph"/>
      </w:pPr>
      <w:r>
        <w:rPr>
          <w:b/>
          <w:bCs/>
        </w:rPr>
        <w:t xml:space="preserve">What will happen if I take part?</w:t>
      </w:r>
    </w:p>
    <w:p>
      <w:pPr>
        <w:pStyle w:val="BodyText"/>
      </w:pPr>
      <w:r>
        <w:rPr>
          <w:b/>
          <w:bCs/>
        </w:rPr>
        <w:t xml:space="preserve">Round 1</w:t>
      </w:r>
    </w:p>
    <w:p>
      <w:pPr>
        <w:pStyle w:val="BodyText"/>
      </w:pPr>
      <w:r>
        <w:t xml:space="preserve">If you agree to participate, you will complete an electronic consent form and a questionnaire that includes:</w:t>
      </w:r>
    </w:p>
    <w:p>
      <w:pPr>
        <w:pStyle w:val="Compact"/>
        <w:numPr>
          <w:ilvl w:val="0"/>
          <w:numId w:val="1041"/>
        </w:numPr>
      </w:pPr>
      <w:r>
        <w:t xml:space="preserve">A small number of background questions.</w:t>
      </w:r>
    </w:p>
    <w:p>
      <w:pPr>
        <w:pStyle w:val="Compact"/>
        <w:numPr>
          <w:ilvl w:val="0"/>
          <w:numId w:val="1041"/>
        </w:numPr>
      </w:pPr>
      <w:r>
        <w:t xml:space="preserve">Ratings of candidate</w:t>
      </w:r>
      <w:r>
        <w:t xml:space="preserve"> </w:t>
      </w:r>
      <w:r>
        <w:rPr>
          <w:b/>
          <w:bCs/>
        </w:rPr>
        <w:t xml:space="preserve">barriers</w:t>
      </w:r>
      <w:r>
        <w:t xml:space="preserve"> </w:t>
      </w:r>
      <w:r>
        <w:t xml:space="preserve">to valid, relevant, and high-value medical research among early-career researchers in Egypt, using:</w:t>
      </w:r>
    </w:p>
    <w:p>
      <w:pPr>
        <w:pStyle w:val="Compact"/>
        <w:numPr>
          <w:ilvl w:val="1"/>
          <w:numId w:val="1042"/>
        </w:numPr>
      </w:pPr>
      <w:r>
        <w:rPr>
          <w:b/>
          <w:bCs/>
        </w:rPr>
        <w:t xml:space="preserve">Importance:</w:t>
      </w:r>
      <w:r>
        <w:t xml:space="preserve"> </w:t>
      </w:r>
      <w:r>
        <w:t xml:space="preserve">1 = not important at all to 9 = extremely important.</w:t>
      </w:r>
    </w:p>
    <w:p>
      <w:pPr>
        <w:pStyle w:val="Compact"/>
        <w:numPr>
          <w:ilvl w:val="1"/>
          <w:numId w:val="1042"/>
        </w:numPr>
      </w:pPr>
      <w:r>
        <w:rPr>
          <w:b/>
          <w:bCs/>
        </w:rPr>
        <w:t xml:space="preserve">Modifiability:</w:t>
      </w:r>
      <w:r>
        <w:t xml:space="preserve"> </w:t>
      </w:r>
      <w:r>
        <w:t xml:space="preserve">1 = not modifiable at all to 9 = highly modifiable.</w:t>
      </w:r>
    </w:p>
    <w:p>
      <w:pPr>
        <w:pStyle w:val="Compact"/>
        <w:numPr>
          <w:ilvl w:val="0"/>
          <w:numId w:val="1041"/>
        </w:numPr>
      </w:pPr>
      <w:r>
        <w:t xml:space="preserve">Ratings of candidate</w:t>
      </w:r>
      <w:r>
        <w:t xml:space="preserve"> </w:t>
      </w:r>
      <w:r>
        <w:rPr>
          <w:b/>
          <w:bCs/>
        </w:rPr>
        <w:t xml:space="preserve">interventions</w:t>
      </w:r>
      <w:r>
        <w:t xml:space="preserve"> </w:t>
      </w:r>
      <w:r>
        <w:t xml:space="preserve">to address these barriers, using:</w:t>
      </w:r>
    </w:p>
    <w:p>
      <w:pPr>
        <w:pStyle w:val="Compact"/>
        <w:numPr>
          <w:ilvl w:val="1"/>
          <w:numId w:val="1043"/>
        </w:numPr>
      </w:pPr>
      <w:r>
        <w:rPr>
          <w:b/>
          <w:bCs/>
        </w:rPr>
        <w:t xml:space="preserve">Importance/potential impact:</w:t>
      </w:r>
      <w:r>
        <w:t xml:space="preserve"> </w:t>
      </w:r>
      <w:r>
        <w:t xml:space="preserve">1 = not important/no meaningful impact to 9 = extremely important/very high potential impact.</w:t>
      </w:r>
    </w:p>
    <w:p>
      <w:pPr>
        <w:pStyle w:val="Compact"/>
        <w:numPr>
          <w:ilvl w:val="1"/>
          <w:numId w:val="1043"/>
        </w:numPr>
      </w:pPr>
      <w:r>
        <w:rPr>
          <w:b/>
          <w:bCs/>
        </w:rPr>
        <w:t xml:space="preserve">Feasibility in the Egyptian context:</w:t>
      </w:r>
      <w:r>
        <w:t xml:space="preserve"> </w:t>
      </w:r>
      <w:r>
        <w:t xml:space="preserve">1 = not feasible to 9 = highly feasible.</w:t>
      </w:r>
    </w:p>
    <w:p>
      <w:pPr>
        <w:pStyle w:val="Compact"/>
        <w:numPr>
          <w:ilvl w:val="0"/>
          <w:numId w:val="1041"/>
        </w:numPr>
      </w:pPr>
      <w:r>
        <w:t xml:space="preserve">For each intervention, a question on the main level at which it should be implemented.</w:t>
      </w:r>
    </w:p>
    <w:p>
      <w:pPr>
        <w:pStyle w:val="FirstParagraph"/>
      </w:pPr>
      <w:r>
        <w:t xml:space="preserve">You may select</w:t>
      </w:r>
      <w:r>
        <w:t xml:space="preserve"> </w:t>
      </w:r>
      <w:r>
        <w:rPr>
          <w:b/>
          <w:bCs/>
        </w:rPr>
        <w:t xml:space="preserve">“Cannot judge / insufficient experience”</w:t>
      </w:r>
      <w:r>
        <w:t xml:space="preserve"> </w:t>
      </w:r>
      <w:r>
        <w:t xml:space="preserve">for any item you do not feel able to rate.</w:t>
      </w:r>
    </w:p>
    <w:p>
      <w:pPr>
        <w:pStyle w:val="BodyText"/>
      </w:pPr>
      <w:r>
        <w:t xml:space="preserve">You will be asked to consider the Egyptian research system as a whole, rather than any particular person, department, university, hospital, or organization.</w:t>
      </w:r>
    </w:p>
    <w:p>
      <w:pPr>
        <w:pStyle w:val="BodyText"/>
      </w:pPr>
      <w:r>
        <w:t xml:space="preserve">Round 1 is expected to take approximately</w:t>
      </w:r>
      <w:r>
        <w:t xml:space="preserve"> </w:t>
      </w:r>
      <w:r>
        <w:rPr>
          <w:b/>
          <w:bCs/>
        </w:rPr>
        <w:t xml:space="preserve">30minutes</w:t>
      </w:r>
      <w:r>
        <w:t xml:space="preserve">.</w:t>
      </w:r>
    </w:p>
    <w:p>
      <w:pPr>
        <w:pStyle w:val="BodyText"/>
      </w:pPr>
      <w:r>
        <w:rPr>
          <w:b/>
          <w:bCs/>
        </w:rPr>
        <w:t xml:space="preserve">Round 2</w:t>
      </w:r>
    </w:p>
    <w:p>
      <w:pPr>
        <w:pStyle w:val="BodyText"/>
      </w:pPr>
      <w:r>
        <w:t xml:space="preserve">Participants who complete Round 1 may be invited to Round 2. You will receive anonymized group-level feedback from Round 1 and will be asked to reconsider and re-rate retained or revised barrier and intervention items.</w:t>
      </w:r>
    </w:p>
    <w:p>
      <w:pPr>
        <w:pStyle w:val="BodyText"/>
      </w:pPr>
      <w:r>
        <w:t xml:space="preserve">You will also be asked to identify up to three interventions that should be prioritized first because they are both important and feasible in the Egyptian context.</w:t>
      </w:r>
    </w:p>
    <w:p>
      <w:pPr>
        <w:pStyle w:val="BodyText"/>
      </w:pPr>
      <w:r>
        <w:t xml:space="preserve">Round 2 is expected to take approximately</w:t>
      </w:r>
      <w:r>
        <w:t xml:space="preserve"> </w:t>
      </w:r>
      <w:r>
        <w:rPr>
          <w:b/>
          <w:bCs/>
        </w:rPr>
        <w:t xml:space="preserve">30minutes</w:t>
      </w:r>
      <w:r>
        <w:t xml:space="preserve">.</w:t>
      </w:r>
    </w:p>
    <w:p>
      <w:pPr>
        <w:pStyle w:val="BodyText"/>
      </w:pPr>
      <w:r>
        <w:rPr>
          <w:b/>
          <w:bCs/>
        </w:rPr>
        <w:t xml:space="preserve">What should I consider when responding?</w:t>
      </w:r>
    </w:p>
    <w:p>
      <w:pPr>
        <w:pStyle w:val="BodyText"/>
      </w:pPr>
      <w:r>
        <w:t xml:space="preserve">Please consider the Egyptian medical research system as a whole. The purpose is not to assign blame to individual researchers, supervisors, departments, universities, hospitals, ethics committees, or funding bodies.</w:t>
      </w:r>
    </w:p>
    <w:p>
      <w:pPr>
        <w:pStyle w:val="BodyText"/>
      </w:pPr>
      <w:r>
        <w:t xml:space="preserve">Please do</w:t>
      </w:r>
      <w:r>
        <w:t xml:space="preserve"> </w:t>
      </w:r>
      <w:r>
        <w:rPr>
          <w:b/>
          <w:bCs/>
        </w:rPr>
        <w:t xml:space="preserve">not</w:t>
      </w:r>
      <w:r>
        <w:t xml:space="preserve"> </w:t>
      </w:r>
      <w:r>
        <w:t xml:space="preserve">include:</w:t>
      </w:r>
    </w:p>
    <w:p>
      <w:pPr>
        <w:pStyle w:val="Compact"/>
        <w:numPr>
          <w:ilvl w:val="0"/>
          <w:numId w:val="1044"/>
        </w:numPr>
      </w:pPr>
      <w:r>
        <w:t xml:space="preserve">Names of colleagues, supervisors, students, institutions, departments, hospitals, or organizations.</w:t>
      </w:r>
    </w:p>
    <w:p>
      <w:pPr>
        <w:pStyle w:val="Compact"/>
        <w:numPr>
          <w:ilvl w:val="0"/>
          <w:numId w:val="1044"/>
        </w:numPr>
      </w:pPr>
      <w:r>
        <w:t xml:space="preserve">Confidential organizational information.</w:t>
      </w:r>
    </w:p>
    <w:p>
      <w:pPr>
        <w:pStyle w:val="Compact"/>
        <w:numPr>
          <w:ilvl w:val="0"/>
          <w:numId w:val="1044"/>
        </w:numPr>
      </w:pPr>
      <w:r>
        <w:t xml:space="preserve">Allegations about named individuals.</w:t>
      </w:r>
    </w:p>
    <w:p>
      <w:pPr>
        <w:pStyle w:val="Compact"/>
        <w:numPr>
          <w:ilvl w:val="0"/>
          <w:numId w:val="1044"/>
        </w:numPr>
      </w:pPr>
      <w:r>
        <w:t xml:space="preserve">Information that could identify you or another person.</w:t>
      </w:r>
    </w:p>
    <w:p>
      <w:pPr>
        <w:pStyle w:val="FirstParagraph"/>
      </w:pPr>
      <w:r>
        <w:t xml:space="preserve">If identifying information is entered into a free-text comment, the research team may remove or redact it before analysis, feedback, or reporting.</w:t>
      </w:r>
    </w:p>
    <w:p>
      <w:pPr>
        <w:pStyle w:val="BodyText"/>
      </w:pPr>
      <w:r>
        <w:rPr>
          <w:b/>
          <w:bCs/>
        </w:rPr>
        <w:t xml:space="preserve">Is participation voluntary?</w:t>
      </w:r>
    </w:p>
    <w:p>
      <w:pPr>
        <w:pStyle w:val="BodyText"/>
      </w:pPr>
      <w:r>
        <w:t xml:space="preserve">Yes. Participation is completely voluntary.</w:t>
      </w:r>
    </w:p>
    <w:p>
      <w:pPr>
        <w:pStyle w:val="BodyText"/>
      </w:pPr>
      <w:r>
        <w:t xml:space="preserve">You may decline to participate without giving a reason. If you choose not to participate, there will be no penalty and no effect on your academic standing, supervision, assessment, employment, promotion, professional relationships, access to services, or future opportunities.</w:t>
      </w:r>
    </w:p>
    <w:p>
      <w:pPr>
        <w:pStyle w:val="BodyText"/>
      </w:pPr>
      <w:r>
        <w:t xml:space="preserve">This is particularly important for junior participants: your supervisor, department, institution, or university will not be informed of whether you accepted or declined the invitation, except where they already know through their own independent means.</w:t>
      </w:r>
    </w:p>
    <w:p>
      <w:pPr>
        <w:pStyle w:val="BodyText"/>
      </w:pPr>
      <w:r>
        <w:t xml:space="preserve">You may skip any optional question.</w:t>
      </w:r>
    </w:p>
    <w:p>
      <w:pPr>
        <w:pStyle w:val="BodyText"/>
      </w:pPr>
      <w:r>
        <w:rPr>
          <w:b/>
          <w:bCs/>
        </w:rPr>
        <w:t xml:space="preserve">Can I withdraw?</w:t>
      </w:r>
    </w:p>
    <w:p>
      <w:pPr>
        <w:pStyle w:val="BodyText"/>
      </w:pPr>
      <w:r>
        <w:t xml:space="preserve">You may stop the survey at any time before submitting it, without giving a reason.</w:t>
      </w:r>
    </w:p>
    <w:p>
      <w:pPr>
        <w:pStyle w:val="BodyText"/>
      </w:pPr>
      <w:r>
        <w:t xml:space="preserve">After submitting a survey, you may request withdrawal of your data by contacting the research team at</w:t>
      </w:r>
      <w:r>
        <w:t xml:space="preserve"> </w:t>
      </w:r>
      <w:hyperlink r:id="rId45">
        <w:r>
          <w:rPr>
            <w:rStyle w:val="Hyperlink"/>
          </w:rPr>
          <w:t xml:space="preserve">ecr@med.asu.edu.eg</w:t>
        </w:r>
      </w:hyperlink>
      <w:r>
        <w:t xml:space="preserve">. Your data can be removed only while it remains identifiable through the study linkage system and before the relevant dataset has been de-identified, locked, or incorporated into aggregate analysis.</w:t>
      </w:r>
    </w:p>
    <w:p>
      <w:pPr>
        <w:pStyle w:val="BodyText"/>
      </w:pPr>
      <w:r>
        <w:t xml:space="preserve">Once data have been de-identified and combined into aggregate analyses, it may no longer be possible to identify and remove your individual responses.</w:t>
      </w:r>
    </w:p>
    <w:p>
      <w:pPr>
        <w:pStyle w:val="BodyText"/>
      </w:pPr>
      <w:r>
        <w:rPr>
          <w:b/>
          <w:bCs/>
        </w:rPr>
        <w:t xml:space="preserve">What are the possible risks?</w:t>
      </w:r>
    </w:p>
    <w:p>
      <w:pPr>
        <w:pStyle w:val="BodyText"/>
      </w:pPr>
      <w:r>
        <w:t xml:space="preserve">This study is expected to involve no more than minimal risk.</w:t>
      </w:r>
    </w:p>
    <w:p>
      <w:pPr>
        <w:pStyle w:val="BodyText"/>
      </w:pPr>
      <w:r>
        <w:t xml:space="preserve">Possible risks include:</w:t>
      </w:r>
    </w:p>
    <w:p>
      <w:pPr>
        <w:pStyle w:val="Compact"/>
        <w:numPr>
          <w:ilvl w:val="0"/>
          <w:numId w:val="1045"/>
        </w:numPr>
      </w:pPr>
      <w:r>
        <w:t xml:space="preserve">Minimal discomfort when considering barriers related to supervision, institutional support, research governance, or research culture.</w:t>
      </w:r>
    </w:p>
    <w:p>
      <w:pPr>
        <w:pStyle w:val="Compact"/>
        <w:numPr>
          <w:ilvl w:val="0"/>
          <w:numId w:val="1045"/>
        </w:numPr>
      </w:pPr>
      <w:r>
        <w:t xml:space="preserve">Concern that professional or institutional views could be recognized.</w:t>
      </w:r>
    </w:p>
    <w:p>
      <w:pPr>
        <w:pStyle w:val="FirstParagraph"/>
      </w:pPr>
      <w:r>
        <w:t xml:space="preserve">To reduce these risks:</w:t>
      </w:r>
    </w:p>
    <w:p>
      <w:pPr>
        <w:pStyle w:val="Compact"/>
        <w:numPr>
          <w:ilvl w:val="0"/>
          <w:numId w:val="1046"/>
        </w:numPr>
      </w:pPr>
      <w:r>
        <w:t xml:space="preserve">Participation will occur through an electronic survey rather than a group discussion.</w:t>
      </w:r>
    </w:p>
    <w:p>
      <w:pPr>
        <w:pStyle w:val="Compact"/>
        <w:numPr>
          <w:ilvl w:val="0"/>
          <w:numId w:val="1046"/>
        </w:numPr>
      </w:pPr>
      <w:r>
        <w:t xml:space="preserve">Individual ratings will not be shown to other participants.</w:t>
      </w:r>
    </w:p>
    <w:p>
      <w:pPr>
        <w:pStyle w:val="Compact"/>
        <w:numPr>
          <w:ilvl w:val="0"/>
          <w:numId w:val="1046"/>
        </w:numPr>
      </w:pPr>
      <w:r>
        <w:t xml:space="preserve">Feedback between rounds will be presented only in aggregate form.</w:t>
      </w:r>
    </w:p>
    <w:p>
      <w:pPr>
        <w:pStyle w:val="Compact"/>
        <w:numPr>
          <w:ilvl w:val="0"/>
          <w:numId w:val="1046"/>
        </w:numPr>
      </w:pPr>
      <w:r>
        <w:t xml:space="preserve">Identifying contact information will be stored separately from survey responses.</w:t>
      </w:r>
    </w:p>
    <w:p>
      <w:pPr>
        <w:pStyle w:val="Compact"/>
        <w:numPr>
          <w:ilvl w:val="0"/>
          <w:numId w:val="1046"/>
        </w:numPr>
      </w:pPr>
      <w:r>
        <w:t xml:space="preserve">The analysis dataset will use a study identifier rather than your name or email address.</w:t>
      </w:r>
    </w:p>
    <w:p>
      <w:pPr>
        <w:pStyle w:val="Compact"/>
        <w:numPr>
          <w:ilvl w:val="0"/>
          <w:numId w:val="1046"/>
        </w:numPr>
      </w:pPr>
      <w:r>
        <w:t xml:space="preserve">Reports will present aggregated findings and will avoid reporting small cells or details that could identify an individual or institution.</w:t>
      </w:r>
    </w:p>
    <w:p>
      <w:pPr>
        <w:pStyle w:val="Compact"/>
        <w:numPr>
          <w:ilvl w:val="0"/>
          <w:numId w:val="1046"/>
        </w:numPr>
      </w:pPr>
      <w:r>
        <w:t xml:space="preserve">Free-text comments will be screened for identifying information before they are used in group feedback or dissemination.</w:t>
      </w:r>
    </w:p>
    <w:p>
      <w:pPr>
        <w:pStyle w:val="FirstParagraph"/>
      </w:pPr>
      <w:r>
        <w:t xml:space="preserve">Your responses are confidential, but they are not completely anonymous to the limited research staff responsible for consent administration, round linkage, and secure data management.</w:t>
      </w:r>
    </w:p>
    <w:p>
      <w:pPr>
        <w:pStyle w:val="BodyText"/>
      </w:pPr>
      <w:r>
        <w:rPr>
          <w:b/>
          <w:bCs/>
        </w:rPr>
        <w:t xml:space="preserve">Are there benefits to taking part?</w:t>
      </w:r>
    </w:p>
    <w:p>
      <w:pPr>
        <w:pStyle w:val="BodyText"/>
      </w:pPr>
      <w:r>
        <w:t xml:space="preserve">You may not receive a direct personal benefit from participation.</w:t>
      </w:r>
    </w:p>
    <w:p>
      <w:pPr>
        <w:pStyle w:val="BodyText"/>
      </w:pPr>
      <w:r>
        <w:t xml:space="preserve">Your contribution may help identify priorities for improving research education, supervision, methodological support, infrastructure, governance, funding, incentives, and collaboration for early-career medical researchers in Egypt.</w:t>
      </w:r>
    </w:p>
    <w:p>
      <w:pPr>
        <w:pStyle w:val="BodyText"/>
      </w:pPr>
      <w:r>
        <w:rPr>
          <w:b/>
          <w:bCs/>
        </w:rPr>
        <w:t xml:space="preserve">Will I be paid or reimbursed?</w:t>
      </w:r>
    </w:p>
    <w:p>
      <w:pPr>
        <w:pStyle w:val="BodyText"/>
      </w:pPr>
      <w:r>
        <w:t xml:space="preserve">You will not receive payment. Participants who complete both rounds may receive a certificate of participation, if requested. The certificate will not include your ratings or comments.</w:t>
      </w:r>
    </w:p>
    <w:p>
      <w:pPr>
        <w:pStyle w:val="BodyText"/>
      </w:pPr>
      <w:r>
        <w:rPr>
          <w:b/>
          <w:bCs/>
        </w:rPr>
        <w:t xml:space="preserve">How will my information be kept confidential?</w:t>
      </w:r>
    </w:p>
    <w:p>
      <w:pPr>
        <w:pStyle w:val="BodyText"/>
      </w:pPr>
      <w:r>
        <w:t xml:space="preserve">The study will collect limited contact information, such as your name and email address, only to send invitations, reminders, and the Round-2 link. Your contact information will be stored separately from survey responses. A secure linkage file will connect your contact details with a unique study identifier so that the research team can invite Round-1 participants to Round 2 and process a withdrawal request before de-identification.</w:t>
      </w:r>
    </w:p>
    <w:p>
      <w:pPr>
        <w:pStyle w:val="BodyText"/>
      </w:pPr>
      <w:r>
        <w:t xml:space="preserve">Only the study coordinators will have access to the contact and linkage file.</w:t>
      </w:r>
    </w:p>
    <w:p>
      <w:pPr>
        <w:pStyle w:val="BodyText"/>
      </w:pPr>
      <w:r>
        <w:t xml:space="preserve">Advisory board members, supervisors, institutional leaders, and other participants will not have access to identifiable individual responses. Individual ratings and comments will not be shared with other participants, supervisors, institutional leaders, or advisory board members in identifiable form.</w:t>
      </w:r>
    </w:p>
    <w:p>
      <w:pPr>
        <w:pStyle w:val="BodyText"/>
      </w:pPr>
      <w:r>
        <w:t xml:space="preserve">Survey data will use Microsoft Forms and be stored on Microsoft Sharepoint site of the study. This is a secure, password-protected, access-controlled institutional storage. Data will be encrypted in transit and, where supported by the platform and institutional systems, at rest.</w:t>
      </w:r>
    </w:p>
    <w:p>
      <w:pPr>
        <w:pStyle w:val="BodyText"/>
      </w:pPr>
      <w:r>
        <w:t xml:space="preserve">The study team will not intentionally collect patient information, sensitive health information, or names of colleagues or institutions in open-text comments.</w:t>
      </w:r>
    </w:p>
    <w:p>
      <w:pPr>
        <w:pStyle w:val="BodyText"/>
      </w:pPr>
      <w:r>
        <w:t xml:space="preserve">There will be no face-to-face group discussion, and you will not interact with other participants. Your individual responses will not be shared with other participants.</w:t>
      </w:r>
    </w:p>
    <w:p>
      <w:pPr>
        <w:pStyle w:val="BodyText"/>
      </w:pPr>
      <w:r>
        <w:rPr>
          <w:b/>
          <w:bCs/>
        </w:rPr>
        <w:t xml:space="preserve">How long will data be kept?</w:t>
      </w:r>
    </w:p>
    <w:p>
      <w:pPr>
        <w:pStyle w:val="BodyText"/>
      </w:pPr>
      <w:r>
        <w:t xml:space="preserve">Identifiable contact and linkage data will be retained until they are no longer required for Round-2 invitation, withdrawal management, and data verification, after which they will be securely destroyed.</w:t>
      </w:r>
    </w:p>
    <w:p>
      <w:pPr>
        <w:pStyle w:val="BodyText"/>
      </w:pPr>
      <w:r>
        <w:t xml:space="preserve">De-identified research data, consent records, study documents, and the audit trail will be retained for the period required by MTI institutional policy and ethical requirements.</w:t>
      </w:r>
    </w:p>
    <w:p>
      <w:pPr>
        <w:pStyle w:val="BodyText"/>
      </w:pPr>
      <w:r>
        <w:rPr>
          <w:b/>
          <w:bCs/>
        </w:rPr>
        <w:t xml:space="preserve">Will my information be shared?</w:t>
      </w:r>
    </w:p>
    <w:p>
      <w:pPr>
        <w:pStyle w:val="BodyText"/>
      </w:pPr>
      <w:r>
        <w:t xml:space="preserve">The study may result in publications, conference presentations, and policy briefs.</w:t>
      </w:r>
    </w:p>
    <w:p>
      <w:pPr>
        <w:pStyle w:val="BodyText"/>
      </w:pPr>
      <w:r>
        <w:t xml:space="preserve">Results will be reported in aggregate form. No individual participant, named supervisor, department, institution, or organization will be identified without explicit separate permission.</w:t>
      </w:r>
    </w:p>
    <w:p>
      <w:pPr>
        <w:pStyle w:val="BodyText"/>
      </w:pPr>
      <w:r>
        <w:t xml:space="preserve">Subject to ethics approval, participant consent, institutional policy, and safeguards against deductive identification, the study team may share:</w:t>
      </w:r>
    </w:p>
    <w:p>
      <w:pPr>
        <w:pStyle w:val="Compact"/>
        <w:numPr>
          <w:ilvl w:val="0"/>
          <w:numId w:val="1047"/>
        </w:numPr>
      </w:pPr>
      <w:r>
        <w:t xml:space="preserve">Aggregated study findings.</w:t>
      </w:r>
    </w:p>
    <w:p>
      <w:pPr>
        <w:pStyle w:val="Compact"/>
        <w:numPr>
          <w:ilvl w:val="0"/>
          <w:numId w:val="1047"/>
        </w:numPr>
      </w:pPr>
      <w:r>
        <w:t xml:space="preserve">The final questionnaire.</w:t>
      </w:r>
    </w:p>
    <w:p>
      <w:pPr>
        <w:pStyle w:val="Compact"/>
        <w:numPr>
          <w:ilvl w:val="0"/>
          <w:numId w:val="1047"/>
        </w:numPr>
      </w:pPr>
      <w:r>
        <w:t xml:space="preserve">Item-development documentation.</w:t>
      </w:r>
    </w:p>
    <w:p>
      <w:pPr>
        <w:pStyle w:val="Compact"/>
        <w:numPr>
          <w:ilvl w:val="0"/>
          <w:numId w:val="1047"/>
        </w:numPr>
      </w:pPr>
      <w:r>
        <w:t xml:space="preserve">De-identified numerical data.</w:t>
      </w:r>
    </w:p>
    <w:p>
      <w:pPr>
        <w:pStyle w:val="Compact"/>
        <w:numPr>
          <w:ilvl w:val="0"/>
          <w:numId w:val="1047"/>
        </w:numPr>
      </w:pPr>
      <w:r>
        <w:t xml:space="preserve">Analytic code.</w:t>
      </w:r>
    </w:p>
    <w:p>
      <w:pPr>
        <w:pStyle w:val="FirstParagraph"/>
      </w:pPr>
      <w:r>
        <w:t xml:space="preserve">The following will</w:t>
      </w:r>
      <w:r>
        <w:t xml:space="preserve"> </w:t>
      </w:r>
      <w:r>
        <w:rPr>
          <w:b/>
          <w:bCs/>
        </w:rPr>
        <w:t xml:space="preserve">not</w:t>
      </w:r>
      <w:r>
        <w:t xml:space="preserve"> </w:t>
      </w:r>
      <w:r>
        <w:t xml:space="preserve">be publicly shared:</w:t>
      </w:r>
    </w:p>
    <w:p>
      <w:pPr>
        <w:pStyle w:val="Compact"/>
        <w:numPr>
          <w:ilvl w:val="0"/>
          <w:numId w:val="1048"/>
        </w:numPr>
      </w:pPr>
      <w:r>
        <w:t xml:space="preserve">Names, email addresses, and contact information.</w:t>
      </w:r>
    </w:p>
    <w:p>
      <w:pPr>
        <w:pStyle w:val="Compact"/>
        <w:numPr>
          <w:ilvl w:val="0"/>
          <w:numId w:val="1048"/>
        </w:numPr>
      </w:pPr>
      <w:r>
        <w:t xml:space="preserve">Consent records.</w:t>
      </w:r>
    </w:p>
    <w:p>
      <w:pPr>
        <w:pStyle w:val="Compact"/>
        <w:numPr>
          <w:ilvl w:val="0"/>
          <w:numId w:val="1048"/>
        </w:numPr>
      </w:pPr>
      <w:r>
        <w:t xml:space="preserve">The linkage file.</w:t>
      </w:r>
    </w:p>
    <w:p>
      <w:pPr>
        <w:pStyle w:val="Compact"/>
        <w:numPr>
          <w:ilvl w:val="0"/>
          <w:numId w:val="1048"/>
        </w:numPr>
      </w:pPr>
      <w:r>
        <w:t xml:space="preserve">Raw identifiable comments.</w:t>
      </w:r>
    </w:p>
    <w:p>
      <w:pPr>
        <w:pStyle w:val="Compact"/>
        <w:numPr>
          <w:ilvl w:val="0"/>
          <w:numId w:val="1048"/>
        </w:numPr>
      </w:pPr>
      <w:r>
        <w:t xml:space="preserve">Information that could reasonably identify an individual, institution, department, or organization.</w:t>
      </w:r>
    </w:p>
    <w:p>
      <w:pPr>
        <w:pStyle w:val="FirstParagraph"/>
      </w:pPr>
      <w:r>
        <w:rPr>
          <w:b/>
          <w:bCs/>
        </w:rPr>
        <w:t xml:space="preserve">Who has reviewed this study?</w:t>
      </w:r>
    </w:p>
    <w:p>
      <w:pPr>
        <w:pStyle w:val="BodyText"/>
      </w:pPr>
      <w:r>
        <w:t xml:space="preserve">This study will be reviewed by</w:t>
      </w:r>
      <w:r>
        <w:t xml:space="preserve"> </w:t>
      </w:r>
      <w:r>
        <w:rPr>
          <w:b/>
          <w:bCs/>
        </w:rPr>
        <w:t xml:space="preserve">Institutional Review Board, Faculty of Medicine, MTI University</w:t>
      </w:r>
    </w:p>
    <w:p>
      <w:pPr>
        <w:pStyle w:val="BodyText"/>
      </w:pPr>
      <w:r>
        <w:rPr>
          <w:b/>
          <w:bCs/>
        </w:rPr>
        <w:t xml:space="preserve">Who can I contact?</w:t>
      </w:r>
    </w:p>
    <w:p>
      <w:pPr>
        <w:pStyle w:val="BodyText"/>
      </w:pPr>
      <w:r>
        <w:t xml:space="preserve">For questions about the study, participation, withdrawal, or data handling, please contact the study team at</w:t>
      </w:r>
      <w:r>
        <w:t xml:space="preserve"> </w:t>
      </w:r>
      <w:hyperlink r:id="rId45">
        <w:r>
          <w:rPr>
            <w:rStyle w:val="Hyperlink"/>
          </w:rPr>
          <w:t xml:space="preserve">ecr@med.asu.edu.eg</w:t>
        </w:r>
      </w:hyperlink>
      <w:r>
        <w:t xml:space="preserve">.</w:t>
      </w:r>
    </w:p>
    <w:p>
      <w:pPr>
        <w:pStyle w:val="BodyText"/>
      </w:pPr>
      <w:r>
        <w:t xml:space="preserve">For questions about your rights as a research participant, or to make a complaint that you prefer not to discuss with the research team:</w:t>
      </w:r>
      <w:r>
        <w:t xml:space="preserve"> </w:t>
      </w:r>
      <w:r>
        <w:rPr>
          <w:b/>
          <w:bCs/>
        </w:rPr>
        <w:t xml:space="preserve">MTI University Institutional Review Board</w:t>
      </w:r>
      <w:r>
        <w:t xml:space="preserve"> </w:t>
      </w:r>
      <w:r>
        <w:t xml:space="preserve">at irb@mti.edu.eg</w:t>
      </w:r>
    </w:p>
    <w:bookmarkEnd w:id="46"/>
    <w:bookmarkStart w:id="47" w:name="sec-consent"/>
    <w:p>
      <w:pPr>
        <w:pStyle w:val="Heading2"/>
      </w:pPr>
      <w:r>
        <w:t xml:space="preserve">18.6 Appendix 6. Electronic Consent Form</w:t>
      </w:r>
    </w:p>
    <w:p>
      <w:pPr>
        <w:pStyle w:val="FirstParagraph"/>
      </w:pPr>
      <w:r>
        <w:rPr>
          <w:b/>
          <w:bCs/>
        </w:rPr>
        <w:t xml:space="preserve">Study title</w:t>
      </w:r>
    </w:p>
    <w:p>
      <w:pPr>
        <w:pStyle w:val="BodyText"/>
      </w:pPr>
      <w:r>
        <w:rPr>
          <w:b/>
          <w:bCs/>
        </w:rPr>
        <w:t xml:space="preserve">Barriers to Valid Medical Research Among Early-Career Researchers in Egypt: A Modified Delphi Study</w:t>
      </w:r>
    </w:p>
    <w:p>
      <w:pPr>
        <w:pStyle w:val="BodyText"/>
      </w:pPr>
      <w:r>
        <w:t xml:space="preserve">By selecting “Yes” for each statement and submitting this form, you confirm that you have read and understood the study information and voluntarily agree to participate.</w:t>
      </w:r>
    </w:p>
    <w:p>
      <w:pPr>
        <w:pStyle w:val="BodyText"/>
      </w:pPr>
      <w:r>
        <w:rPr>
          <w:b/>
          <w:bCs/>
        </w:rPr>
        <w:t xml:space="preserve">Eligibility confirmation</w:t>
      </w:r>
    </w:p>
    <w:p>
      <w:pPr>
        <w:pStyle w:val="BodyText"/>
      </w:pPr>
      <w:r>
        <w:t xml:space="preserve">Please confirm that all of the following statements are true:</w:t>
      </w:r>
    </w:p>
    <w:p>
      <w:pPr>
        <w:pStyle w:val="Compact"/>
        <w:numPr>
          <w:ilvl w:val="0"/>
          <w:numId w:val="1049"/>
        </w:numPr>
      </w:pPr>
      <w:r>
        <w:t xml:space="preserve">I am aged 18 years or older.</w:t>
      </w:r>
    </w:p>
    <w:p>
      <w:pPr>
        <w:pStyle w:val="Compact"/>
        <w:numPr>
          <w:ilvl w:val="0"/>
          <w:numId w:val="1049"/>
        </w:numPr>
      </w:pPr>
      <w:r>
        <w:t xml:space="preserve">I have sufficient familiarity with the Egyptian medical research environment to provide informed judgments.</w:t>
      </w:r>
    </w:p>
    <w:p>
      <w:pPr>
        <w:pStyle w:val="Compact"/>
        <w:numPr>
          <w:ilvl w:val="0"/>
          <w:numId w:val="1049"/>
        </w:numPr>
      </w:pPr>
      <w:r>
        <w:t xml:space="preserve">I am an early career researcher, a research supervisor, a biostatistician, a research methodologist, a member of an ethics committee, or a member of research-governance structures.</w:t>
      </w:r>
    </w:p>
    <w:p>
      <w:pPr>
        <w:pStyle w:val="Compact"/>
        <w:numPr>
          <w:ilvl w:val="0"/>
          <w:numId w:val="1049"/>
        </w:numPr>
      </w:pPr>
      <w:r>
        <w:t xml:space="preserve">I can complete the questionnaire in the language provided.</w:t>
      </w:r>
    </w:p>
    <w:p>
      <w:pPr>
        <w:pStyle w:val="FirstParagraph"/>
      </w:pPr>
      <w:r>
        <w:t xml:space="preserve">☐ I confirm that all of the above statements are true and that I am eligible to participate.</w:t>
      </w:r>
    </w:p>
    <w:p>
      <w:pPr>
        <w:pStyle w:val="BodyText"/>
      </w:pPr>
      <w:r>
        <w:t xml:space="preserve">If this box is not selected, the survey will end and you will not be able to continue.</w:t>
      </w:r>
    </w:p>
    <w:p>
      <w:pPr>
        <w:pStyle w:val="BodyText"/>
      </w:pPr>
      <w:r>
        <w:rPr>
          <w:b/>
          <w:bCs/>
        </w:rPr>
        <w:t xml:space="preserve">Consent statements</w:t>
      </w:r>
    </w:p>
    <w:p>
      <w:pPr>
        <w:pStyle w:val="BodyText"/>
      </w:pPr>
      <w:r>
        <w:t xml:space="preserve">I understand that</w:t>
      </w:r>
    </w:p>
    <w:p>
      <w:pPr>
        <w:pStyle w:val="Compact"/>
        <w:numPr>
          <w:ilvl w:val="0"/>
          <w:numId w:val="1050"/>
        </w:numPr>
      </w:pPr>
      <w:r>
        <w:t xml:space="preserve">My participation is voluntary.</w:t>
      </w:r>
    </w:p>
    <w:p>
      <w:pPr>
        <w:pStyle w:val="Compact"/>
        <w:numPr>
          <w:ilvl w:val="0"/>
          <w:numId w:val="1050"/>
        </w:numPr>
      </w:pPr>
      <w:r>
        <w:t xml:space="preserve">I may stop the survey at any time before submission without penalty.</w:t>
      </w:r>
    </w:p>
    <w:p>
      <w:pPr>
        <w:pStyle w:val="Compact"/>
        <w:numPr>
          <w:ilvl w:val="0"/>
          <w:numId w:val="1050"/>
        </w:numPr>
      </w:pPr>
      <w:r>
        <w:t xml:space="preserve">I may request withdrawal of submitted identifiable data within one week of submission.</w:t>
      </w:r>
    </w:p>
    <w:p>
      <w:pPr>
        <w:pStyle w:val="Compact"/>
        <w:numPr>
          <w:ilvl w:val="0"/>
          <w:numId w:val="1050"/>
        </w:numPr>
      </w:pPr>
      <w:r>
        <w:t xml:space="preserve">The study involves a Round-1 Delphi questionnaire and, if eligible and willing, a possible invitation to Round 2.</w:t>
      </w:r>
    </w:p>
    <w:p>
      <w:pPr>
        <w:pStyle w:val="Compact"/>
        <w:numPr>
          <w:ilvl w:val="0"/>
          <w:numId w:val="1050"/>
        </w:numPr>
      </w:pPr>
      <w:r>
        <w:t xml:space="preserve">Round 2 will include anonymized group feedback and a second round of ratings.</w:t>
      </w:r>
    </w:p>
    <w:p>
      <w:pPr>
        <w:pStyle w:val="Compact"/>
        <w:numPr>
          <w:ilvl w:val="0"/>
          <w:numId w:val="1050"/>
        </w:numPr>
      </w:pPr>
      <w:r>
        <w:t xml:space="preserve">My survey responses will be treated confidentially and reported in aggregate form.</w:t>
      </w:r>
    </w:p>
    <w:p>
      <w:pPr>
        <w:pStyle w:val="Compact"/>
        <w:numPr>
          <w:ilvl w:val="0"/>
          <w:numId w:val="1050"/>
        </w:numPr>
      </w:pPr>
      <w:r>
        <w:t xml:space="preserve">My individual responses will not be shared in identifiable form with other participants, supervisors, institutional leaders, or advisory board members.</w:t>
      </w:r>
    </w:p>
    <w:p>
      <w:pPr>
        <w:pStyle w:val="Compact"/>
        <w:numPr>
          <w:ilvl w:val="0"/>
          <w:numId w:val="1050"/>
        </w:numPr>
      </w:pPr>
      <w:r>
        <w:t xml:space="preserve">The research team will retain my contact details separately from survey responses to facilitate study administration and possible Round-2 participation.</w:t>
      </w:r>
    </w:p>
    <w:p>
      <w:pPr>
        <w:pStyle w:val="FirstParagraph"/>
      </w:pPr>
      <w:r>
        <w:t xml:space="preserve">By selecting “I agree” below, I confirm that I voluntarily consent to participate in this study.</w:t>
      </w:r>
    </w:p>
    <w:p>
      <w:pPr>
        <w:pStyle w:val="Compact"/>
        <w:numPr>
          <w:ilvl w:val="0"/>
          <w:numId w:val="1051"/>
        </w:numPr>
      </w:pPr>
      <w:r>
        <w:t xml:space="preserve">I agree and wish to continue to the Round-1 questionnaire.</w:t>
      </w:r>
    </w:p>
    <w:p>
      <w:pPr>
        <w:pStyle w:val="Compact"/>
        <w:numPr>
          <w:ilvl w:val="0"/>
          <w:numId w:val="1051"/>
        </w:numPr>
      </w:pPr>
      <w:r>
        <w:t xml:space="preserve">I do not agree and do not wish to participate.</w:t>
      </w:r>
    </w:p>
    <w:p>
      <w:pPr>
        <w:pStyle w:val="FirstParagraph"/>
      </w:pPr>
      <w:r>
        <w:rPr>
          <w:b/>
          <w:bCs/>
        </w:rPr>
        <w:t xml:space="preserve">Electronic record</w:t>
      </w:r>
    </w:p>
    <w:p>
      <w:pPr>
        <w:pStyle w:val="BodyText"/>
      </w:pPr>
      <w:r>
        <w:t xml:space="preserve">At the end of consent, display:</w:t>
      </w:r>
    </w:p>
    <w:p>
      <w:pPr>
        <w:pStyle w:val="BlockText"/>
      </w:pPr>
      <w:r>
        <w:t xml:space="preserve">You may download or print a copy of this consent form and the Participant Information Sheet for your records. For questions or withdrawal requests, contact the study team at</w:t>
      </w:r>
      <w:r>
        <w:t xml:space="preserve"> </w:t>
      </w:r>
      <w:hyperlink r:id="rId45">
        <w:r>
          <w:rPr>
            <w:rStyle w:val="Hyperlink"/>
          </w:rPr>
          <w:t xml:space="preserve">ecr@med.asu.edu.eg</w:t>
        </w:r>
      </w:hyperlink>
      <w:r>
        <w:t xml:space="preserve">.</w:t>
      </w:r>
    </w:p>
    <w:bookmarkEnd w:id="47"/>
    <w:bookmarkEnd w:id="48"/>
    <w:bookmarkStart w:id="70" w:name="references"/>
    <w:p>
      <w:pPr>
        <w:pStyle w:val="Heading1"/>
      </w:pPr>
      <w:r>
        <w:t xml:space="preserve">19. References</w:t>
      </w:r>
    </w:p>
    <w:bookmarkStart w:id="69" w:name="refs"/>
    <w:bookmarkStart w:id="50" w:name="ref-chalmers2009"/>
    <w:p>
      <w:pPr>
        <w:pStyle w:val="Bibliography"/>
      </w:pPr>
      <w:r>
        <w:t xml:space="preserve">1. Chalmers I, Glasziou P.</w:t>
      </w:r>
      <w:r>
        <w:t xml:space="preserve"> </w:t>
      </w:r>
      <w:hyperlink r:id="rId49">
        <w:r>
          <w:rPr>
            <w:rStyle w:val="Hyperlink"/>
          </w:rPr>
          <w:t xml:space="preserve">Avoidable waste in the production and reporting of research evidence</w:t>
        </w:r>
      </w:hyperlink>
      <w:r>
        <w:t xml:space="preserve">. The Lancet. 2009;374:86–9.</w:t>
      </w:r>
    </w:p>
    <w:bookmarkEnd w:id="50"/>
    <w:bookmarkStart w:id="52" w:name="ref-glaziou2018"/>
    <w:p>
      <w:pPr>
        <w:pStyle w:val="Bibliography"/>
      </w:pPr>
      <w:r>
        <w:t xml:space="preserve">2. Glasziou P, Chalmers I.</w:t>
      </w:r>
      <w:r>
        <w:t xml:space="preserve"> </w:t>
      </w:r>
      <w:hyperlink r:id="rId51">
        <w:r>
          <w:rPr>
            <w:rStyle w:val="Hyperlink"/>
          </w:rPr>
          <w:t xml:space="preserve">Research waste is still a scandal–an essay by paul glasziou and iain chalmers</w:t>
        </w:r>
      </w:hyperlink>
      <w:r>
        <w:t xml:space="preserve">. BMJ. 2018;363:k4645.</w:t>
      </w:r>
    </w:p>
    <w:bookmarkEnd w:id="52"/>
    <w:bookmarkStart w:id="54" w:name="ref-moher2016"/>
    <w:p>
      <w:pPr>
        <w:pStyle w:val="Bibliography"/>
      </w:pPr>
      <w:r>
        <w:t xml:space="preserve">3. Moher D, Glasziou P, Chalmers I, Nasser M, Bossuyt PMM, Korevaar DA, et al.</w:t>
      </w:r>
      <w:r>
        <w:t xml:space="preserve"> </w:t>
      </w:r>
      <w:hyperlink r:id="rId53">
        <w:r>
          <w:rPr>
            <w:rStyle w:val="Hyperlink"/>
          </w:rPr>
          <w:t xml:space="preserve">Increasing value and reducing waste in biomedical research: Who’s listening?</w:t>
        </w:r>
      </w:hyperlink>
      <w:r>
        <w:t xml:space="preserve"> The Lancet. 2016;387:1573–86.</w:t>
      </w:r>
    </w:p>
    <w:bookmarkEnd w:id="54"/>
    <w:bookmarkStart w:id="56" w:name="ref-chalmers2014"/>
    <w:p>
      <w:pPr>
        <w:pStyle w:val="Bibliography"/>
      </w:pPr>
      <w:r>
        <w:t xml:space="preserve">4. Chalmers I, Bracken MB, Djulbegovic B, Garattini S, Grant J, Gülmezoglu AM, et al. How to increase value and reduce waste when research priorities are set. The Lancet [Internet]. 2014;383:156–65. Available from:</w:t>
      </w:r>
      <w:r>
        <w:t xml:space="preserve"> </w:t>
      </w:r>
      <w:hyperlink r:id="rId55">
        <w:r>
          <w:rPr>
            <w:rStyle w:val="Hyperlink"/>
          </w:rPr>
          <w:t xml:space="preserve">http://dx.doi.org/10.1016/S0140-6736(13)62229-1</w:t>
        </w:r>
      </w:hyperlink>
    </w:p>
    <w:bookmarkEnd w:id="56"/>
    <w:bookmarkStart w:id="58" w:name="ref-ioannidis2014"/>
    <w:p>
      <w:pPr>
        <w:pStyle w:val="Bibliography"/>
      </w:pPr>
      <w:r>
        <w:t xml:space="preserve">5. Ioannidis JPA, Greenland S, Hlatky MA, Khoury MJ, Macleod MR, Moher D, et al. Increasing value and reducing waste in research design, conduct, and analysis. The Lancet [Internet]. 2014;383:166–75. Available from:</w:t>
      </w:r>
      <w:r>
        <w:t xml:space="preserve"> </w:t>
      </w:r>
      <w:hyperlink r:id="rId57">
        <w:r>
          <w:rPr>
            <w:rStyle w:val="Hyperlink"/>
          </w:rPr>
          <w:t xml:space="preserve">http://dx.doi.org/10.1016/S0140-6736(13)62227-8</w:t>
        </w:r>
      </w:hyperlink>
    </w:p>
    <w:bookmarkEnd w:id="58"/>
    <w:bookmarkStart w:id="60" w:name="ref-salman2014"/>
    <w:p>
      <w:pPr>
        <w:pStyle w:val="Bibliography"/>
      </w:pPr>
      <w:r>
        <w:t xml:space="preserve">6. Salman RA-S, Beller E, Kagan J, Hemminki E, Phillips RS, Savulescu J, et al. Increasing value and reducing waste in biomedical research regulation and management. The Lancet [Internet]. 2014;383:176–85. Available from:</w:t>
      </w:r>
      <w:r>
        <w:t xml:space="preserve"> </w:t>
      </w:r>
      <w:hyperlink r:id="rId59">
        <w:r>
          <w:rPr>
            <w:rStyle w:val="Hyperlink"/>
          </w:rPr>
          <w:t xml:space="preserve">http://dx.doi.org/10.1016/S0140-6736(13)62297-7</w:t>
        </w:r>
      </w:hyperlink>
    </w:p>
    <w:bookmarkEnd w:id="60"/>
    <w:bookmarkStart w:id="62" w:name="ref-jorm2025"/>
    <w:p>
      <w:pPr>
        <w:pStyle w:val="Bibliography"/>
      </w:pPr>
      <w:r>
        <w:t xml:space="preserve">7. Jorm A. Using the delphi method to establish expert consensus [Internet]. Springer Nature Singapore; 2025. Available from:</w:t>
      </w:r>
      <w:r>
        <w:t xml:space="preserve"> </w:t>
      </w:r>
      <w:hyperlink r:id="rId61">
        <w:r>
          <w:rPr>
            <w:rStyle w:val="Hyperlink"/>
          </w:rPr>
          <w:t xml:space="preserve">http://dx.doi.org/10.1007/978-981-96-8357-4</w:t>
        </w:r>
      </w:hyperlink>
    </w:p>
    <w:bookmarkEnd w:id="62"/>
    <w:bookmarkStart w:id="64" w:name="ref-RCoreTeam2026"/>
    <w:p>
      <w:pPr>
        <w:pStyle w:val="Bibliography"/>
      </w:pPr>
      <w:r>
        <w:t xml:space="preserve">8. R Core Team. R: A language and environment for statistical computing [Internet]. Vienna, Austria: R Foundation for Statistical Computing; 2026. Available from:</w:t>
      </w:r>
      <w:r>
        <w:t xml:space="preserve"> </w:t>
      </w:r>
      <w:hyperlink r:id="rId63">
        <w:r>
          <w:rPr>
            <w:rStyle w:val="Hyperlink"/>
          </w:rPr>
          <w:t xml:space="preserve">https://www.R-project.org/</w:t>
        </w:r>
      </w:hyperlink>
    </w:p>
    <w:bookmarkEnd w:id="64"/>
    <w:bookmarkStart w:id="66" w:name="ref-RStudio2026"/>
    <w:p>
      <w:pPr>
        <w:pStyle w:val="Bibliography"/>
      </w:pPr>
      <w:r>
        <w:t xml:space="preserve">9. Posit Software, PBC. RStudio: Integrated development environment for r [Internet]. Boston, MA: Posit Software, PBC; 2026. Available from:</w:t>
      </w:r>
      <w:r>
        <w:t xml:space="preserve"> </w:t>
      </w:r>
      <w:hyperlink r:id="rId65">
        <w:r>
          <w:rPr>
            <w:rStyle w:val="Hyperlink"/>
          </w:rPr>
          <w:t xml:space="preserve">https://posit.co/products/open-source/rstudio/</w:t>
        </w:r>
      </w:hyperlink>
    </w:p>
    <w:bookmarkEnd w:id="66"/>
    <w:bookmarkStart w:id="68" w:name="ref-gattrell2024"/>
    <w:p>
      <w:pPr>
        <w:pStyle w:val="Bibliography"/>
      </w:pPr>
      <w:r>
        <w:t xml:space="preserve">10. Gattrell WT, Logullo P, Zuuren EJ van, Price A, Hughes EL, Blazey P, et al.</w:t>
      </w:r>
      <w:r>
        <w:t xml:space="preserve"> </w:t>
      </w:r>
      <w:hyperlink r:id="rId67">
        <w:r>
          <w:rPr>
            <w:rStyle w:val="Hyperlink"/>
          </w:rPr>
          <w:t xml:space="preserve">ACCORD (ACcurate COnsensus reporting document): A reporting guideline for consensus methods in biomedicine developed via a modified delphi</w:t>
        </w:r>
      </w:hyperlink>
      <w:r>
        <w:t xml:space="preserve">. PLOS Medicine. 2024;21:e1004326.</w:t>
      </w:r>
    </w:p>
    <w:bookmarkEnd w:id="68"/>
    <w:bookmarkEnd w:id="69"/>
    <w:bookmarkEnd w:id="70"/>
    <w:sectPr w:rsidR="00717495" w:rsidRPr="00717495" w:rsidSect="00E43D64">
      <w:headerReference r:id="rId6" w:type="even"/>
      <w:headerReference r:id="rId7" w:type="default"/>
      <w:footerReference r:id="rId8" w:type="even"/>
      <w:footerReference r:id="rId9" w:type="default"/>
      <w:headerReference r:id="rId10" w:type="first"/>
      <w:footerReference r:id="rId11" w:type="first"/>
      <w:pgSz w:h="16840" w:w="11900"/>
      <w:pgMar w:bottom="1440" w:footer="432" w:gutter="0" w:header="432" w:left="1080" w:right="108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DDCF41" w14:textId="77777777" w:rsidR="0081364B" w:rsidRDefault="008136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8DCE3D" w14:textId="77777777" w:rsidR="00E43D64" w:rsidRPr="00E43D64" w:rsidRDefault="00E43D64">
    <w:pPr>
      <w:pStyle w:val="Footer"/>
      <w:jc w:val="center"/>
      <w:rPr>
        <w:color w:val="000000" w:themeColor="text1"/>
      </w:rPr>
    </w:pPr>
    <w:r w:rsidRPr="00E43D64">
      <w:rPr>
        <w:color w:val="000000" w:themeColor="text1"/>
      </w:rPr>
      <w:t xml:space="preserve">Page </w:t>
    </w:r>
    <w:r w:rsidRPr="00E43D64">
      <w:rPr>
        <w:color w:val="000000" w:themeColor="text1"/>
      </w:rPr>
      <w:fldChar w:fldCharType="begin"/>
    </w:r>
    <w:r w:rsidRPr="00E43D64">
      <w:rPr>
        <w:color w:val="000000" w:themeColor="text1"/>
      </w:rPr>
      <w:instrText xml:space="preserve"> PAGE  \* Arabic  \* MERGEFORMAT </w:instrText>
    </w:r>
    <w:r w:rsidRPr="00E43D64">
      <w:rPr>
        <w:color w:val="000000" w:themeColor="text1"/>
      </w:rPr>
      <w:fldChar w:fldCharType="separate"/>
    </w:r>
    <w:r w:rsidRPr="00E43D64">
      <w:rPr>
        <w:noProof/>
        <w:color w:val="000000" w:themeColor="text1"/>
      </w:rPr>
      <w:t>2</w:t>
    </w:r>
    <w:r w:rsidRPr="00E43D64">
      <w:rPr>
        <w:color w:val="000000" w:themeColor="text1"/>
      </w:rPr>
      <w:fldChar w:fldCharType="end"/>
    </w:r>
    <w:r w:rsidRPr="00E43D64">
      <w:rPr>
        <w:color w:val="000000" w:themeColor="text1"/>
      </w:rPr>
      <w:t xml:space="preserve"> of </w:t>
    </w:r>
    <w:r w:rsidRPr="00E43D64">
      <w:rPr>
        <w:color w:val="000000" w:themeColor="text1"/>
      </w:rPr>
      <w:fldChar w:fldCharType="begin"/>
    </w:r>
    <w:r w:rsidRPr="00E43D64">
      <w:rPr>
        <w:color w:val="000000" w:themeColor="text1"/>
      </w:rPr>
      <w:instrText xml:space="preserve"> NUMPAGES  \* Arabic  \* MERGEFORMAT </w:instrText>
    </w:r>
    <w:r w:rsidRPr="00E43D64">
      <w:rPr>
        <w:color w:val="000000" w:themeColor="text1"/>
      </w:rPr>
      <w:fldChar w:fldCharType="separate"/>
    </w:r>
    <w:r w:rsidRPr="00E43D64">
      <w:rPr>
        <w:noProof/>
        <w:color w:val="000000" w:themeColor="text1"/>
      </w:rPr>
      <w:t>2</w:t>
    </w:r>
    <w:r w:rsidRPr="00E43D64">
      <w:rPr>
        <w:color w:val="000000" w:themeColor="text1"/>
      </w:rPr>
      <w:fldChar w:fldCharType="end"/>
    </w:r>
  </w:p>
  <w:p w14:paraId="6BD406DC" w14:textId="77777777" w:rsidR="00E43D64" w:rsidRDefault="00E43D6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327D1A" w14:textId="77777777" w:rsidR="0081364B" w:rsidRDefault="0081364B">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350A3C" w14:textId="77777777" w:rsidR="0081364B" w:rsidRDefault="008136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FCD047" w14:textId="5B071B02" w:rsidR="00E43D64" w:rsidRDefault="0081364B" w:rsidP="0081364B">
    <w:pPr>
      <w:pStyle w:val="Header"/>
    </w:pPr>
    <w:r>
      <w:fldChar w:fldCharType="begin"/>
    </w:r>
    <w:r>
      <w:instrText xml:space="preserve"> SUBJECT  \* MERGEFORMAT </w:instrText>
    </w:r>
    <w:r>
      <w:fldChar w:fldCharType="separate"/>
    </w:r>
    <w:r>
      <w:t>Study Protocol</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5C9F03" w14:textId="77777777" w:rsidR="0081364B" w:rsidRDefault="0081364B">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22"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1BF"/>
    <w:rsid w:val="00204570"/>
    <w:rsid w:val="00521F8B"/>
    <w:rsid w:val="00717495"/>
    <w:rsid w:val="0081364B"/>
    <w:rsid w:val="009E11BF"/>
    <w:rsid w:val="009E6948"/>
    <w:rsid w:val="00BA368D"/>
    <w:rsid w:val="00DB3802"/>
    <w:rsid w:val="00E43D64"/>
  </w:rsids>
  <w:themeFontLang w:bidi="ar-SA" w:val="en-EG"/>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cstheme="majorBidi" w:eastAsiaTheme="majorEastAsia" w:hAnsiTheme="majorHAnsi"/>
        <w:sz w:val="22"/>
        <w:szCs w:val="22"/>
        <w:lang w:bidi="ar-SA" w:eastAsia="en-US" w:val="en-EG"/>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717495"/>
    <w:pPr>
      <w:spacing w:after="120"/>
    </w:pPr>
  </w:style>
  <w:style w:styleId="Heading1" w:type="paragraph">
    <w:name w:val="heading 1"/>
    <w:basedOn w:val="Normal"/>
    <w:next w:val="Normal"/>
    <w:link w:val="Heading1Char"/>
    <w:uiPriority w:val="9"/>
    <w:qFormat/>
    <w:rsid w:val="00717495"/>
    <w:pPr>
      <w:spacing w:after="0" w:before="480"/>
      <w:contextualSpacing/>
      <w:outlineLvl w:val="0"/>
    </w:pPr>
    <w:rPr>
      <w:spacing w:val="5"/>
      <w:sz w:val="28"/>
      <w:szCs w:val="28"/>
      <w:lang w:val="en-US"/>
    </w:rPr>
  </w:style>
  <w:style w:styleId="Heading2" w:type="paragraph">
    <w:name w:val="heading 2"/>
    <w:basedOn w:val="Normal"/>
    <w:next w:val="Normal"/>
    <w:link w:val="Heading2Char"/>
    <w:uiPriority w:val="9"/>
    <w:unhideWhenUsed/>
    <w:qFormat/>
    <w:rsid w:val="00717495"/>
    <w:pPr>
      <w:spacing w:after="0" w:before="200" w:line="271" w:lineRule="auto"/>
      <w:outlineLvl w:val="1"/>
    </w:pPr>
    <w:rPr>
      <w:sz w:val="24"/>
      <w:szCs w:val="24"/>
      <w:lang w:val="en-US"/>
    </w:rPr>
  </w:style>
  <w:style w:styleId="Heading3" w:type="paragraph">
    <w:name w:val="heading 3"/>
    <w:basedOn w:val="Normal"/>
    <w:next w:val="Normal"/>
    <w:link w:val="Heading3Char"/>
    <w:uiPriority w:val="9"/>
    <w:unhideWhenUsed/>
    <w:qFormat/>
    <w:rsid w:val="00717495"/>
    <w:pPr>
      <w:spacing w:after="0" w:before="200" w:line="271" w:lineRule="auto"/>
      <w:outlineLvl w:val="2"/>
    </w:pPr>
    <w:rPr>
      <w:i/>
      <w:iCs/>
      <w:spacing w:val="5"/>
      <w:lang w:val="en-US"/>
    </w:rPr>
  </w:style>
  <w:style w:styleId="Heading4" w:type="paragraph">
    <w:name w:val="heading 4"/>
    <w:basedOn w:val="Normal"/>
    <w:next w:val="Normal"/>
    <w:link w:val="Heading4Char"/>
    <w:uiPriority w:val="9"/>
    <w:semiHidden/>
    <w:unhideWhenUsed/>
    <w:qFormat/>
    <w:rsid w:val="00717495"/>
    <w:pPr>
      <w:spacing w:after="0" w:line="271" w:lineRule="auto"/>
      <w:outlineLvl w:val="3"/>
    </w:pPr>
    <w:rPr>
      <w:b/>
      <w:bCs/>
      <w:spacing w:val="5"/>
      <w:sz w:val="24"/>
      <w:szCs w:val="24"/>
    </w:rPr>
  </w:style>
  <w:style w:styleId="Heading5" w:type="paragraph">
    <w:name w:val="heading 5"/>
    <w:basedOn w:val="Normal"/>
    <w:next w:val="Normal"/>
    <w:link w:val="Heading5Char"/>
    <w:uiPriority w:val="9"/>
    <w:semiHidden/>
    <w:unhideWhenUsed/>
    <w:qFormat/>
    <w:rsid w:val="00717495"/>
    <w:pPr>
      <w:spacing w:after="0" w:line="271" w:lineRule="auto"/>
      <w:outlineLvl w:val="4"/>
    </w:pPr>
    <w:rPr>
      <w:i/>
      <w:iCs/>
      <w:sz w:val="24"/>
      <w:szCs w:val="24"/>
    </w:rPr>
  </w:style>
  <w:style w:styleId="Heading6" w:type="paragraph">
    <w:name w:val="heading 6"/>
    <w:basedOn w:val="Normal"/>
    <w:next w:val="Normal"/>
    <w:link w:val="Heading6Char"/>
    <w:uiPriority w:val="9"/>
    <w:semiHidden/>
    <w:unhideWhenUsed/>
    <w:qFormat/>
    <w:rsid w:val="00717495"/>
    <w:pPr>
      <w:shd w:color="auto" w:fill="FFFFFF" w:themeFill="background1" w:val="clear"/>
      <w:spacing w:after="0" w:line="271" w:lineRule="auto"/>
      <w:outlineLvl w:val="5"/>
    </w:pPr>
    <w:rPr>
      <w:b/>
      <w:bCs/>
      <w:color w:themeColor="text1" w:themeTint="A6" w:val="595959"/>
      <w:spacing w:val="5"/>
    </w:rPr>
  </w:style>
  <w:style w:styleId="Heading7" w:type="paragraph">
    <w:name w:val="heading 7"/>
    <w:basedOn w:val="Normal"/>
    <w:next w:val="Normal"/>
    <w:link w:val="Heading7Char"/>
    <w:uiPriority w:val="9"/>
    <w:semiHidden/>
    <w:unhideWhenUsed/>
    <w:qFormat/>
    <w:rsid w:val="00717495"/>
    <w:pPr>
      <w:spacing w:after="0"/>
      <w:outlineLvl w:val="6"/>
    </w:pPr>
    <w:rPr>
      <w:b/>
      <w:bCs/>
      <w:i/>
      <w:iCs/>
      <w:color w:themeColor="text1" w:themeTint="A5" w:val="5A5A5A"/>
      <w:sz w:val="20"/>
      <w:szCs w:val="20"/>
    </w:rPr>
  </w:style>
  <w:style w:styleId="Heading8" w:type="paragraph">
    <w:name w:val="heading 8"/>
    <w:basedOn w:val="Normal"/>
    <w:next w:val="Normal"/>
    <w:link w:val="Heading8Char"/>
    <w:uiPriority w:val="9"/>
    <w:semiHidden/>
    <w:unhideWhenUsed/>
    <w:qFormat/>
    <w:rsid w:val="00717495"/>
    <w:pPr>
      <w:spacing w:after="0"/>
      <w:outlineLvl w:val="7"/>
    </w:pPr>
    <w:rPr>
      <w:b/>
      <w:bCs/>
      <w:color w:themeColor="text1" w:themeTint="80" w:val="7F7F7F"/>
      <w:sz w:val="20"/>
      <w:szCs w:val="20"/>
    </w:rPr>
  </w:style>
  <w:style w:styleId="Heading9" w:type="paragraph">
    <w:name w:val="heading 9"/>
    <w:basedOn w:val="Normal"/>
    <w:next w:val="Normal"/>
    <w:link w:val="Heading9Char"/>
    <w:uiPriority w:val="9"/>
    <w:semiHidden/>
    <w:unhideWhenUsed/>
    <w:qFormat/>
    <w:rsid w:val="00717495"/>
    <w:pPr>
      <w:spacing w:after="0" w:line="271" w:lineRule="auto"/>
      <w:outlineLvl w:val="8"/>
    </w:pPr>
    <w:rPr>
      <w:b/>
      <w:bCs/>
      <w:i/>
      <w:iCs/>
      <w:color w:themeColor="text1" w:themeTint="80" w:val="7F7F7F"/>
      <w:sz w:val="18"/>
      <w:szCs w:val="1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717495"/>
    <w:rPr>
      <w:spacing w:val="5"/>
      <w:sz w:val="28"/>
      <w:szCs w:val="28"/>
      <w:lang w:val="en-US"/>
    </w:rPr>
  </w:style>
  <w:style w:customStyle="1" w:styleId="Heading2Char" w:type="character">
    <w:name w:val="Heading 2 Char"/>
    <w:basedOn w:val="DefaultParagraphFont"/>
    <w:link w:val="Heading2"/>
    <w:uiPriority w:val="9"/>
    <w:rsid w:val="00717495"/>
    <w:rPr>
      <w:sz w:val="24"/>
      <w:szCs w:val="24"/>
      <w:lang w:val="en-US"/>
    </w:rPr>
  </w:style>
  <w:style w:customStyle="1" w:styleId="Heading3Char" w:type="character">
    <w:name w:val="Heading 3 Char"/>
    <w:basedOn w:val="DefaultParagraphFont"/>
    <w:link w:val="Heading3"/>
    <w:uiPriority w:val="9"/>
    <w:rsid w:val="00717495"/>
    <w:rPr>
      <w:i/>
      <w:iCs/>
      <w:spacing w:val="5"/>
      <w:lang w:val="en-US"/>
    </w:rPr>
  </w:style>
  <w:style w:customStyle="1" w:styleId="Heading4Char" w:type="character">
    <w:name w:val="Heading 4 Char"/>
    <w:basedOn w:val="DefaultParagraphFont"/>
    <w:link w:val="Heading4"/>
    <w:uiPriority w:val="9"/>
    <w:semiHidden/>
    <w:rsid w:val="00717495"/>
    <w:rPr>
      <w:b/>
      <w:bCs/>
      <w:spacing w:val="5"/>
      <w:sz w:val="24"/>
      <w:szCs w:val="24"/>
    </w:rPr>
  </w:style>
  <w:style w:customStyle="1" w:styleId="Heading5Char" w:type="character">
    <w:name w:val="Heading 5 Char"/>
    <w:basedOn w:val="DefaultParagraphFont"/>
    <w:link w:val="Heading5"/>
    <w:uiPriority w:val="9"/>
    <w:semiHidden/>
    <w:rsid w:val="00717495"/>
    <w:rPr>
      <w:i/>
      <w:iCs/>
      <w:sz w:val="24"/>
      <w:szCs w:val="24"/>
    </w:rPr>
  </w:style>
  <w:style w:customStyle="1" w:styleId="Heading6Char" w:type="character">
    <w:name w:val="Heading 6 Char"/>
    <w:basedOn w:val="DefaultParagraphFont"/>
    <w:link w:val="Heading6"/>
    <w:uiPriority w:val="9"/>
    <w:semiHidden/>
    <w:rsid w:val="00717495"/>
    <w:rPr>
      <w:b/>
      <w:bCs/>
      <w:color w:themeColor="text1" w:themeTint="A6" w:val="595959"/>
      <w:spacing w:val="5"/>
      <w:shd w:color="auto" w:fill="FFFFFF" w:themeFill="background1" w:val="clear"/>
    </w:rPr>
  </w:style>
  <w:style w:customStyle="1" w:styleId="Heading7Char" w:type="character">
    <w:name w:val="Heading 7 Char"/>
    <w:basedOn w:val="DefaultParagraphFont"/>
    <w:link w:val="Heading7"/>
    <w:uiPriority w:val="9"/>
    <w:semiHidden/>
    <w:rsid w:val="00717495"/>
    <w:rPr>
      <w:b/>
      <w:bCs/>
      <w:i/>
      <w:iCs/>
      <w:color w:themeColor="text1" w:themeTint="A5" w:val="5A5A5A"/>
      <w:sz w:val="20"/>
      <w:szCs w:val="20"/>
    </w:rPr>
  </w:style>
  <w:style w:customStyle="1" w:styleId="Heading8Char" w:type="character">
    <w:name w:val="Heading 8 Char"/>
    <w:basedOn w:val="DefaultParagraphFont"/>
    <w:link w:val="Heading8"/>
    <w:uiPriority w:val="9"/>
    <w:semiHidden/>
    <w:rsid w:val="00717495"/>
    <w:rPr>
      <w:b/>
      <w:bCs/>
      <w:color w:themeColor="text1" w:themeTint="80" w:val="7F7F7F"/>
      <w:sz w:val="20"/>
      <w:szCs w:val="20"/>
    </w:rPr>
  </w:style>
  <w:style w:customStyle="1" w:styleId="Heading9Char" w:type="character">
    <w:name w:val="Heading 9 Char"/>
    <w:basedOn w:val="DefaultParagraphFont"/>
    <w:link w:val="Heading9"/>
    <w:uiPriority w:val="9"/>
    <w:semiHidden/>
    <w:rsid w:val="00717495"/>
    <w:rPr>
      <w:b/>
      <w:bCs/>
      <w:i/>
      <w:iCs/>
      <w:color w:themeColor="text1" w:themeTint="80" w:val="7F7F7F"/>
      <w:sz w:val="18"/>
      <w:szCs w:val="18"/>
    </w:rPr>
  </w:style>
  <w:style w:styleId="Title" w:type="paragraph">
    <w:name w:val="Title"/>
    <w:basedOn w:val="Normal"/>
    <w:next w:val="Normal"/>
    <w:link w:val="TitleChar"/>
    <w:uiPriority w:val="10"/>
    <w:qFormat/>
    <w:rsid w:val="00717495"/>
    <w:pPr>
      <w:spacing w:after="300" w:line="240" w:lineRule="auto"/>
      <w:contextualSpacing/>
    </w:pPr>
    <w:rPr>
      <w:sz w:val="32"/>
      <w:szCs w:val="32"/>
      <w:lang w:val="en-US"/>
    </w:rPr>
  </w:style>
  <w:style w:customStyle="1" w:styleId="TitleChar" w:type="character">
    <w:name w:val="Title Char"/>
    <w:basedOn w:val="DefaultParagraphFont"/>
    <w:link w:val="Title"/>
    <w:uiPriority w:val="10"/>
    <w:rsid w:val="00717495"/>
    <w:rPr>
      <w:sz w:val="32"/>
      <w:szCs w:val="32"/>
      <w:lang w:val="en-US"/>
    </w:rPr>
  </w:style>
  <w:style w:styleId="Subtitle" w:type="paragraph">
    <w:name w:val="Subtitle"/>
    <w:basedOn w:val="Normal"/>
    <w:next w:val="Normal"/>
    <w:link w:val="SubtitleChar"/>
    <w:uiPriority w:val="11"/>
    <w:qFormat/>
    <w:rsid w:val="00717495"/>
    <w:rPr>
      <w:i/>
      <w:iCs/>
      <w:spacing w:val="10"/>
      <w:sz w:val="28"/>
      <w:szCs w:val="28"/>
      <w:lang w:val="en-US"/>
    </w:rPr>
  </w:style>
  <w:style w:customStyle="1" w:styleId="SubtitleChar" w:type="character">
    <w:name w:val="Subtitle Char"/>
    <w:basedOn w:val="DefaultParagraphFont"/>
    <w:link w:val="Subtitle"/>
    <w:uiPriority w:val="11"/>
    <w:rsid w:val="00717495"/>
    <w:rPr>
      <w:i/>
      <w:iCs/>
      <w:spacing w:val="10"/>
      <w:sz w:val="28"/>
      <w:szCs w:val="28"/>
      <w:lang w:val="en-US"/>
    </w:rPr>
  </w:style>
  <w:style w:styleId="Quote" w:type="paragraph">
    <w:name w:val="Quote"/>
    <w:basedOn w:val="Normal"/>
    <w:next w:val="Normal"/>
    <w:link w:val="QuoteChar"/>
    <w:uiPriority w:val="29"/>
    <w:qFormat/>
    <w:rsid w:val="00717495"/>
    <w:rPr>
      <w:i/>
      <w:iCs/>
    </w:rPr>
  </w:style>
  <w:style w:customStyle="1" w:styleId="QuoteChar" w:type="character">
    <w:name w:val="Quote Char"/>
    <w:basedOn w:val="DefaultParagraphFont"/>
    <w:link w:val="Quote"/>
    <w:uiPriority w:val="29"/>
    <w:rsid w:val="00717495"/>
    <w:rPr>
      <w:i/>
      <w:iCs/>
    </w:rPr>
  </w:style>
  <w:style w:styleId="ListParagraph" w:type="paragraph">
    <w:name w:val="List Paragraph"/>
    <w:basedOn w:val="Normal"/>
    <w:uiPriority w:val="34"/>
    <w:qFormat/>
    <w:rsid w:val="00717495"/>
    <w:pPr>
      <w:ind w:left="720"/>
      <w:contextualSpacing/>
    </w:pPr>
  </w:style>
  <w:style w:styleId="IntenseEmphasis" w:type="character">
    <w:name w:val="Intense Emphasis"/>
    <w:uiPriority w:val="21"/>
    <w:qFormat/>
    <w:rsid w:val="00717495"/>
    <w:rPr>
      <w:b/>
      <w:bCs/>
      <w:i/>
      <w:iCs/>
    </w:rPr>
  </w:style>
  <w:style w:styleId="IntenseQuote" w:type="paragraph">
    <w:name w:val="Intense Quote"/>
    <w:basedOn w:val="Normal"/>
    <w:next w:val="Normal"/>
    <w:link w:val="IntenseQuoteChar"/>
    <w:uiPriority w:val="30"/>
    <w:qFormat/>
    <w:rsid w:val="00717495"/>
    <w:pPr>
      <w:pBdr>
        <w:top w:color="auto" w:space="10" w:sz="4" w:val="single"/>
        <w:bottom w:color="auto" w:space="10" w:sz="4" w:val="single"/>
      </w:pBdr>
      <w:spacing w:after="240" w:before="240" w:line="300" w:lineRule="auto"/>
      <w:ind w:left="1152" w:right="1152"/>
      <w:jc w:val="both"/>
    </w:pPr>
    <w:rPr>
      <w:i/>
      <w:iCs/>
    </w:rPr>
  </w:style>
  <w:style w:customStyle="1" w:styleId="IntenseQuoteChar" w:type="character">
    <w:name w:val="Intense Quote Char"/>
    <w:basedOn w:val="DefaultParagraphFont"/>
    <w:link w:val="IntenseQuote"/>
    <w:uiPriority w:val="30"/>
    <w:rsid w:val="00717495"/>
    <w:rPr>
      <w:i/>
      <w:iCs/>
    </w:rPr>
  </w:style>
  <w:style w:styleId="IntenseReference" w:type="character">
    <w:name w:val="Intense Reference"/>
    <w:uiPriority w:val="32"/>
    <w:qFormat/>
    <w:rsid w:val="00717495"/>
    <w:rPr>
      <w:b/>
      <w:bCs/>
      <w:smallCaps/>
    </w:rPr>
  </w:style>
  <w:style w:styleId="Strong" w:type="character">
    <w:name w:val="Strong"/>
    <w:uiPriority w:val="22"/>
    <w:qFormat/>
    <w:rsid w:val="00717495"/>
    <w:rPr>
      <w:b/>
      <w:bCs/>
    </w:rPr>
  </w:style>
  <w:style w:styleId="Emphasis" w:type="character">
    <w:name w:val="Emphasis"/>
    <w:uiPriority w:val="20"/>
    <w:qFormat/>
    <w:rsid w:val="00717495"/>
    <w:rPr>
      <w:b/>
      <w:bCs/>
      <w:i/>
      <w:iCs/>
      <w:spacing w:val="10"/>
    </w:rPr>
  </w:style>
  <w:style w:styleId="NoSpacing" w:type="paragraph">
    <w:name w:val="No Spacing"/>
    <w:basedOn w:val="Normal"/>
    <w:uiPriority w:val="1"/>
    <w:qFormat/>
    <w:rsid w:val="00717495"/>
    <w:pPr>
      <w:spacing w:after="0" w:line="240" w:lineRule="auto"/>
    </w:pPr>
  </w:style>
  <w:style w:styleId="SubtleEmphasis" w:type="character">
    <w:name w:val="Subtle Emphasis"/>
    <w:uiPriority w:val="19"/>
    <w:qFormat/>
    <w:rsid w:val="00717495"/>
    <w:rPr>
      <w:i/>
      <w:iCs/>
    </w:rPr>
  </w:style>
  <w:style w:styleId="SubtleReference" w:type="character">
    <w:name w:val="Subtle Reference"/>
    <w:basedOn w:val="DefaultParagraphFont"/>
    <w:uiPriority w:val="31"/>
    <w:qFormat/>
    <w:rsid w:val="00717495"/>
    <w:rPr>
      <w:smallCaps/>
    </w:rPr>
  </w:style>
  <w:style w:styleId="BookTitle" w:type="character">
    <w:name w:val="Book Title"/>
    <w:basedOn w:val="DefaultParagraphFont"/>
    <w:uiPriority w:val="33"/>
    <w:qFormat/>
    <w:rsid w:val="00717495"/>
    <w:rPr>
      <w:i/>
      <w:iCs/>
      <w:smallCaps/>
      <w:spacing w:val="5"/>
    </w:rPr>
  </w:style>
  <w:style w:styleId="TOCHeading" w:type="paragraph">
    <w:name w:val="TOC Heading"/>
    <w:basedOn w:val="Heading1"/>
    <w:next w:val="Normal"/>
    <w:uiPriority w:val="39"/>
    <w:semiHidden/>
    <w:unhideWhenUsed/>
    <w:qFormat/>
    <w:rsid w:val="00717495"/>
    <w:pPr>
      <w:outlineLvl w:val="9"/>
    </w:pPr>
  </w:style>
  <w:style w:styleId="Header" w:type="paragraph">
    <w:name w:val="header"/>
    <w:basedOn w:val="Normal"/>
    <w:link w:val="HeaderChar"/>
    <w:uiPriority w:val="99"/>
    <w:unhideWhenUsed/>
    <w:rsid w:val="00E43D64"/>
    <w:pPr>
      <w:tabs>
        <w:tab w:pos="4680" w:val="center"/>
        <w:tab w:pos="9360" w:val="right"/>
      </w:tabs>
      <w:spacing w:after="0" w:line="240" w:lineRule="auto"/>
    </w:pPr>
  </w:style>
  <w:style w:customStyle="1" w:styleId="HeaderChar" w:type="character">
    <w:name w:val="Header Char"/>
    <w:basedOn w:val="DefaultParagraphFont"/>
    <w:link w:val="Header"/>
    <w:uiPriority w:val="99"/>
    <w:rsid w:val="00E43D64"/>
  </w:style>
  <w:style w:styleId="Footer" w:type="paragraph">
    <w:name w:val="footer"/>
    <w:basedOn w:val="Normal"/>
    <w:link w:val="FooterChar"/>
    <w:uiPriority w:val="99"/>
    <w:unhideWhenUsed/>
    <w:rsid w:val="00E43D64"/>
    <w:pPr>
      <w:tabs>
        <w:tab w:pos="4680" w:val="center"/>
        <w:tab w:pos="9360" w:val="right"/>
      </w:tabs>
      <w:spacing w:after="0" w:line="240" w:lineRule="auto"/>
    </w:pPr>
  </w:style>
  <w:style w:customStyle="1" w:styleId="FooterChar" w:type="character">
    <w:name w:val="Footer Char"/>
    <w:basedOn w:val="DefaultParagraphFont"/>
    <w:link w:val="Footer"/>
    <w:uiPriority w:val="99"/>
    <w:rsid w:val="00E43D64"/>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8" Target="footer1.xml" Type="http://schemas.openxmlformats.org/officeDocument/2006/relationships/footer" /><Relationship Id="rId7" Target="header2.xml" Type="http://schemas.openxmlformats.org/officeDocument/2006/relationships/header" /><Relationship Id="rId6" Target="header1.xml" Type="http://schemas.openxmlformats.org/officeDocument/2006/relationships/header" /><Relationship Id="rId11" Target="footer3.xml" Type="http://schemas.openxmlformats.org/officeDocument/2006/relationships/footer" /><Relationship Id="rId10" Target="header3.xml" Type="http://schemas.openxmlformats.org/officeDocument/2006/relationships/header" /><Relationship Id="rId9" Target="footer2.xml" Type="http://schemas.openxmlformats.org/officeDocument/2006/relationships/footer" /><Relationship Type="http://schemas.openxmlformats.org/officeDocument/2006/relationships/hyperlink" Id="rId61" Target="http://dx.doi.org/10.1007/978-981-96-8357-4" TargetMode="External" /><Relationship Type="http://schemas.openxmlformats.org/officeDocument/2006/relationships/hyperlink" Id="rId57" Target="http://dx.doi.org/10.1016/S0140-6736(13)62227-8" TargetMode="External" /><Relationship Type="http://schemas.openxmlformats.org/officeDocument/2006/relationships/hyperlink" Id="rId55" Target="http://dx.doi.org/10.1016/S0140-6736(13)62229-1" TargetMode="External" /><Relationship Type="http://schemas.openxmlformats.org/officeDocument/2006/relationships/hyperlink" Id="rId59" Target="http://dx.doi.org/10.1016/S0140-6736(13)62297-7" TargetMode="External" /><Relationship Type="http://schemas.openxmlformats.org/officeDocument/2006/relationships/hyperlink" Id="rId49" Target="https://doi.org/10.1016/S0140-6736(09)60329-9" TargetMode="External" /><Relationship Type="http://schemas.openxmlformats.org/officeDocument/2006/relationships/hyperlink" Id="rId53" Target="https://doi.org/10.1016/S0140-6736(15)00307-4" TargetMode="External" /><Relationship Type="http://schemas.openxmlformats.org/officeDocument/2006/relationships/hyperlink" Id="rId51" Target="https://doi.org/10.1136/bmj.k4645" TargetMode="External" /><Relationship Type="http://schemas.openxmlformats.org/officeDocument/2006/relationships/hyperlink" Id="rId67" Target="https://doi.org/10.1371/journal.pmed.1004326" TargetMode="External" /><Relationship Type="http://schemas.openxmlformats.org/officeDocument/2006/relationships/hyperlink" Id="rId65" Target="https://posit.co/products/open-source/rstudio/" TargetMode="External" /><Relationship Type="http://schemas.openxmlformats.org/officeDocument/2006/relationships/hyperlink" Id="rId63" Target="https://www.R-project.org/" TargetMode="External" /><Relationship Type="http://schemas.openxmlformats.org/officeDocument/2006/relationships/hyperlink" Id="rId45" Target="mailto:ecr@med.asu.edu.eg" TargetMode="External" /></Relationships>
</file>

<file path=word/_rels/footnotes.xml.rels><?xml version="1.0" encoding="UTF-8"?><Relationships xmlns="http://schemas.openxmlformats.org/package/2006/relationships"><Relationship Type="http://schemas.openxmlformats.org/officeDocument/2006/relationships/hyperlink" Id="rId61" Target="http://dx.doi.org/10.1007/978-981-96-8357-4" TargetMode="External" /><Relationship Type="http://schemas.openxmlformats.org/officeDocument/2006/relationships/hyperlink" Id="rId57" Target="http://dx.doi.org/10.1016/S0140-6736(13)62227-8" TargetMode="External" /><Relationship Type="http://schemas.openxmlformats.org/officeDocument/2006/relationships/hyperlink" Id="rId55" Target="http://dx.doi.org/10.1016/S0140-6736(13)62229-1" TargetMode="External" /><Relationship Type="http://schemas.openxmlformats.org/officeDocument/2006/relationships/hyperlink" Id="rId59" Target="http://dx.doi.org/10.1016/S0140-6736(13)62297-7" TargetMode="External" /><Relationship Type="http://schemas.openxmlformats.org/officeDocument/2006/relationships/hyperlink" Id="rId49" Target="https://doi.org/10.1016/S0140-6736(09)60329-9" TargetMode="External" /><Relationship Type="http://schemas.openxmlformats.org/officeDocument/2006/relationships/hyperlink" Id="rId53" Target="https://doi.org/10.1016/S0140-6736(15)00307-4" TargetMode="External" /><Relationship Type="http://schemas.openxmlformats.org/officeDocument/2006/relationships/hyperlink" Id="rId51" Target="https://doi.org/10.1136/bmj.k4645" TargetMode="External" /><Relationship Type="http://schemas.openxmlformats.org/officeDocument/2006/relationships/hyperlink" Id="rId67" Target="https://doi.org/10.1371/journal.pmed.1004326" TargetMode="External" /><Relationship Type="http://schemas.openxmlformats.org/officeDocument/2006/relationships/hyperlink" Id="rId65" Target="https://posit.co/products/open-source/rstudio/" TargetMode="External" /><Relationship Type="http://schemas.openxmlformats.org/officeDocument/2006/relationships/hyperlink" Id="rId63" Target="https://www.R-project.org/" TargetMode="External" /><Relationship Type="http://schemas.openxmlformats.org/officeDocument/2006/relationships/hyperlink" Id="rId45" Target="mailto:ecr@med.asu.edu.e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9</Words>
  <Characters>44</Characters>
  <Application>Microsoft Office Word</Application>
  <DocSecurity>0</DocSecurity>
  <Lines>6</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Barriers to Valid Medical Research Among Early-Career Researchers in Egypt: A Modified Delphi Study Protocol</dc:title>
  <dc:creator/>
  <dc:subject>Study Protocol</dc:subject>
  <cp:keywords/>
  <dcterms:created xsi:type="dcterms:W3CDTF">2026-10-11T08:40:37Z</dcterms:created>
  <dcterms:modified xsi:type="dcterms:W3CDTF">2026-10-11T08:40:37Z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vancouver.csl</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