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
    <w:p>
      <w:pPr>
        <w:pStyle w:val="Heading1"/>
      </w:pPr>
      <w:r>
        <w:t xml:space="preserve">3. 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22"/>
    <w:bookmarkStart w:id="25" w:name="objectives"/>
    <w:p>
      <w:pPr>
        <w:pStyle w:val="Heading1"/>
      </w:pPr>
      <w:r>
        <w:t xml:space="preserve">4. Objectives</w:t>
      </w:r>
    </w:p>
    <w:bookmarkStart w:id="23" w:name="primary-objective"/>
    <w:p>
      <w:pPr>
        <w:pStyle w:val="Heading2"/>
      </w:pPr>
      <w:r>
        <w:t xml:space="preserve">4.1 Primary objective</w:t>
      </w:r>
    </w:p>
    <w:p>
      <w:pPr>
        <w:pStyle w:val="FirstParagraph"/>
      </w:pPr>
      <w:r>
        <w:t xml:space="preserve">To achieve consensus on the principal barriers perceived to limit early-career medical researchers’ ability to conduct valid, relevant, and high-value research in Egypt.</w:t>
      </w:r>
    </w:p>
    <w:bookmarkEnd w:id="23"/>
    <w:bookmarkStart w:id="24" w:name="secondary-objectives"/>
    <w:p>
      <w:pPr>
        <w:pStyle w:val="Heading2"/>
      </w:pPr>
      <w:r>
        <w:t xml:space="preserve">4.2 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consensus-based priority framework that summarizes important and modifiable barriers, priority interventions, and areas of stakeholder agreement or disagreement..</w:t>
      </w:r>
    </w:p>
    <w:bookmarkEnd w:id="24"/>
    <w:bookmarkEnd w:id="25"/>
    <w:bookmarkStart w:id="26" w:name="conceptual-framework"/>
    <w:p>
      <w:pPr>
        <w:pStyle w:val="Heading1"/>
      </w:pPr>
      <w:r>
        <w:t xml:space="preserve">5. 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26"/>
    <w:bookmarkStart w:id="27" w:name="key-definitions"/>
    <w:p>
      <w:pPr>
        <w:pStyle w:val="Heading1"/>
      </w:pPr>
      <w:r>
        <w:t xml:space="preserve">6. Key Definitions</w:t>
      </w:r>
    </w:p>
    <w:p>
      <w:pPr>
        <w:numPr>
          <w:ilvl w:val="0"/>
          <w:numId w:val="1008"/>
        </w:numPr>
      </w:pPr>
      <w:r>
        <w:t xml:space="preserve">Early-career medical researcher: For this study, an early-career medical researcher is a medical student, house officer/intern, resident, teaching assistant, assistant lecturer, or equivalent junior medical academic/researcher working or training within an Egyptian medical school, teaching hospital, university-affiliated research unit, or comparable research setting.</w:t>
      </w:r>
    </w:p>
    <w:p>
      <w:pPr>
        <w:pStyle w:val="Compact"/>
        <w:numPr>
          <w:ilvl w:val="1"/>
          <w:numId w:val="1009"/>
        </w:numPr>
      </w:pPr>
      <w:r>
        <w:t xml:space="preserve">Individuals who have progressed beyond these stages but remain actively involved in supervising or supporting early-career researchers will participate as stakeholder panelists in the supervisor, methodologist, administrator, funder, or other relevant categories.</w:t>
      </w:r>
    </w:p>
    <w:p>
      <w:pPr>
        <w:numPr>
          <w:ilvl w:val="0"/>
          <w:numId w:val="1008"/>
        </w:numPr>
      </w:pPr>
      <w:r>
        <w:t xml:space="preserve">Valid research: Research that uses methods appropriate to its question and design and is conducted, analyzed, and reported sufficiently well to support credible interpretation.</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7"/>
    <w:bookmarkStart w:id="28" w:name="study-design"/>
    <w:p>
      <w:pPr>
        <w:pStyle w:val="Heading1"/>
      </w:pPr>
      <w:r>
        <w:t xml:space="preserve">7. 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28"/>
    <w:bookmarkStart w:id="29" w:name="study-setting"/>
    <w:p>
      <w:pPr>
        <w:pStyle w:val="Heading1"/>
      </w:pPr>
      <w:r>
        <w:t xml:space="preserve">8. 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9"/>
    <w:bookmarkStart w:id="32" w:name="participants-and-eligibility"/>
    <w:p>
      <w:pPr>
        <w:pStyle w:val="Heading1"/>
      </w:pPr>
      <w:r>
        <w:t xml:space="preserve">9. Participants and Eligibility</w:t>
      </w:r>
    </w:p>
    <w:bookmarkStart w:id="30" w:name="delphi-panel-eligibility"/>
    <w:p>
      <w:pPr>
        <w:pStyle w:val="Heading2"/>
      </w:pPr>
      <w:r>
        <w:t xml:space="preserve">9.1 Delphi panel eligibility</w:t>
      </w:r>
    </w:p>
    <w:p>
      <w:pPr>
        <w:pStyle w:val="FirstParagraph"/>
      </w:pPr>
      <w:r>
        <w:t xml:space="preserve">Participants must meet at least one of the following criteria:</w:t>
      </w:r>
    </w:p>
    <w:p>
      <w:pPr>
        <w:numPr>
          <w:ilvl w:val="0"/>
          <w:numId w:val="1011"/>
        </w:numPr>
      </w:pPr>
      <w:r>
        <w:t xml:space="preserve">Early-career researchers</w:t>
      </w:r>
    </w:p>
    <w:p>
      <w:pPr>
        <w:pStyle w:val="Compact"/>
        <w:numPr>
          <w:ilvl w:val="1"/>
          <w:numId w:val="1012"/>
        </w:numPr>
      </w:pPr>
      <w:r>
        <w:t xml:space="preserve">Be a medical student, house officer, resident, teaching assistant, assistant lecturer, or equivalent early-career medical researcher in Egypt; and</w:t>
      </w:r>
    </w:p>
    <w:p>
      <w:pPr>
        <w:pStyle w:val="Compact"/>
        <w:numPr>
          <w:ilvl w:val="1"/>
          <w:numId w:val="1012"/>
        </w:numPr>
      </w:pPr>
      <w:r>
        <w:t xml:space="preserve">have participated in, planned, conducted, analyzed, written at least one research project.</w:t>
      </w:r>
    </w:p>
    <w:p>
      <w:pPr>
        <w:numPr>
          <w:ilvl w:val="0"/>
          <w:numId w:val="1011"/>
        </w:numPr>
      </w:pPr>
      <w:r>
        <w:t xml:space="preserve">Research supervisors</w:t>
      </w:r>
    </w:p>
    <w:p>
      <w:pPr>
        <w:pStyle w:val="Compact"/>
        <w:numPr>
          <w:ilvl w:val="1"/>
          <w:numId w:val="1013"/>
        </w:numPr>
      </w:pPr>
      <w:r>
        <w:t xml:space="preserve">Be a lecturer, associate professor, professor, or equivalent researcher who has supervised medical research involving early-career researchers; and</w:t>
      </w:r>
    </w:p>
    <w:p>
      <w:pPr>
        <w:pStyle w:val="Compact"/>
        <w:numPr>
          <w:ilvl w:val="1"/>
          <w:numId w:val="1013"/>
        </w:numPr>
      </w:pPr>
      <w:r>
        <w:t xml:space="preserve">have current or recent experience in research supervision.</w:t>
      </w:r>
    </w:p>
    <w:p>
      <w:pPr>
        <w:numPr>
          <w:ilvl w:val="0"/>
          <w:numId w:val="1011"/>
        </w:numPr>
      </w:pPr>
      <w:r>
        <w:t xml:space="preserve">Research methodologists/biostatisticians</w:t>
      </w:r>
    </w:p>
    <w:p>
      <w:pPr>
        <w:pStyle w:val="Compact"/>
        <w:numPr>
          <w:ilvl w:val="1"/>
          <w:numId w:val="1014"/>
        </w:numPr>
      </w:pPr>
      <w:r>
        <w:t xml:space="preserve">Have formal or substantial professional experience in epidemiology, biostatistics, research methodology, evidence synthesis, qualitative research, or related methodological disciplines; and</w:t>
      </w:r>
    </w:p>
    <w:p>
      <w:pPr>
        <w:pStyle w:val="Compact"/>
        <w:numPr>
          <w:ilvl w:val="1"/>
          <w:numId w:val="1014"/>
        </w:numPr>
      </w:pPr>
      <w:r>
        <w:t xml:space="preserve">have experience supporting or conducting health research.</w:t>
      </w:r>
    </w:p>
    <w:p>
      <w:pPr>
        <w:numPr>
          <w:ilvl w:val="0"/>
          <w:numId w:val="1011"/>
        </w:numPr>
      </w:pPr>
      <w:r>
        <w:t xml:space="preserve">Ethics/research governance participants</w:t>
      </w:r>
    </w:p>
    <w:p>
      <w:pPr>
        <w:pStyle w:val="Compact"/>
        <w:numPr>
          <w:ilvl w:val="1"/>
          <w:numId w:val="1015"/>
        </w:numPr>
      </w:pPr>
      <w:r>
        <w:t xml:space="preserve">Be a member or former member of a research ethics committee, research governance body, or comparable institutional structure.</w:t>
      </w:r>
    </w:p>
    <w:p>
      <w:pPr>
        <w:pStyle w:val="FirstParagraph"/>
      </w:pPr>
      <w:r>
        <w:t xml:space="preserve">Participants should have sufficient familiarity with the Egyptian research environment to provide informed judgments.</w:t>
      </w:r>
    </w:p>
    <w:bookmarkEnd w:id="30"/>
    <w:bookmarkStart w:id="31" w:name="exclusion-criteria"/>
    <w:p>
      <w:pPr>
        <w:pStyle w:val="Heading2"/>
      </w:pPr>
      <w:r>
        <w:t xml:space="preserve">9.2 Exclusion criteria</w:t>
      </w:r>
    </w:p>
    <w:p>
      <w:pPr>
        <w:pStyle w:val="FirstParagraph"/>
      </w:pPr>
      <w:r>
        <w:t xml:space="preserve">Participants will be excluded if they:</w:t>
      </w:r>
    </w:p>
    <w:p>
      <w:pPr>
        <w:pStyle w:val="Compact"/>
        <w:numPr>
          <w:ilvl w:val="0"/>
          <w:numId w:val="1016"/>
        </w:numPr>
      </w:pPr>
      <w:r>
        <w:t xml:space="preserve">cannot provide informed consent;</w:t>
      </w:r>
    </w:p>
    <w:p>
      <w:pPr>
        <w:pStyle w:val="Compact"/>
        <w:numPr>
          <w:ilvl w:val="0"/>
          <w:numId w:val="1016"/>
        </w:numPr>
      </w:pPr>
      <w:r>
        <w:t xml:space="preserve">have insufficient familiarity with medical research in Egypt to complete the Delphi questionnaire meaningfully;</w:t>
      </w:r>
    </w:p>
    <w:p>
      <w:pPr>
        <w:pStyle w:val="Compact"/>
        <w:numPr>
          <w:ilvl w:val="0"/>
          <w:numId w:val="1016"/>
        </w:numPr>
      </w:pPr>
      <w:r>
        <w:t xml:space="preserve">are unable to complete the questionnaire in English or Arabic, depending on the final validated questionnaire language;</w:t>
      </w:r>
    </w:p>
    <w:p>
      <w:pPr>
        <w:pStyle w:val="Compact"/>
        <w:numPr>
          <w:ilvl w:val="0"/>
          <w:numId w:val="1016"/>
        </w:numPr>
      </w:pPr>
      <w:r>
        <w:t xml:space="preserve">participate only in questionnaire piloting and do not meet the final panel eligibility criteria; or</w:t>
      </w:r>
    </w:p>
    <w:p>
      <w:pPr>
        <w:pStyle w:val="Compact"/>
        <w:numPr>
          <w:ilvl w:val="0"/>
          <w:numId w:val="1016"/>
        </w:numPr>
      </w:pPr>
      <w:r>
        <w:t xml:space="preserve">have a direct conflict of interest that the steering group determines would prevent independent participation.</w:t>
      </w:r>
    </w:p>
    <w:bookmarkEnd w:id="31"/>
    <w:bookmarkEnd w:id="32"/>
    <w:bookmarkStart w:id="34" w:name="panel-composition-and-sampling"/>
    <w:p>
      <w:pPr>
        <w:pStyle w:val="Heading1"/>
      </w:pPr>
      <w:r>
        <w:t xml:space="preserve">10. Panel Composition and Sampling</w:t>
      </w:r>
    </w:p>
    <w:p>
      <w:pPr>
        <w:pStyle w:val="FirstParagraph"/>
      </w:pPr>
      <w:r>
        <w:t xml:space="preserve">A purposive maximum-variation sampling strategy will be used.</w:t>
      </w:r>
    </w:p>
    <w:p>
      <w:pPr>
        <w:pStyle w:val="BodyText"/>
      </w:pPr>
      <w:r>
        <w:t xml:space="preserve">The stakeholder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60-80 invited participants, with at least 50 completing Round 1 and 40–50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33" w:name="recruitment-procedures"/>
    <w:p>
      <w:pPr>
        <w:pStyle w:val="Heading2"/>
      </w:pPr>
      <w:r>
        <w:t xml:space="preserve">10.1 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33"/>
    <w:bookmarkEnd w:id="34"/>
    <w:bookmarkStart w:id="37" w:name="item-generation"/>
    <w:p>
      <w:pPr>
        <w:pStyle w:val="Heading1"/>
      </w:pPr>
      <w:r>
        <w:t xml:space="preserve">11. Item Generation</w:t>
      </w:r>
    </w:p>
    <w:bookmarkStart w:id="35" w:name="evidence-review"/>
    <w:p>
      <w:pPr>
        <w:pStyle w:val="Heading2"/>
      </w:pPr>
      <w:r>
        <w:t xml:space="preserve">11.1 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35"/>
    <w:bookmarkStart w:id="36" w:name="development-of-the-initial-item-pool"/>
    <w:p>
      <w:pPr>
        <w:pStyle w:val="Heading2"/>
      </w:pPr>
      <w:r>
        <w:t xml:space="preserve">11.2 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7"/>
        </w:numPr>
      </w:pPr>
      <w:r>
        <w:t xml:space="preserve">describe one barrier or intervention;</w:t>
      </w:r>
    </w:p>
    <w:p>
      <w:pPr>
        <w:pStyle w:val="Compact"/>
        <w:numPr>
          <w:ilvl w:val="0"/>
          <w:numId w:val="1017"/>
        </w:numPr>
      </w:pPr>
      <w:r>
        <w:t xml:space="preserve">use neutral, non-accusatory wording;</w:t>
      </w:r>
    </w:p>
    <w:p>
      <w:pPr>
        <w:pStyle w:val="Compact"/>
        <w:numPr>
          <w:ilvl w:val="0"/>
          <w:numId w:val="1017"/>
        </w:numPr>
      </w:pPr>
      <w:r>
        <w:t xml:space="preserve">avoid double-barrelled concepts;</w:t>
      </w:r>
    </w:p>
    <w:p>
      <w:pPr>
        <w:pStyle w:val="Compact"/>
        <w:numPr>
          <w:ilvl w:val="0"/>
          <w:numId w:val="1017"/>
        </w:numPr>
      </w:pPr>
      <w:r>
        <w:t xml:space="preserve">be understandable to participants from different professional backgrounds; and</w:t>
      </w:r>
    </w:p>
    <w:p>
      <w:pPr>
        <w:pStyle w:val="Compact"/>
        <w:numPr>
          <w:ilvl w:val="0"/>
          <w:numId w:val="1017"/>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36"/>
    <w:bookmarkEnd w:id="37"/>
    <w:bookmarkStart w:id="45" w:name="delphi-questionnaire"/>
    <w:p>
      <w:pPr>
        <w:pStyle w:val="Heading1"/>
      </w:pPr>
      <w:r>
        <w:t xml:space="preserve">12. Delphi Questionnaire</w:t>
      </w:r>
    </w:p>
    <w:p>
      <w:pPr>
        <w:pStyle w:val="FirstParagraph"/>
      </w:pPr>
      <w:r>
        <w:t xml:space="preserve">The survey will be administered using the University’s online survey platform. Data will be stored on secure password-protected system accessible only to authorized study personnel.</w:t>
      </w:r>
    </w:p>
    <w:p>
      <w:pPr>
        <w:pStyle w:val="BodyText"/>
      </w:pPr>
      <w:r>
        <w:t xml:space="preserve">Completion of the Round-1 questionnaire is expected to require approximately 20 minutes and Round-2 approximately 15 minutes.</w:t>
      </w:r>
    </w:p>
    <w:bookmarkStart w:id="38" w:name="barrier-ratings"/>
    <w:p>
      <w:pPr>
        <w:pStyle w:val="Heading2"/>
      </w:pPr>
      <w:r>
        <w:t xml:space="preserve">12.1 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38"/>
    <w:bookmarkStart w:id="39" w:name="delphi-round-1"/>
    <w:p>
      <w:pPr>
        <w:pStyle w:val="Heading2"/>
      </w:pPr>
      <w:r>
        <w:t xml:space="preserve">12.2 Delphi Round 1</w:t>
      </w:r>
    </w:p>
    <w:p>
      <w:pPr>
        <w:pStyle w:val="FirstParagraph"/>
      </w:pPr>
      <w:r>
        <w:t xml:space="preserve">Participants will receive:</w:t>
      </w:r>
    </w:p>
    <w:p>
      <w:pPr>
        <w:pStyle w:val="Compact"/>
        <w:numPr>
          <w:ilvl w:val="0"/>
          <w:numId w:val="1018"/>
        </w:numPr>
      </w:pPr>
      <w:r>
        <w:t xml:space="preserve">an information sheet and electronic consent form;</w:t>
      </w:r>
    </w:p>
    <w:p>
      <w:pPr>
        <w:pStyle w:val="Compact"/>
        <w:numPr>
          <w:ilvl w:val="0"/>
          <w:numId w:val="1018"/>
        </w:numPr>
      </w:pPr>
      <w:r>
        <w:t xml:space="preserve">brief instructions explaining the Delphi process;</w:t>
      </w:r>
    </w:p>
    <w:p>
      <w:pPr>
        <w:pStyle w:val="Compact"/>
        <w:numPr>
          <w:ilvl w:val="0"/>
          <w:numId w:val="1018"/>
        </w:numPr>
      </w:pPr>
      <w:r>
        <w:t xml:space="preserve">the candidate barrier items;</w:t>
      </w:r>
    </w:p>
    <w:p>
      <w:pPr>
        <w:pStyle w:val="Compact"/>
        <w:numPr>
          <w:ilvl w:val="0"/>
          <w:numId w:val="1018"/>
        </w:numPr>
      </w:pPr>
      <w:r>
        <w:t xml:space="preserve">importance and modifiability rating scales; and</w:t>
      </w:r>
    </w:p>
    <w:p>
      <w:pPr>
        <w:pStyle w:val="Compact"/>
        <w:numPr>
          <w:ilvl w:val="0"/>
          <w:numId w:val="1018"/>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39"/>
    <w:bookmarkStart w:id="40" w:name="round-1-item-handling"/>
    <w:p>
      <w:pPr>
        <w:pStyle w:val="Heading2"/>
      </w:pPr>
      <w:r>
        <w:t xml:space="preserve">12.3 Round 1 Item Handling</w:t>
      </w:r>
    </w:p>
    <w:p>
      <w:pPr>
        <w:pStyle w:val="FirstParagraph"/>
      </w:pPr>
      <w:r>
        <w:t xml:space="preserve">The following rules will be applied before Round 2:</w:t>
      </w:r>
    </w:p>
    <w:p>
      <w:pPr>
        <w:pStyle w:val="BodyText"/>
      </w:pPr>
      <w:r>
        <w:rPr>
          <w:b/>
          <w:bCs/>
        </w:rPr>
        <w:t xml:space="preserve">Retain</w:t>
      </w:r>
      <w:r>
        <w:t xml:space="preserve">: Items meeting the predefined importance-consensus criterion will be retained.</w:t>
      </w:r>
    </w:p>
    <w:p>
      <w:pPr>
        <w:pStyle w:val="BodyText"/>
      </w:pPr>
      <w:r>
        <w:rPr>
          <w:b/>
          <w:bCs/>
        </w:rPr>
        <w:t xml:space="preserve">Revise</w:t>
      </w:r>
      <w:r>
        <w:t xml:space="preserve">: Items that do not reach consensus but are potentially important, ambiguous, or substantially modified following panel comments may be revised and presented in Round 2. Material wording changes will be documented.</w:t>
      </w:r>
    </w:p>
    <w:p>
      <w:pPr>
        <w:pStyle w:val="BodyText"/>
      </w:pPr>
      <w:r>
        <w:rPr>
          <w:b/>
          <w:bCs/>
        </w:rPr>
        <w:t xml:space="preserve">Remove</w:t>
      </w:r>
      <w:r>
        <w:t xml:space="preserve">: 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40"/>
    <w:bookmarkStart w:id="41" w:name="delphi-round-2"/>
    <w:p>
      <w:pPr>
        <w:pStyle w:val="Heading2"/>
      </w:pPr>
      <w:r>
        <w:t xml:space="preserve">12.4 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9"/>
        </w:numPr>
      </w:pPr>
      <w:r>
        <w:t xml:space="preserve">number of valid responses;</w:t>
      </w:r>
    </w:p>
    <w:p>
      <w:pPr>
        <w:pStyle w:val="Compact"/>
        <w:numPr>
          <w:ilvl w:val="0"/>
          <w:numId w:val="1019"/>
        </w:numPr>
      </w:pPr>
      <w:r>
        <w:t xml:space="preserve">median rating;</w:t>
      </w:r>
    </w:p>
    <w:p>
      <w:pPr>
        <w:pStyle w:val="Compact"/>
        <w:numPr>
          <w:ilvl w:val="0"/>
          <w:numId w:val="1019"/>
        </w:numPr>
      </w:pPr>
      <w:r>
        <w:t xml:space="preserve">interquartile range; and</w:t>
      </w:r>
    </w:p>
    <w:p>
      <w:pPr>
        <w:pStyle w:val="Compact"/>
        <w:numPr>
          <w:ilvl w:val="0"/>
          <w:numId w:val="1019"/>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20"/>
        </w:numPr>
      </w:pPr>
      <w:r>
        <w:rPr>
          <w:b/>
          <w:bCs/>
        </w:rPr>
        <w:t xml:space="preserve">importance/potential impact:</w:t>
      </w:r>
      <w:r>
        <w:t xml:space="preserve"> </w:t>
      </w:r>
      <w:r>
        <w:t xml:space="preserve">1–9;</w:t>
      </w:r>
    </w:p>
    <w:p>
      <w:pPr>
        <w:pStyle w:val="Compact"/>
        <w:numPr>
          <w:ilvl w:val="0"/>
          <w:numId w:val="1020"/>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41"/>
    <w:bookmarkStart w:id="42" w:name="consensus-definitions"/>
    <w:p>
      <w:pPr>
        <w:pStyle w:val="Heading2"/>
      </w:pPr>
      <w:r>
        <w:t xml:space="preserve">12.5 Consensus Definitions</w:t>
      </w:r>
    </w:p>
    <w:p>
      <w:pPr>
        <w:pStyle w:val="FirstParagraph"/>
      </w:pPr>
      <w:r>
        <w:t xml:space="preserve">Consensus criteria will be specified before Round 1 and will not be changed in response to the observed results.</w:t>
      </w:r>
    </w:p>
    <w:p>
      <w:pPr>
        <w:numPr>
          <w:ilvl w:val="0"/>
          <w:numId w:val="1021"/>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are met: median importance rating ≥7; IQR ≤2; and ≥75% of valid ratings are 7–9. Consensus that a barrier is not important will be defined as median ≤3 and ≥75% of ratings between 1 and 3.</w:t>
      </w:r>
    </w:p>
    <w:p>
      <w:pPr>
        <w:numPr>
          <w:ilvl w:val="0"/>
          <w:numId w:val="1021"/>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1"/>
          <w:numId w:val="1022"/>
        </w:numPr>
      </w:pPr>
      <w:r>
        <w:t xml:space="preserve">median modifiability rating ≥7;</w:t>
      </w:r>
    </w:p>
    <w:p>
      <w:pPr>
        <w:pStyle w:val="Compact"/>
        <w:numPr>
          <w:ilvl w:val="1"/>
          <w:numId w:val="1022"/>
        </w:numPr>
      </w:pPr>
      <w:r>
        <w:t xml:space="preserve">IQR ≤2; and</w:t>
      </w:r>
    </w:p>
    <w:p>
      <w:pPr>
        <w:pStyle w:val="Compact"/>
        <w:numPr>
          <w:ilvl w:val="1"/>
          <w:numId w:val="1022"/>
        </w:numPr>
      </w:pPr>
      <w:r>
        <w:t xml:space="preserve">≥75% of valid ratings are 7–9.</w:t>
      </w:r>
    </w:p>
    <w:p>
      <w:pPr>
        <w:numPr>
          <w:ilvl w:val="0"/>
          <w:numId w:val="1021"/>
        </w:numPr>
      </w:pPr>
      <w:r>
        <w:rPr>
          <w:b/>
          <w:bCs/>
        </w:rPr>
        <w:t xml:space="preserve">High-priority intervention</w:t>
      </w:r>
      <w:r>
        <w:t xml:space="preserve">: An intervention will be classified as a</w:t>
      </w:r>
      <w:r>
        <w:t xml:space="preserve"> </w:t>
      </w:r>
      <w:r>
        <w:rPr>
          <w:b/>
          <w:bCs/>
        </w:rPr>
        <w:t xml:space="preserve">high-priority feasible intervention</w:t>
      </w:r>
      <w:r>
        <w:t xml:space="preserve"> </w:t>
      </w:r>
      <w:r>
        <w:t xml:space="preserve">when:</w:t>
      </w:r>
    </w:p>
    <w:p>
      <w:pPr>
        <w:pStyle w:val="Compact"/>
        <w:numPr>
          <w:ilvl w:val="1"/>
          <w:numId w:val="1023"/>
        </w:numPr>
      </w:pPr>
      <w:r>
        <w:t xml:space="preserve">median importance/potential-impact rating ≥7;</w:t>
      </w:r>
    </w:p>
    <w:p>
      <w:pPr>
        <w:pStyle w:val="Compact"/>
        <w:numPr>
          <w:ilvl w:val="1"/>
          <w:numId w:val="1023"/>
        </w:numPr>
      </w:pPr>
      <w:r>
        <w:t xml:space="preserve">IQR ≤2;</w:t>
      </w:r>
    </w:p>
    <w:p>
      <w:pPr>
        <w:pStyle w:val="Compact"/>
        <w:numPr>
          <w:ilvl w:val="1"/>
          <w:numId w:val="1023"/>
        </w:numPr>
      </w:pPr>
      <w:r>
        <w:t xml:space="preserve">≥75% of valid ratings are 7–9; and</w:t>
      </w:r>
    </w:p>
    <w:p>
      <w:pPr>
        <w:pStyle w:val="Compact"/>
        <w:numPr>
          <w:ilvl w:val="1"/>
          <w:numId w:val="1023"/>
        </w:numPr>
      </w:pPr>
      <w:r>
        <w:t xml:space="preserve">≥70% of valid ratings rate feasibility 7–9.</w:t>
      </w:r>
    </w:p>
    <w:p>
      <w:pPr>
        <w:numPr>
          <w:ilvl w:val="0"/>
          <w:numId w:val="1021"/>
        </w:numPr>
      </w:pPr>
      <w:r>
        <w:rPr>
          <w:b/>
          <w:bCs/>
        </w:rPr>
        <w:t xml:space="preserve">Persistent disagreement:</w:t>
      </w:r>
      <w:r>
        <w:t xml:space="preserve"> </w:t>
      </w: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42"/>
    <w:bookmarkStart w:id="43" w:name="feedback-and-anonymity"/>
    <w:p>
      <w:pPr>
        <w:pStyle w:val="Heading2"/>
      </w:pPr>
      <w:r>
        <w:t xml:space="preserve">12.6 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43"/>
    <w:bookmarkStart w:id="44" w:name="panel-attrition-and-response-monitoring"/>
    <w:p>
      <w:pPr>
        <w:pStyle w:val="Heading2"/>
      </w:pPr>
      <w:r>
        <w:t xml:space="preserve">12.7 Panel Attrition and Response Monitoring</w:t>
      </w:r>
    </w:p>
    <w:p>
      <w:pPr>
        <w:pStyle w:val="FirstParagraph"/>
      </w:pPr>
      <w:r>
        <w:t xml:space="preserve">Response rates will be calculated separately for each round using clearly specified denominators:</w:t>
      </w:r>
    </w:p>
    <w:p>
      <w:pPr>
        <w:pStyle w:val="Compact"/>
        <w:numPr>
          <w:ilvl w:val="0"/>
          <w:numId w:val="1024"/>
        </w:numPr>
      </w:pPr>
      <w:r>
        <w:t xml:space="preserve">invited participants;</w:t>
      </w:r>
    </w:p>
    <w:p>
      <w:pPr>
        <w:pStyle w:val="Compact"/>
        <w:numPr>
          <w:ilvl w:val="0"/>
          <w:numId w:val="1024"/>
        </w:numPr>
      </w:pPr>
      <w:r>
        <w:t xml:space="preserve">participants who completed the questionnaire; and</w:t>
      </w:r>
    </w:p>
    <w:p>
      <w:pPr>
        <w:pStyle w:val="Compact"/>
        <w:numPr>
          <w:ilvl w:val="0"/>
          <w:numId w:val="1024"/>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44"/>
    <w:bookmarkEnd w:id="45"/>
    <w:bookmarkStart w:id="46" w:name="data-management"/>
    <w:p>
      <w:pPr>
        <w:pStyle w:val="Heading1"/>
      </w:pPr>
      <w:r>
        <w:t xml:space="preserve">13.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5"/>
        </w:numPr>
      </w:pPr>
      <w:r>
        <w:t xml:space="preserve">verifying valid response ranges;</w:t>
      </w:r>
    </w:p>
    <w:p>
      <w:pPr>
        <w:pStyle w:val="Compact"/>
        <w:numPr>
          <w:ilvl w:val="0"/>
          <w:numId w:val="1025"/>
        </w:numPr>
      </w:pPr>
      <w:r>
        <w:t xml:space="preserve">documenting incomplete questionnaires;</w:t>
      </w:r>
    </w:p>
    <w:p>
      <w:pPr>
        <w:pStyle w:val="Compact"/>
        <w:numPr>
          <w:ilvl w:val="0"/>
          <w:numId w:val="1025"/>
        </w:numPr>
      </w:pPr>
      <w:r>
        <w:t xml:space="preserve">identifying implausible or internally inconsistent administrative data;</w:t>
      </w:r>
    </w:p>
    <w:p>
      <w:pPr>
        <w:pStyle w:val="Compact"/>
        <w:numPr>
          <w:ilvl w:val="0"/>
          <w:numId w:val="1025"/>
        </w:numPr>
      </w:pPr>
      <w:r>
        <w:t xml:space="preserve">maintaining a data-cleaning log; and</w:t>
      </w:r>
    </w:p>
    <w:p>
      <w:pPr>
        <w:pStyle w:val="Compact"/>
        <w:numPr>
          <w:ilvl w:val="0"/>
          <w:numId w:val="1025"/>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46"/>
    <w:bookmarkStart w:id="52" w:name="statistical-analysis"/>
    <w:p>
      <w:pPr>
        <w:pStyle w:val="Heading1"/>
      </w:pPr>
      <w:r>
        <w:t xml:space="preserve">14. Statistical Analysis</w:t>
      </w:r>
    </w:p>
    <w:p>
      <w:pPr>
        <w:pStyle w:val="FirstParagraph"/>
      </w:pPr>
      <w:r>
        <w:t xml:space="preserve">Analysis will be primarily descriptive and consensus-based. For each item and each round, the following will be reported:</w:t>
      </w:r>
    </w:p>
    <w:p>
      <w:pPr>
        <w:pStyle w:val="Compact"/>
        <w:numPr>
          <w:ilvl w:val="0"/>
          <w:numId w:val="1026"/>
        </w:numPr>
      </w:pPr>
      <w:r>
        <w:t xml:space="preserve">number of valid responses;</w:t>
      </w:r>
    </w:p>
    <w:p>
      <w:pPr>
        <w:pStyle w:val="Compact"/>
        <w:numPr>
          <w:ilvl w:val="0"/>
          <w:numId w:val="1026"/>
        </w:numPr>
      </w:pPr>
      <w:r>
        <w:t xml:space="preserve">median;</w:t>
      </w:r>
    </w:p>
    <w:p>
      <w:pPr>
        <w:pStyle w:val="Compact"/>
        <w:numPr>
          <w:ilvl w:val="0"/>
          <w:numId w:val="1026"/>
        </w:numPr>
      </w:pPr>
      <w:r>
        <w:t xml:space="preserve">IQR;</w:t>
      </w:r>
    </w:p>
    <w:p>
      <w:pPr>
        <w:pStyle w:val="Compact"/>
        <w:numPr>
          <w:ilvl w:val="0"/>
          <w:numId w:val="1026"/>
        </w:numPr>
      </w:pPr>
      <w:r>
        <w:t xml:space="preserve">full response distribution;</w:t>
      </w:r>
    </w:p>
    <w:p>
      <w:pPr>
        <w:pStyle w:val="Compact"/>
        <w:numPr>
          <w:ilvl w:val="0"/>
          <w:numId w:val="1026"/>
        </w:numPr>
      </w:pPr>
      <w:r>
        <w:t xml:space="preserve">percentage rating 7–9;</w:t>
      </w:r>
    </w:p>
    <w:p>
      <w:pPr>
        <w:pStyle w:val="Compact"/>
        <w:numPr>
          <w:ilvl w:val="0"/>
          <w:numId w:val="1026"/>
        </w:numPr>
      </w:pPr>
      <w:r>
        <w:t xml:space="preserve">consensus classification; and</w:t>
      </w:r>
    </w:p>
    <w:p>
      <w:pPr>
        <w:pStyle w:val="Compact"/>
        <w:numPr>
          <w:ilvl w:val="0"/>
          <w:numId w:val="1026"/>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47" w:name="change-between-rounds"/>
    <w:p>
      <w:pPr>
        <w:pStyle w:val="Heading2"/>
      </w:pPr>
      <w:r>
        <w:t xml:space="preserve">14.1 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47"/>
    <w:bookmarkStart w:id="48" w:name="subgroup-analysis"/>
    <w:p>
      <w:pPr>
        <w:pStyle w:val="Heading2"/>
      </w:pPr>
      <w:r>
        <w:t xml:space="preserve">14.2 Subgroup analysis</w:t>
      </w:r>
    </w:p>
    <w:p>
      <w:pPr>
        <w:pStyle w:val="FirstParagraph"/>
      </w:pPr>
      <w:r>
        <w:t xml:space="preserve">Ratings will be examined descriptively by predefined stakeholder group:</w:t>
      </w:r>
    </w:p>
    <w:p>
      <w:pPr>
        <w:pStyle w:val="Compact"/>
        <w:numPr>
          <w:ilvl w:val="0"/>
          <w:numId w:val="1027"/>
        </w:numPr>
      </w:pPr>
      <w:r>
        <w:t xml:space="preserve">early-career researchers;</w:t>
      </w:r>
    </w:p>
    <w:p>
      <w:pPr>
        <w:pStyle w:val="Compact"/>
        <w:numPr>
          <w:ilvl w:val="0"/>
          <w:numId w:val="1027"/>
        </w:numPr>
      </w:pPr>
      <w:r>
        <w:t xml:space="preserve">supervisors;</w:t>
      </w:r>
    </w:p>
    <w:p>
      <w:pPr>
        <w:pStyle w:val="Compact"/>
        <w:numPr>
          <w:ilvl w:val="0"/>
          <w:numId w:val="1027"/>
        </w:numPr>
      </w:pPr>
      <w:r>
        <w:t xml:space="preserve">methodologists/biostatisticians; and</w:t>
      </w:r>
    </w:p>
    <w:p>
      <w:pPr>
        <w:pStyle w:val="Compact"/>
        <w:numPr>
          <w:ilvl w:val="0"/>
          <w:numId w:val="1027"/>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48"/>
    <w:bookmarkStart w:id="49" w:name="sensitivity-analyses"/>
    <w:p>
      <w:pPr>
        <w:pStyle w:val="Heading2"/>
      </w:pPr>
      <w:r>
        <w:t xml:space="preserve">14.3 Sensitivity analyses</w:t>
      </w:r>
    </w:p>
    <w:p>
      <w:pPr>
        <w:pStyle w:val="FirstParagraph"/>
      </w:pPr>
      <w:r>
        <w:t xml:space="preserve">Sensitivity analyses will examine whether conclusions change when:</w:t>
      </w:r>
    </w:p>
    <w:p>
      <w:pPr>
        <w:pStyle w:val="Compact"/>
        <w:numPr>
          <w:ilvl w:val="0"/>
          <w:numId w:val="1028"/>
        </w:numPr>
      </w:pPr>
      <w:r>
        <w:t xml:space="preserve">the denominator excludes</w:t>
      </w:r>
      <w:r>
        <w:t xml:space="preserve"> </w:t>
      </w:r>
      <w:r>
        <w:t xml:space="preserve">“cannot judge”</w:t>
      </w:r>
      <w:r>
        <w:t xml:space="preserve"> </w:t>
      </w:r>
      <w:r>
        <w:t xml:space="preserve">responses.</w:t>
      </w:r>
    </w:p>
    <w:p>
      <w:pPr>
        <w:pStyle w:val="Compact"/>
        <w:numPr>
          <w:ilvl w:val="0"/>
          <w:numId w:val="1028"/>
        </w:numPr>
      </w:pPr>
      <w:r>
        <w:t xml:space="preserve">only participants completing both rounds are considered.</w:t>
      </w:r>
    </w:p>
    <w:p>
      <w:pPr>
        <w:pStyle w:val="FirstParagraph"/>
      </w:pPr>
      <w:r>
        <w:t xml:space="preserve">These analyses will be prespecified before the final analysis where feasible.</w:t>
      </w:r>
    </w:p>
    <w:bookmarkEnd w:id="49"/>
    <w:bookmarkStart w:id="50" w:name="stakeholder-validation"/>
    <w:p>
      <w:pPr>
        <w:pStyle w:val="Heading2"/>
      </w:pPr>
      <w:r>
        <w:t xml:space="preserve">14.4 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Participation in the validation workshop will be voluntary and will require separate invitation and consent.</w:t>
      </w:r>
    </w:p>
    <w:p>
      <w:pPr>
        <w:pStyle w:val="BodyText"/>
      </w:pPr>
      <w:r>
        <w:t xml:space="preserve">The workshop will not be used to alter the predefined Delphi consensus classifications. Its purpose will be to:</w:t>
      </w:r>
    </w:p>
    <w:p>
      <w:pPr>
        <w:pStyle w:val="Compact"/>
        <w:numPr>
          <w:ilvl w:val="0"/>
          <w:numId w:val="1029"/>
        </w:numPr>
      </w:pPr>
      <w:r>
        <w:t xml:space="preserve">assess whether the final framework is understandable and practically useful;</w:t>
      </w:r>
    </w:p>
    <w:p>
      <w:pPr>
        <w:pStyle w:val="Compact"/>
        <w:numPr>
          <w:ilvl w:val="0"/>
          <w:numId w:val="1029"/>
        </w:numPr>
      </w:pPr>
      <w:r>
        <w:t xml:space="preserve">identify implementation considerations;</w:t>
      </w:r>
    </w:p>
    <w:p>
      <w:pPr>
        <w:pStyle w:val="Compact"/>
        <w:numPr>
          <w:ilvl w:val="0"/>
          <w:numId w:val="1029"/>
        </w:numPr>
      </w:pPr>
      <w:r>
        <w:t xml:space="preserve">identify unintended consequences or feasibility concerns;</w:t>
      </w:r>
    </w:p>
    <w:p>
      <w:pPr>
        <w:pStyle w:val="Compact"/>
        <w:numPr>
          <w:ilvl w:val="0"/>
          <w:numId w:val="1029"/>
        </w:numPr>
      </w:pPr>
      <w:r>
        <w:t xml:space="preserve">identify gaps requiring future empirical research; and</w:t>
      </w:r>
    </w:p>
    <w:p>
      <w:pPr>
        <w:pStyle w:val="Compact"/>
        <w:numPr>
          <w:ilvl w:val="0"/>
          <w:numId w:val="1029"/>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50"/>
    <w:bookmarkStart w:id="51" w:name="interpretation-framework"/>
    <w:p>
      <w:pPr>
        <w:pStyle w:val="Heading2"/>
      </w:pPr>
      <w:r>
        <w:t xml:space="preserve">14.5 Interpretation Framework</w:t>
      </w:r>
    </w:p>
    <w:p>
      <w:pPr>
        <w:pStyle w:val="FirstParagraph"/>
      </w:pPr>
      <w:r>
        <w:t xml:space="preserve">The final interpretation will reflect what the panel agrees is important, modifiable, or feasible. It will not be presented as direct evidence of intervention effectiveness. Consensus results will only be interpreted if at least three stakeholder categories are represented and no single stakeholder group contributes more than 60% of all valid responses. The steering group may seek additional recruitment within underrepresented stakeholder categories before closure of recruitment where feasible. If this condition is not met, overall consensus results will be reported descriptively but will be labeled as limited in representativeness and will not be used to support the full multilevel action framework.</w:t>
      </w:r>
    </w:p>
    <w:bookmarkEnd w:id="51"/>
    <w:bookmarkEnd w:id="52"/>
    <w:bookmarkStart w:id="53" w:name="bias-and-mitigation-strategies"/>
    <w:p>
      <w:pPr>
        <w:pStyle w:val="Heading1"/>
      </w:pPr>
      <w:r>
        <w:t xml:space="preserve">15. Bias and mitigation strategies</w:t>
      </w:r>
    </w:p>
    <w:p>
      <w:pPr>
        <w:numPr>
          <w:ilvl w:val="0"/>
          <w:numId w:val="1030"/>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30"/>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30"/>
        </w:numPr>
      </w:pPr>
      <w:r>
        <w:t xml:space="preserve">Attrition bias: Loss of participants between rounds may alter the final consensus. Attrition will therefore be reported by stakeholder group and considered when interpreting the findings.</w:t>
      </w:r>
    </w:p>
    <w:bookmarkEnd w:id="53"/>
    <w:bookmarkStart w:id="63" w:name="ethical-considerations-and-governance"/>
    <w:p>
      <w:pPr>
        <w:pStyle w:val="Heading1"/>
      </w:pPr>
      <w:r>
        <w:t xml:space="preserve">16. Ethical Considerations and Governance</w:t>
      </w:r>
    </w:p>
    <w:p>
      <w:pPr>
        <w:pStyle w:val="FirstParagraph"/>
      </w:pPr>
      <w:r>
        <w:t xml:space="preserve">Ethical approval will be sought from the Institutional Review Board (IRB) of the Faculty of Medicine, MTI University.</w:t>
      </w:r>
    </w:p>
    <w:bookmarkStart w:id="54" w:name="informed-consent"/>
    <w:p>
      <w:pPr>
        <w:pStyle w:val="Heading2"/>
      </w:pPr>
      <w:r>
        <w:t xml:space="preserve">16.1 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22.6</w:t>
        </w:r>
      </w:hyperlink>
    </w:p>
    <w:bookmarkEnd w:id="54"/>
    <w:bookmarkStart w:id="55" w:name="participant-information-sheet"/>
    <w:p>
      <w:pPr>
        <w:pStyle w:val="Heading2"/>
      </w:pPr>
      <w:r>
        <w:t xml:space="preserve">16.2 Participant information sheet</w:t>
      </w:r>
    </w:p>
    <w:p>
      <w:pPr>
        <w:pStyle w:val="FirstParagraph"/>
      </w:pPr>
      <w:r>
        <w:t xml:space="preserve">The information sheet (detailed in</w:t>
      </w:r>
      <w:r>
        <w:t xml:space="preserve"> </w:t>
      </w:r>
      <w:hyperlink w:anchor="sec-pis">
        <w:r>
          <w:rPr>
            <w:rStyle w:val="Hyperlink"/>
          </w:rPr>
          <w:t xml:space="preserve">Section 22.5</w:t>
        </w:r>
      </w:hyperlink>
      <w:r>
        <w:t xml:space="preserve">) will include:</w:t>
      </w:r>
    </w:p>
    <w:p>
      <w:pPr>
        <w:pStyle w:val="Compact"/>
        <w:numPr>
          <w:ilvl w:val="0"/>
          <w:numId w:val="1031"/>
        </w:numPr>
      </w:pPr>
      <w:r>
        <w:t xml:space="preserve">the purpose of the study;</w:t>
      </w:r>
    </w:p>
    <w:p>
      <w:pPr>
        <w:pStyle w:val="Compact"/>
        <w:numPr>
          <w:ilvl w:val="0"/>
          <w:numId w:val="1031"/>
        </w:numPr>
      </w:pPr>
      <w:r>
        <w:t xml:space="preserve">what participation involves;</w:t>
      </w:r>
    </w:p>
    <w:p>
      <w:pPr>
        <w:pStyle w:val="Compact"/>
        <w:numPr>
          <w:ilvl w:val="0"/>
          <w:numId w:val="1031"/>
        </w:numPr>
      </w:pPr>
      <w:r>
        <w:t xml:space="preserve">the expected time commitment;</w:t>
      </w:r>
    </w:p>
    <w:p>
      <w:pPr>
        <w:pStyle w:val="Compact"/>
        <w:numPr>
          <w:ilvl w:val="0"/>
          <w:numId w:val="1031"/>
        </w:numPr>
      </w:pPr>
      <w:r>
        <w:t xml:space="preserve">the voluntary nature of participation;</w:t>
      </w:r>
    </w:p>
    <w:p>
      <w:pPr>
        <w:pStyle w:val="Compact"/>
        <w:numPr>
          <w:ilvl w:val="0"/>
          <w:numId w:val="1031"/>
        </w:numPr>
      </w:pPr>
      <w:r>
        <w:t xml:space="preserve">the right to withdraw without penalty;</w:t>
      </w:r>
    </w:p>
    <w:p>
      <w:pPr>
        <w:pStyle w:val="Compact"/>
        <w:numPr>
          <w:ilvl w:val="0"/>
          <w:numId w:val="1031"/>
        </w:numPr>
      </w:pPr>
      <w:r>
        <w:t xml:space="preserve">the right to request removal of data;</w:t>
      </w:r>
    </w:p>
    <w:p>
      <w:pPr>
        <w:pStyle w:val="Compact"/>
        <w:numPr>
          <w:ilvl w:val="0"/>
          <w:numId w:val="1031"/>
        </w:numPr>
      </w:pPr>
      <w:r>
        <w:t xml:space="preserve">confidentiality and anonymity procedures;</w:t>
      </w:r>
    </w:p>
    <w:p>
      <w:pPr>
        <w:pStyle w:val="Compact"/>
        <w:numPr>
          <w:ilvl w:val="0"/>
          <w:numId w:val="1031"/>
        </w:numPr>
      </w:pPr>
      <w:r>
        <w:t xml:space="preserve">the right to request removal of data;</w:t>
      </w:r>
    </w:p>
    <w:p>
      <w:pPr>
        <w:pStyle w:val="Compact"/>
        <w:numPr>
          <w:ilvl w:val="0"/>
          <w:numId w:val="1031"/>
        </w:numPr>
      </w:pPr>
      <w:r>
        <w:t xml:space="preserve">foreseeable risks and benefits;</w:t>
      </w:r>
    </w:p>
    <w:p>
      <w:pPr>
        <w:pStyle w:val="Compact"/>
        <w:numPr>
          <w:ilvl w:val="0"/>
          <w:numId w:val="1031"/>
        </w:numPr>
      </w:pPr>
      <w:r>
        <w:t xml:space="preserve">how data will be used and stored; and</w:t>
      </w:r>
    </w:p>
    <w:p>
      <w:pPr>
        <w:pStyle w:val="Compact"/>
        <w:numPr>
          <w:ilvl w:val="0"/>
          <w:numId w:val="1031"/>
        </w:numPr>
      </w:pPr>
      <w:r>
        <w:t xml:space="preserve">contact information for the research team and ethics committee.</w:t>
      </w:r>
    </w:p>
    <w:bookmarkEnd w:id="55"/>
    <w:bookmarkStart w:id="56" w:name="confidentiality"/>
    <w:p>
      <w:pPr>
        <w:pStyle w:val="Heading2"/>
      </w:pPr>
      <w:r>
        <w:t xml:space="preserve">16.3 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56"/>
    <w:bookmarkStart w:id="57" w:name="protection-of-junior-participants"/>
    <w:p>
      <w:pPr>
        <w:pStyle w:val="Heading2"/>
      </w:pPr>
      <w:r>
        <w:t xml:space="preserve">16.4 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32"/>
        </w:numPr>
      </w:pPr>
      <w:r>
        <w:t xml:space="preserve">invitations will be sent directly to potential participants;</w:t>
      </w:r>
    </w:p>
    <w:p>
      <w:pPr>
        <w:pStyle w:val="Compact"/>
        <w:numPr>
          <w:ilvl w:val="0"/>
          <w:numId w:val="1032"/>
        </w:numPr>
      </w:pPr>
      <w:r>
        <w:t xml:space="preserve">participation will not be arranged through a direct supervisor;</w:t>
      </w:r>
    </w:p>
    <w:p>
      <w:pPr>
        <w:pStyle w:val="Compact"/>
        <w:numPr>
          <w:ilvl w:val="0"/>
          <w:numId w:val="1032"/>
        </w:numPr>
      </w:pPr>
      <w:r>
        <w:t xml:space="preserve">supervisors will not know whether a specific junior researcher participated;</w:t>
      </w:r>
    </w:p>
    <w:p>
      <w:pPr>
        <w:pStyle w:val="Compact"/>
        <w:numPr>
          <w:ilvl w:val="0"/>
          <w:numId w:val="1032"/>
        </w:numPr>
      </w:pPr>
      <w:r>
        <w:t xml:space="preserve">reminders will be automated and sent by research staff who are not in a direct supervisory relationship with potential participants;</w:t>
      </w:r>
    </w:p>
    <w:p>
      <w:pPr>
        <w:pStyle w:val="Compact"/>
        <w:numPr>
          <w:ilvl w:val="0"/>
          <w:numId w:val="1032"/>
        </w:numPr>
      </w:pPr>
      <w:r>
        <w:t xml:space="preserve">participants will not be asked to discuss identifiable supervisory conflicts.</w:t>
      </w:r>
    </w:p>
    <w:bookmarkEnd w:id="57"/>
    <w:bookmarkStart w:id="58" w:name="risks-and-benefits"/>
    <w:p>
      <w:pPr>
        <w:pStyle w:val="Heading2"/>
      </w:pPr>
      <w:r>
        <w:t xml:space="preserve">16.5 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58"/>
    <w:bookmarkStart w:id="59" w:name="compensation-and-reimbursement"/>
    <w:p>
      <w:pPr>
        <w:pStyle w:val="Heading2"/>
      </w:pPr>
      <w:r>
        <w:t xml:space="preserve">16.6 Compensation and reimbursement</w:t>
      </w:r>
    </w:p>
    <w:p>
      <w:pPr>
        <w:pStyle w:val="FirstParagraph"/>
      </w:pPr>
      <w:r>
        <w:t xml:space="preserve">Participants will not receive financial compensation. No reimbursement is anticipated because participation is remote.</w:t>
      </w:r>
    </w:p>
    <w:bookmarkEnd w:id="59"/>
    <w:bookmarkStart w:id="60" w:name="conflicts-of-interest"/>
    <w:p>
      <w:pPr>
        <w:pStyle w:val="Heading2"/>
      </w:pPr>
      <w:r>
        <w:t xml:space="preserve">16.7 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60"/>
    <w:bookmarkStart w:id="61" w:name="protocol-registration-and-amendments"/>
    <w:p>
      <w:pPr>
        <w:pStyle w:val="Heading2"/>
      </w:pPr>
      <w:r>
        <w:t xml:space="preserve">16.8 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61"/>
    <w:bookmarkStart w:id="62" w:name="quality-assurance"/>
    <w:p>
      <w:pPr>
        <w:pStyle w:val="Heading2"/>
      </w:pPr>
      <w:r>
        <w:t xml:space="preserve">16.9 Quality Assurance</w:t>
      </w:r>
    </w:p>
    <w:p>
      <w:pPr>
        <w:pStyle w:val="FirstParagraph"/>
      </w:pPr>
      <w:r>
        <w:t xml:space="preserve">Before launch:</w:t>
      </w:r>
    </w:p>
    <w:p>
      <w:pPr>
        <w:pStyle w:val="Compact"/>
        <w:numPr>
          <w:ilvl w:val="0"/>
          <w:numId w:val="1033"/>
        </w:numPr>
      </w:pPr>
      <w:r>
        <w:t xml:space="preserve">the initial item pool will be reviewed by the steering group.</w:t>
      </w:r>
    </w:p>
    <w:p>
      <w:pPr>
        <w:pStyle w:val="Compact"/>
        <w:numPr>
          <w:ilvl w:val="0"/>
          <w:numId w:val="1033"/>
        </w:numPr>
      </w:pPr>
      <w:r>
        <w:t xml:space="preserve">the questionnaire will be checked for clarity.</w:t>
      </w:r>
    </w:p>
    <w:p>
      <w:pPr>
        <w:pStyle w:val="Compact"/>
        <w:numPr>
          <w:ilvl w:val="0"/>
          <w:numId w:val="1033"/>
        </w:numPr>
      </w:pPr>
      <w:r>
        <w:t xml:space="preserve">the electronic survey will undergo technical testing;</w:t>
      </w:r>
    </w:p>
    <w:p>
      <w:pPr>
        <w:pStyle w:val="Compact"/>
        <w:numPr>
          <w:ilvl w:val="0"/>
          <w:numId w:val="1033"/>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4"/>
        </w:numPr>
      </w:pPr>
      <w:r>
        <w:t xml:space="preserve">the initial item sources;</w:t>
      </w:r>
    </w:p>
    <w:p>
      <w:pPr>
        <w:pStyle w:val="Compact"/>
        <w:numPr>
          <w:ilvl w:val="0"/>
          <w:numId w:val="1034"/>
        </w:numPr>
      </w:pPr>
      <w:r>
        <w:t xml:space="preserve">item revisions;</w:t>
      </w:r>
    </w:p>
    <w:p>
      <w:pPr>
        <w:pStyle w:val="Compact"/>
        <w:numPr>
          <w:ilvl w:val="0"/>
          <w:numId w:val="1034"/>
        </w:numPr>
      </w:pPr>
      <w:r>
        <w:t xml:space="preserve">panel recruitment;</w:t>
      </w:r>
    </w:p>
    <w:p>
      <w:pPr>
        <w:pStyle w:val="Compact"/>
        <w:numPr>
          <w:ilvl w:val="0"/>
          <w:numId w:val="1034"/>
        </w:numPr>
      </w:pPr>
      <w:r>
        <w:t xml:space="preserve">response rates;</w:t>
      </w:r>
    </w:p>
    <w:p>
      <w:pPr>
        <w:pStyle w:val="Compact"/>
        <w:numPr>
          <w:ilvl w:val="0"/>
          <w:numId w:val="1034"/>
        </w:numPr>
      </w:pPr>
      <w:r>
        <w:t xml:space="preserve">consensus decisions;</w:t>
      </w:r>
    </w:p>
    <w:p>
      <w:pPr>
        <w:pStyle w:val="Compact"/>
        <w:numPr>
          <w:ilvl w:val="0"/>
          <w:numId w:val="1034"/>
        </w:numPr>
      </w:pPr>
      <w:r>
        <w:t xml:space="preserve">feedback provided;</w:t>
      </w:r>
    </w:p>
    <w:p>
      <w:pPr>
        <w:pStyle w:val="Compact"/>
        <w:numPr>
          <w:ilvl w:val="0"/>
          <w:numId w:val="1034"/>
        </w:numPr>
      </w:pPr>
      <w:r>
        <w:t xml:space="preserve">attrition;</w:t>
      </w:r>
    </w:p>
    <w:p>
      <w:pPr>
        <w:pStyle w:val="Compact"/>
        <w:numPr>
          <w:ilvl w:val="0"/>
          <w:numId w:val="1034"/>
        </w:numPr>
      </w:pPr>
      <w:r>
        <w:t xml:space="preserve">and final item disposition.</w:t>
      </w:r>
    </w:p>
    <w:bookmarkEnd w:id="62"/>
    <w:bookmarkEnd w:id="63"/>
    <w:bookmarkStart w:id="64" w:name="expected-outputs"/>
    <w:p>
      <w:pPr>
        <w:pStyle w:val="Heading1"/>
      </w:pPr>
      <w:r>
        <w:t xml:space="preserve">17. Expected Outputs</w:t>
      </w:r>
    </w:p>
    <w:p>
      <w:pPr>
        <w:pStyle w:val="FirstParagraph"/>
      </w:pPr>
      <w:r>
        <w:t xml:space="preserve">The study will generate a consensus-based priority framework identifying:</w:t>
      </w:r>
    </w:p>
    <w:p>
      <w:pPr>
        <w:numPr>
          <w:ilvl w:val="0"/>
          <w:numId w:val="1035"/>
        </w:numPr>
      </w:pPr>
      <w:r>
        <w:t xml:space="preserve">important and modifiable barriers to valid, relevant, and high-value medical research among early-career researchers in Egypt; and</w:t>
      </w:r>
    </w:p>
    <w:p>
      <w:pPr>
        <w:numPr>
          <w:ilvl w:val="0"/>
          <w:numId w:val="1035"/>
        </w:numPr>
      </w:pPr>
      <w:r>
        <w:t xml:space="preserve">important, feasible interventions to address these barriers.</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study will generate a consensus-based priority framework to inform subsequent research-capacity planning and implementation research. The framework will represent stakeholder judgments about priorities; it will not establish the causal effectiveness of individual interventions.</w:t>
      </w:r>
    </w:p>
    <w:bookmarkEnd w:id="64"/>
    <w:bookmarkStart w:id="65" w:name="funding-and-sponsorship"/>
    <w:p>
      <w:pPr>
        <w:pStyle w:val="Heading1"/>
      </w:pPr>
      <w:r>
        <w:t xml:space="preserve">18. Funding and Sponsorship</w:t>
      </w:r>
    </w:p>
    <w:p>
      <w:pPr>
        <w:pStyle w:val="FirstParagraph"/>
      </w:pPr>
      <w:r>
        <w:t xml:space="preserve">The study is investigator-initiated and unfunded.</w:t>
      </w:r>
    </w:p>
    <w:bookmarkEnd w:id="65"/>
    <w:bookmarkStart w:id="66" w:name="data-availability-and-open-science"/>
    <w:p>
      <w:pPr>
        <w:pStyle w:val="Heading1"/>
      </w:pPr>
      <w:r>
        <w:t xml:space="preserve">19. 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66"/>
    <w:bookmarkStart w:id="67" w:name="timeline"/>
    <w:p>
      <w:pPr>
        <w:pStyle w:val="Heading1"/>
      </w:pPr>
      <w:r>
        <w:t xml:space="preserve">20. 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and pilot testing;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67"/>
    <w:bookmarkStart w:id="68" w:name="dissemination"/>
    <w:p>
      <w:pPr>
        <w:pStyle w:val="Heading1"/>
      </w:pPr>
      <w:r>
        <w:t xml:space="preserve">21. Dissemination</w:t>
      </w:r>
    </w:p>
    <w:p>
      <w:pPr>
        <w:pStyle w:val="FirstParagraph"/>
      </w:pPr>
      <w:r>
        <w:t xml:space="preserve">Findings will be disseminated through:</w:t>
      </w:r>
    </w:p>
    <w:p>
      <w:pPr>
        <w:pStyle w:val="Compact"/>
        <w:numPr>
          <w:ilvl w:val="0"/>
          <w:numId w:val="1036"/>
        </w:numPr>
      </w:pPr>
      <w:r>
        <w:t xml:space="preserve">peer-reviewed scientific publication;</w:t>
      </w:r>
    </w:p>
    <w:p>
      <w:pPr>
        <w:pStyle w:val="Compact"/>
        <w:numPr>
          <w:ilvl w:val="0"/>
          <w:numId w:val="1036"/>
        </w:numPr>
      </w:pPr>
      <w:r>
        <w:t xml:space="preserve">a policy brief; and</w:t>
      </w:r>
    </w:p>
    <w:p>
      <w:pPr>
        <w:pStyle w:val="Compact"/>
        <w:numPr>
          <w:ilvl w:val="0"/>
          <w:numId w:val="1036"/>
        </w:numPr>
      </w:pPr>
      <w:r>
        <w:t xml:space="preserve">stakeholder-focused webinars;</w:t>
      </w:r>
    </w:p>
    <w:p>
      <w:pPr>
        <w:pStyle w:val="FirstParagraph"/>
      </w:pPr>
      <w:r>
        <w:t xml:space="preserve">Dissemination materials will distinguish between:</w:t>
      </w:r>
    </w:p>
    <w:p>
      <w:pPr>
        <w:pStyle w:val="Compact"/>
        <w:numPr>
          <w:ilvl w:val="0"/>
          <w:numId w:val="1037"/>
        </w:numPr>
      </w:pPr>
      <w:r>
        <w:t xml:space="preserve">barriers that achieved consensus;</w:t>
      </w:r>
    </w:p>
    <w:p>
      <w:pPr>
        <w:pStyle w:val="Compact"/>
        <w:numPr>
          <w:ilvl w:val="0"/>
          <w:numId w:val="1037"/>
        </w:numPr>
      </w:pPr>
      <w:r>
        <w:t xml:space="preserve">interventions that achieved consensus as important and feasible;</w:t>
      </w:r>
    </w:p>
    <w:p>
      <w:pPr>
        <w:pStyle w:val="Compact"/>
        <w:numPr>
          <w:ilvl w:val="0"/>
          <w:numId w:val="1037"/>
        </w:numPr>
      </w:pPr>
      <w:r>
        <w:t xml:space="preserve">areas of persistent disagreement; and</w:t>
      </w:r>
    </w:p>
    <w:p>
      <w:pPr>
        <w:pStyle w:val="Compact"/>
        <w:numPr>
          <w:ilvl w:val="0"/>
          <w:numId w:val="1037"/>
        </w:numPr>
      </w:pPr>
      <w:r>
        <w:t xml:space="preserve">recommendations that require subsequent empirical evaluation.</w:t>
      </w:r>
    </w:p>
    <w:p>
      <w:pPr>
        <w:pStyle w:val="FirstParagraph"/>
      </w:pPr>
      <w:r>
        <w:t xml:space="preserve">Reporting Standards</w:t>
      </w:r>
    </w:p>
    <w:p>
      <w:pPr>
        <w:pStyle w:val="Compact"/>
        <w:numPr>
          <w:ilvl w:val="0"/>
          <w:numId w:val="1038"/>
        </w:numPr>
      </w:pPr>
      <w:r>
        <w:t xml:space="preserve">This protocol is prospectively registered on the Open Science Framework before participant recruitment and data collection begin. The registration identifier is OSF.IO/83G7B.</w:t>
      </w:r>
    </w:p>
    <w:p>
      <w:pPr>
        <w:pStyle w:val="Compact"/>
        <w:numPr>
          <w:ilvl w:val="0"/>
          <w:numId w:val="1038"/>
        </w:numPr>
      </w:pPr>
      <w:r>
        <w:t xml:space="preserve">The completed study will be reported in accordance with the ACCORD guidance for reporting of modified Delphi studies.</w:t>
      </w:r>
      <w:r>
        <w:t xml:space="preserve"> </w:t>
      </w:r>
      <w:r>
        <w:t xml:space="preserve">[10]</w:t>
      </w:r>
    </w:p>
    <w:bookmarkEnd w:id="68"/>
    <w:bookmarkStart w:id="123" w:name="appendices"/>
    <w:p>
      <w:pPr>
        <w:pStyle w:val="Heading1"/>
      </w:pPr>
      <w:r>
        <w:t xml:space="preserve">22. Appendices</w:t>
      </w:r>
    </w:p>
    <w:bookmarkStart w:id="69" w:name="appendix-1.-investigators-and-roles"/>
    <w:p>
      <w:pPr>
        <w:pStyle w:val="Heading2"/>
      </w:pPr>
      <w:r>
        <w:t xml:space="preserve">22.1 Appendix 1. Investigators and Roles</w:t>
      </w:r>
    </w:p>
    <w:p>
      <w:pPr>
        <w:pStyle w:val="Compact"/>
        <w:numPr>
          <w:ilvl w:val="0"/>
          <w:numId w:val="1039"/>
        </w:numPr>
      </w:pPr>
      <w:r>
        <w:rPr>
          <w:b/>
          <w:bCs/>
        </w:rPr>
        <w:t xml:space="preserve">Principal Investigator (PI):</w:t>
      </w:r>
      <w:r>
        <w:t xml:space="preserve"> </w:t>
      </w:r>
      <w:r>
        <w:t xml:space="preserve">Prof. Ashraf Nabhan (Faculty of Medicine, MTI University).</w:t>
      </w:r>
    </w:p>
    <w:p>
      <w:pPr>
        <w:pStyle w:val="Compact"/>
        <w:numPr>
          <w:ilvl w:val="0"/>
          <w:numId w:val="1039"/>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9"/>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9"/>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69"/>
    <w:bookmarkStart w:id="70" w:name="appendix-2.-proposed-barrier-domains"/>
    <w:p>
      <w:pPr>
        <w:pStyle w:val="Heading2"/>
      </w:pPr>
      <w:r>
        <w:t xml:space="preserve">22.2 Appendix 2. Proposed barrier domains</w:t>
      </w:r>
    </w:p>
    <w:p>
      <w:pPr>
        <w:pStyle w:val="Compact"/>
        <w:numPr>
          <w:ilvl w:val="0"/>
          <w:numId w:val="1040"/>
        </w:numPr>
      </w:pPr>
      <w:r>
        <w:t xml:space="preserve">Research question selection and prioritization</w:t>
      </w:r>
    </w:p>
    <w:p>
      <w:pPr>
        <w:pStyle w:val="Compact"/>
        <w:numPr>
          <w:ilvl w:val="0"/>
          <w:numId w:val="1040"/>
        </w:numPr>
      </w:pPr>
      <w:r>
        <w:t xml:space="preserve">Evidence searching and synthesis</w:t>
      </w:r>
    </w:p>
    <w:p>
      <w:pPr>
        <w:pStyle w:val="Compact"/>
        <w:numPr>
          <w:ilvl w:val="0"/>
          <w:numId w:val="1040"/>
        </w:numPr>
      </w:pPr>
      <w:r>
        <w:t xml:space="preserve">Research-methodology knowledge</w:t>
      </w:r>
    </w:p>
    <w:p>
      <w:pPr>
        <w:pStyle w:val="Compact"/>
        <w:numPr>
          <w:ilvl w:val="0"/>
          <w:numId w:val="1040"/>
        </w:numPr>
      </w:pPr>
      <w:r>
        <w:t xml:space="preserve">Biostatistics and data analysis</w:t>
      </w:r>
    </w:p>
    <w:p>
      <w:pPr>
        <w:pStyle w:val="Compact"/>
        <w:numPr>
          <w:ilvl w:val="0"/>
          <w:numId w:val="1040"/>
        </w:numPr>
      </w:pPr>
      <w:r>
        <w:t xml:space="preserve">Scientific writing and reporting</w:t>
      </w:r>
    </w:p>
    <w:p>
      <w:pPr>
        <w:pStyle w:val="Compact"/>
        <w:numPr>
          <w:ilvl w:val="0"/>
          <w:numId w:val="1040"/>
        </w:numPr>
      </w:pPr>
      <w:r>
        <w:t xml:space="preserve">Research supervision and mentorship</w:t>
      </w:r>
    </w:p>
    <w:p>
      <w:pPr>
        <w:pStyle w:val="Compact"/>
        <w:numPr>
          <w:ilvl w:val="0"/>
          <w:numId w:val="1040"/>
        </w:numPr>
      </w:pPr>
      <w:r>
        <w:t xml:space="preserve">Protected research time</w:t>
      </w:r>
    </w:p>
    <w:p>
      <w:pPr>
        <w:pStyle w:val="Compact"/>
        <w:numPr>
          <w:ilvl w:val="0"/>
          <w:numId w:val="1040"/>
        </w:numPr>
      </w:pPr>
      <w:r>
        <w:t xml:space="preserve">Funding and financial resources</w:t>
      </w:r>
    </w:p>
    <w:p>
      <w:pPr>
        <w:pStyle w:val="Compact"/>
        <w:numPr>
          <w:ilvl w:val="0"/>
          <w:numId w:val="1040"/>
        </w:numPr>
      </w:pPr>
      <w:r>
        <w:t xml:space="preserve">Data availability and access</w:t>
      </w:r>
    </w:p>
    <w:p>
      <w:pPr>
        <w:pStyle w:val="Compact"/>
        <w:numPr>
          <w:ilvl w:val="0"/>
          <w:numId w:val="1040"/>
        </w:numPr>
      </w:pPr>
      <w:r>
        <w:t xml:space="preserve">Laboratory and technical infrastructure</w:t>
      </w:r>
    </w:p>
    <w:p>
      <w:pPr>
        <w:pStyle w:val="Compact"/>
        <w:numPr>
          <w:ilvl w:val="0"/>
          <w:numId w:val="1040"/>
        </w:numPr>
      </w:pPr>
      <w:r>
        <w:t xml:space="preserve">Research ethics and administrative processes</w:t>
      </w:r>
    </w:p>
    <w:p>
      <w:pPr>
        <w:pStyle w:val="Compact"/>
        <w:numPr>
          <w:ilvl w:val="0"/>
          <w:numId w:val="1040"/>
        </w:numPr>
      </w:pPr>
      <w:r>
        <w:t xml:space="preserve">Collaboration and multidisciplinary research</w:t>
      </w:r>
    </w:p>
    <w:p>
      <w:pPr>
        <w:pStyle w:val="Compact"/>
        <w:numPr>
          <w:ilvl w:val="0"/>
          <w:numId w:val="1040"/>
        </w:numPr>
      </w:pPr>
      <w:r>
        <w:t xml:space="preserve">Institutional research culture</w:t>
      </w:r>
    </w:p>
    <w:p>
      <w:pPr>
        <w:pStyle w:val="Compact"/>
        <w:numPr>
          <w:ilvl w:val="0"/>
          <w:numId w:val="1040"/>
        </w:numPr>
      </w:pPr>
      <w:r>
        <w:t xml:space="preserve">Academic promotion and incentive structures</w:t>
      </w:r>
    </w:p>
    <w:p>
      <w:pPr>
        <w:pStyle w:val="Compact"/>
        <w:numPr>
          <w:ilvl w:val="0"/>
          <w:numId w:val="1040"/>
        </w:numPr>
      </w:pPr>
      <w:r>
        <w:t xml:space="preserve">Publication and dissemination</w:t>
      </w:r>
    </w:p>
    <w:p>
      <w:pPr>
        <w:pStyle w:val="Compact"/>
        <w:numPr>
          <w:ilvl w:val="0"/>
          <w:numId w:val="1040"/>
        </w:numPr>
      </w:pPr>
      <w:r>
        <w:t xml:space="preserve">Research governance and integrity</w:t>
      </w:r>
    </w:p>
    <w:p>
      <w:pPr>
        <w:pStyle w:val="Compact"/>
        <w:numPr>
          <w:ilvl w:val="0"/>
          <w:numId w:val="1040"/>
        </w:numPr>
      </w:pPr>
      <w:r>
        <w:t xml:space="preserve">National research policy and infrastructure</w:t>
      </w:r>
    </w:p>
    <w:bookmarkEnd w:id="70"/>
    <w:bookmarkStart w:id="71" w:name="Xbad515ac281b62739dfb411df580324f52669ee"/>
    <w:p>
      <w:pPr>
        <w:pStyle w:val="Heading2"/>
      </w:pPr>
      <w:r>
        <w:t xml:space="preserve">22.3 Appendix 3. Proposed intervention domains</w:t>
      </w:r>
    </w:p>
    <w:p>
      <w:pPr>
        <w:pStyle w:val="Compact"/>
        <w:numPr>
          <w:ilvl w:val="0"/>
          <w:numId w:val="1041"/>
        </w:numPr>
      </w:pPr>
      <w:r>
        <w:t xml:space="preserve">Structured research-methodology curricula</w:t>
      </w:r>
    </w:p>
    <w:p>
      <w:pPr>
        <w:pStyle w:val="Compact"/>
        <w:numPr>
          <w:ilvl w:val="0"/>
          <w:numId w:val="1041"/>
        </w:numPr>
      </w:pPr>
      <w:r>
        <w:t xml:space="preserve">Supervisor-development programmes</w:t>
      </w:r>
    </w:p>
    <w:p>
      <w:pPr>
        <w:pStyle w:val="Compact"/>
        <w:numPr>
          <w:ilvl w:val="0"/>
          <w:numId w:val="1041"/>
        </w:numPr>
      </w:pPr>
      <w:r>
        <w:t xml:space="preserve">Formal mentorship systems</w:t>
      </w:r>
    </w:p>
    <w:p>
      <w:pPr>
        <w:pStyle w:val="Compact"/>
        <w:numPr>
          <w:ilvl w:val="0"/>
          <w:numId w:val="1041"/>
        </w:numPr>
      </w:pPr>
      <w:r>
        <w:t xml:space="preserve">Institutional statistical/methodological consultation</w:t>
      </w:r>
    </w:p>
    <w:p>
      <w:pPr>
        <w:pStyle w:val="Compact"/>
        <w:numPr>
          <w:ilvl w:val="0"/>
          <w:numId w:val="1041"/>
        </w:numPr>
      </w:pPr>
      <w:r>
        <w:t xml:space="preserve">Protected research time</w:t>
      </w:r>
    </w:p>
    <w:p>
      <w:pPr>
        <w:pStyle w:val="Compact"/>
        <w:numPr>
          <w:ilvl w:val="0"/>
          <w:numId w:val="1041"/>
        </w:numPr>
      </w:pPr>
      <w:r>
        <w:t xml:space="preserve">Small-grant and seed-funding mechanisms</w:t>
      </w:r>
    </w:p>
    <w:p>
      <w:pPr>
        <w:pStyle w:val="Compact"/>
        <w:numPr>
          <w:ilvl w:val="0"/>
          <w:numId w:val="1041"/>
        </w:numPr>
      </w:pPr>
      <w:r>
        <w:t xml:space="preserve">Shared research infrastructure</w:t>
      </w:r>
    </w:p>
    <w:p>
      <w:pPr>
        <w:pStyle w:val="Compact"/>
        <w:numPr>
          <w:ilvl w:val="0"/>
          <w:numId w:val="1041"/>
        </w:numPr>
      </w:pPr>
      <w:r>
        <w:t xml:space="preserve">Research-support offices</w:t>
      </w:r>
    </w:p>
    <w:p>
      <w:pPr>
        <w:pStyle w:val="Compact"/>
        <w:numPr>
          <w:ilvl w:val="0"/>
          <w:numId w:val="1041"/>
        </w:numPr>
      </w:pPr>
      <w:r>
        <w:t xml:space="preserve">Data-access systems</w:t>
      </w:r>
    </w:p>
    <w:p>
      <w:pPr>
        <w:pStyle w:val="Compact"/>
        <w:numPr>
          <w:ilvl w:val="0"/>
          <w:numId w:val="1041"/>
        </w:numPr>
      </w:pPr>
      <w:r>
        <w:t xml:space="preserve">Research collaboration networks</w:t>
      </w:r>
    </w:p>
    <w:p>
      <w:pPr>
        <w:pStyle w:val="Compact"/>
        <w:numPr>
          <w:ilvl w:val="0"/>
          <w:numId w:val="1041"/>
        </w:numPr>
      </w:pPr>
      <w:r>
        <w:t xml:space="preserve">Research-integrity and reporting training</w:t>
      </w:r>
    </w:p>
    <w:p>
      <w:pPr>
        <w:pStyle w:val="Compact"/>
        <w:numPr>
          <w:ilvl w:val="0"/>
          <w:numId w:val="1041"/>
        </w:numPr>
      </w:pPr>
      <w:r>
        <w:t xml:space="preserve">Incentive and promotion reform</w:t>
      </w:r>
    </w:p>
    <w:p>
      <w:pPr>
        <w:pStyle w:val="Compact"/>
        <w:numPr>
          <w:ilvl w:val="0"/>
          <w:numId w:val="1041"/>
        </w:numPr>
      </w:pPr>
      <w:r>
        <w:t xml:space="preserve">Research-priority setting</w:t>
      </w:r>
    </w:p>
    <w:p>
      <w:pPr>
        <w:pStyle w:val="Compact"/>
        <w:numPr>
          <w:ilvl w:val="0"/>
          <w:numId w:val="1041"/>
        </w:numPr>
      </w:pPr>
      <w:r>
        <w:t xml:space="preserve">National research-capacity programmes</w:t>
      </w:r>
    </w:p>
    <w:p>
      <w:pPr>
        <w:pStyle w:val="Compact"/>
        <w:numPr>
          <w:ilvl w:val="0"/>
          <w:numId w:val="1041"/>
        </w:numPr>
      </w:pPr>
      <w:r>
        <w:t xml:space="preserve">Mechanisms for dissemination and uptake of research findings</w:t>
      </w:r>
    </w:p>
    <w:bookmarkEnd w:id="71"/>
    <w:bookmarkStart w:id="72" w:name="appendix-4.-study-level-audit-trail"/>
    <w:p>
      <w:pPr>
        <w:pStyle w:val="Heading2"/>
      </w:pPr>
      <w:r>
        <w:t xml:space="preserve">22.4 Appendix 4. Study-level audit trail</w:t>
      </w:r>
    </w:p>
    <w:p>
      <w:pPr>
        <w:pStyle w:val="FirstParagraph"/>
      </w:pPr>
      <w:r>
        <w:t xml:space="preserve">The research team will maintain a study-level audit trail containing:</w:t>
      </w:r>
    </w:p>
    <w:p>
      <w:pPr>
        <w:pStyle w:val="Compact"/>
        <w:numPr>
          <w:ilvl w:val="0"/>
          <w:numId w:val="1042"/>
        </w:numPr>
      </w:pPr>
      <w:r>
        <w:t xml:space="preserve">protocol version;</w:t>
      </w:r>
    </w:p>
    <w:p>
      <w:pPr>
        <w:pStyle w:val="Compact"/>
        <w:numPr>
          <w:ilvl w:val="0"/>
          <w:numId w:val="1042"/>
        </w:numPr>
      </w:pPr>
      <w:r>
        <w:t xml:space="preserve">item wording and revisions;</w:t>
      </w:r>
    </w:p>
    <w:p>
      <w:pPr>
        <w:pStyle w:val="Compact"/>
        <w:numPr>
          <w:ilvl w:val="0"/>
          <w:numId w:val="1042"/>
        </w:numPr>
      </w:pPr>
      <w:r>
        <w:t xml:space="preserve">reason for each material item change;</w:t>
      </w:r>
    </w:p>
    <w:p>
      <w:pPr>
        <w:pStyle w:val="Compact"/>
        <w:numPr>
          <w:ilvl w:val="0"/>
          <w:numId w:val="1042"/>
        </w:numPr>
      </w:pPr>
      <w:r>
        <w:t xml:space="preserve">participant recruitment numbers;</w:t>
      </w:r>
    </w:p>
    <w:p>
      <w:pPr>
        <w:pStyle w:val="Compact"/>
        <w:numPr>
          <w:ilvl w:val="0"/>
          <w:numId w:val="1042"/>
        </w:numPr>
      </w:pPr>
      <w:r>
        <w:t xml:space="preserve">stakeholder category;</w:t>
      </w:r>
    </w:p>
    <w:p>
      <w:pPr>
        <w:pStyle w:val="Compact"/>
        <w:numPr>
          <w:ilvl w:val="0"/>
          <w:numId w:val="1042"/>
        </w:numPr>
      </w:pPr>
      <w:r>
        <w:t xml:space="preserve">round-specific response rates;</w:t>
      </w:r>
    </w:p>
    <w:p>
      <w:pPr>
        <w:pStyle w:val="Compact"/>
        <w:numPr>
          <w:ilvl w:val="0"/>
          <w:numId w:val="1042"/>
        </w:numPr>
      </w:pPr>
      <w:r>
        <w:t xml:space="preserve">item-level response distributions;</w:t>
      </w:r>
    </w:p>
    <w:p>
      <w:pPr>
        <w:pStyle w:val="Compact"/>
        <w:numPr>
          <w:ilvl w:val="0"/>
          <w:numId w:val="1042"/>
        </w:numPr>
      </w:pPr>
      <w:r>
        <w:t xml:space="preserve">median and IQR;</w:t>
      </w:r>
    </w:p>
    <w:p>
      <w:pPr>
        <w:pStyle w:val="Compact"/>
        <w:numPr>
          <w:ilvl w:val="0"/>
          <w:numId w:val="1042"/>
        </w:numPr>
      </w:pPr>
      <w:r>
        <w:t xml:space="preserve">consensus classification;</w:t>
      </w:r>
    </w:p>
    <w:p>
      <w:pPr>
        <w:pStyle w:val="Compact"/>
        <w:numPr>
          <w:ilvl w:val="0"/>
          <w:numId w:val="1042"/>
        </w:numPr>
      </w:pPr>
      <w:r>
        <w:t xml:space="preserve">feedback provided to participants;</w:t>
      </w:r>
    </w:p>
    <w:p>
      <w:pPr>
        <w:pStyle w:val="Compact"/>
        <w:numPr>
          <w:ilvl w:val="0"/>
          <w:numId w:val="1042"/>
        </w:numPr>
      </w:pPr>
      <w:r>
        <w:t xml:space="preserve">Round-2 disposition;</w:t>
      </w:r>
    </w:p>
    <w:p>
      <w:pPr>
        <w:pStyle w:val="Compact"/>
        <w:numPr>
          <w:ilvl w:val="0"/>
          <w:numId w:val="1042"/>
        </w:numPr>
      </w:pPr>
      <w:r>
        <w:t xml:space="preserve">subgroup findings;</w:t>
      </w:r>
    </w:p>
    <w:p>
      <w:pPr>
        <w:pStyle w:val="Compact"/>
        <w:numPr>
          <w:ilvl w:val="0"/>
          <w:numId w:val="1042"/>
        </w:numPr>
      </w:pPr>
      <w:r>
        <w:t xml:space="preserve">and documented protocol deviations.</w:t>
      </w:r>
    </w:p>
    <w:bookmarkEnd w:id="72"/>
    <w:bookmarkStart w:id="92" w:name="sec-pis"/>
    <w:p>
      <w:pPr>
        <w:pStyle w:val="Heading2"/>
      </w:pPr>
      <w:r>
        <w:t xml:space="preserve">22.5 Appendix 5. Participant Information Sheet</w:t>
      </w:r>
    </w:p>
    <w:bookmarkStart w:id="73" w:name="study-title"/>
    <w:p>
      <w:pPr>
        <w:pStyle w:val="Heading3"/>
      </w:pPr>
      <w:r>
        <w:t xml:space="preserve">22.5.1 Study title</w:t>
      </w:r>
    </w:p>
    <w:p>
      <w:pPr>
        <w:pStyle w:val="FirstParagraph"/>
      </w:pPr>
      <w:r>
        <w:rPr>
          <w:b/>
          <w:bCs/>
        </w:rPr>
        <w:t xml:space="preserve">Barriers to Valid Medical Research Among Early-Career Researchers in Egypt: A Modified Delphi Study</w:t>
      </w:r>
    </w:p>
    <w:p>
      <w:pPr>
        <w:pStyle w:val="BodyText"/>
      </w:pPr>
      <w:r>
        <w:t xml:space="preserve">Principal Investigator</w:t>
      </w:r>
    </w:p>
    <w:p>
      <w:pPr>
        <w:pStyle w:val="BodyText"/>
      </w:pPr>
      <w:r>
        <w:t xml:space="preserve">Prof. Ashraf Nabhan</w:t>
      </w:r>
      <w:r>
        <w:br/>
      </w:r>
      <w:r>
        <w:t xml:space="preserve">Faculty of Medicine, MTI University</w:t>
      </w:r>
      <w:r>
        <w:br/>
      </w:r>
    </w:p>
    <w:p>
      <w:pPr>
        <w:pStyle w:val="BodyText"/>
      </w:pPr>
      <w:r>
        <w:t xml:space="preserve">Research team</w:t>
      </w:r>
    </w:p>
    <w:p>
      <w:pPr>
        <w:pStyle w:val="BodyText"/>
      </w:pPr>
      <w:r>
        <w:t xml:space="preserve">Research Coordinators: Sara Ibrahim Abdelkader and Omar Ahmed Salem</w:t>
      </w:r>
    </w:p>
    <w:bookmarkEnd w:id="73"/>
    <w:bookmarkStart w:id="74" w:name="invitation-to-take-part"/>
    <w:p>
      <w:pPr>
        <w:pStyle w:val="Heading3"/>
      </w:pPr>
      <w:r>
        <w:t xml:space="preserve">22.5.2 Invitation to take part</w:t>
      </w:r>
    </w:p>
    <w:p>
      <w:pPr>
        <w:pStyle w:val="FirstParagraph"/>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bookmarkEnd w:id="74"/>
    <w:bookmarkStart w:id="75" w:name="why-is-this-study-being-conducted"/>
    <w:p>
      <w:pPr>
        <w:pStyle w:val="Heading3"/>
      </w:pPr>
      <w:r>
        <w:t xml:space="preserve">22.5.3 Why is this study being conducted?</w:t>
      </w:r>
    </w:p>
    <w:p>
      <w:pPr>
        <w:pStyle w:val="FirstParagraph"/>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3"/>
        </w:numPr>
      </w:pPr>
      <w:r>
        <w:t xml:space="preserve">The barriers considered most important in limiting valid, relevant, and high-value medical research among early-career researchers in Egypt.</w:t>
      </w:r>
    </w:p>
    <w:p>
      <w:pPr>
        <w:pStyle w:val="Compact"/>
        <w:numPr>
          <w:ilvl w:val="0"/>
          <w:numId w:val="1043"/>
        </w:numPr>
      </w:pPr>
      <w:r>
        <w:t xml:space="preserve">Which barriers are considered modifiable.</w:t>
      </w:r>
    </w:p>
    <w:p>
      <w:pPr>
        <w:pStyle w:val="Compact"/>
        <w:numPr>
          <w:ilvl w:val="0"/>
          <w:numId w:val="1043"/>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bookmarkEnd w:id="75"/>
    <w:bookmarkStart w:id="76" w:name="why-have-i-been-invited"/>
    <w:p>
      <w:pPr>
        <w:pStyle w:val="Heading3"/>
      </w:pPr>
      <w:r>
        <w:t xml:space="preserve">22.5.4 Why have I been invited?</w:t>
      </w:r>
    </w:p>
    <w:p>
      <w:pPr>
        <w:pStyle w:val="FirstParagraph"/>
      </w:pPr>
      <w:r>
        <w:t xml:space="preserve">You have been invited because of your experience in one or more areas relevant to medical research in Egypt. Eligible participants may include:</w:t>
      </w:r>
    </w:p>
    <w:p>
      <w:pPr>
        <w:pStyle w:val="Compact"/>
        <w:numPr>
          <w:ilvl w:val="0"/>
          <w:numId w:val="1044"/>
        </w:numPr>
      </w:pPr>
      <w:r>
        <w:t xml:space="preserve">Medical students, house officers, residents, teaching assistants, assistant lecturers, or equivalent early-career medical researchers.</w:t>
      </w:r>
    </w:p>
    <w:p>
      <w:pPr>
        <w:pStyle w:val="Compact"/>
        <w:numPr>
          <w:ilvl w:val="0"/>
          <w:numId w:val="1044"/>
        </w:numPr>
      </w:pPr>
      <w:r>
        <w:t xml:space="preserve">Research supervisors.</w:t>
      </w:r>
    </w:p>
    <w:p>
      <w:pPr>
        <w:pStyle w:val="Compact"/>
        <w:numPr>
          <w:ilvl w:val="0"/>
          <w:numId w:val="1044"/>
        </w:numPr>
      </w:pPr>
      <w:r>
        <w:t xml:space="preserve">Biostatisticians, epidemiologists, research methodologists, evidence-synthesis specialists, qualitative researchers, or related experts.</w:t>
      </w:r>
    </w:p>
    <w:p>
      <w:pPr>
        <w:pStyle w:val="Compact"/>
        <w:numPr>
          <w:ilvl w:val="0"/>
          <w:numId w:val="1044"/>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bookmarkEnd w:id="76"/>
    <w:bookmarkStart w:id="79" w:name="what-will-happen-if-i-take-part"/>
    <w:p>
      <w:pPr>
        <w:pStyle w:val="Heading3"/>
      </w:pPr>
      <w:r>
        <w:t xml:space="preserve">22.5.5 What will happen if I take part?</w:t>
      </w:r>
    </w:p>
    <w:p>
      <w:pPr>
        <w:pStyle w:val="FirstParagraph"/>
      </w:pPr>
      <w:r>
        <w:t xml:space="preserve">This is a two-round online modified Delphi study.</w:t>
      </w:r>
    </w:p>
    <w:bookmarkStart w:id="77" w:name="round-1"/>
    <w:p>
      <w:pPr>
        <w:pStyle w:val="Heading4"/>
      </w:pPr>
      <w:r>
        <w:t xml:space="preserve">22.5.5.1 Round 1</w:t>
      </w:r>
    </w:p>
    <w:p>
      <w:pPr>
        <w:pStyle w:val="FirstParagraph"/>
      </w:pPr>
      <w:r>
        <w:t xml:space="preserve">If you agree to participate:</w:t>
      </w:r>
    </w:p>
    <w:p>
      <w:pPr>
        <w:pStyle w:val="Compact"/>
        <w:numPr>
          <w:ilvl w:val="0"/>
          <w:numId w:val="1045"/>
        </w:numPr>
      </w:pPr>
      <w:r>
        <w:t xml:space="preserve">You will complete an electronic consent form.</w:t>
      </w:r>
    </w:p>
    <w:p>
      <w:pPr>
        <w:pStyle w:val="Compact"/>
        <w:numPr>
          <w:ilvl w:val="0"/>
          <w:numId w:val="1045"/>
        </w:numPr>
      </w:pPr>
      <w:r>
        <w:t xml:space="preserve">You will be asked a small number of background questions, such as your stakeholder category, career stage, type of institution, and research-related experience.</w:t>
      </w:r>
    </w:p>
    <w:p>
      <w:pPr>
        <w:pStyle w:val="Compact"/>
        <w:numPr>
          <w:ilvl w:val="0"/>
          <w:numId w:val="1045"/>
        </w:numPr>
      </w:pPr>
      <w:r>
        <w:t xml:space="preserve">You will rate a series of candidate barriers on two 9-point scales:</w:t>
      </w:r>
    </w:p>
    <w:p>
      <w:pPr>
        <w:pStyle w:val="Compact"/>
        <w:numPr>
          <w:ilvl w:val="1"/>
          <w:numId w:val="1046"/>
        </w:numPr>
      </w:pPr>
      <w:r>
        <w:rPr>
          <w:b/>
          <w:bCs/>
        </w:rPr>
        <w:t xml:space="preserve">Importance:</w:t>
      </w:r>
      <w:r>
        <w:t xml:space="preserve"> </w:t>
      </w:r>
      <w:r>
        <w:t xml:space="preserve">from 1 = not important at all to 9 = extremely important.</w:t>
      </w:r>
    </w:p>
    <w:p>
      <w:pPr>
        <w:pStyle w:val="Compact"/>
        <w:numPr>
          <w:ilvl w:val="1"/>
          <w:numId w:val="1046"/>
        </w:numPr>
      </w:pPr>
      <w:r>
        <w:rPr>
          <w:b/>
          <w:bCs/>
        </w:rPr>
        <w:t xml:space="preserve">Modifiability:</w:t>
      </w:r>
      <w:r>
        <w:t xml:space="preserve"> </w:t>
      </w:r>
      <w:r>
        <w:t xml:space="preserve">from 1 = not modifiable to 9 = highly modifiable.</w:t>
      </w:r>
    </w:p>
    <w:p>
      <w:pPr>
        <w:pStyle w:val="Compact"/>
        <w:numPr>
          <w:ilvl w:val="0"/>
          <w:numId w:val="1045"/>
        </w:numPr>
      </w:pPr>
      <w:r>
        <w:t xml:space="preserve">You may select “cannot judge / insufficient experience” for any item you do not feel able to rate.</w:t>
      </w:r>
    </w:p>
    <w:p>
      <w:pPr>
        <w:pStyle w:val="Compact"/>
        <w:numPr>
          <w:ilvl w:val="0"/>
          <w:numId w:val="1045"/>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bookmarkEnd w:id="77"/>
    <w:bookmarkStart w:id="78" w:name="round-2"/>
    <w:p>
      <w:pPr>
        <w:pStyle w:val="Heading4"/>
      </w:pPr>
      <w:r>
        <w:t xml:space="preserve">22.5.5.2 Round 2</w:t>
      </w:r>
    </w:p>
    <w:p>
      <w:pPr>
        <w:pStyle w:val="FirstParagraph"/>
      </w:pPr>
      <w:r>
        <w:t xml:space="preserve">Participants who complete Round 1 may be invited to take part in Round 2.</w:t>
      </w:r>
    </w:p>
    <w:p>
      <w:pPr>
        <w:pStyle w:val="BodyText"/>
      </w:pPr>
      <w:r>
        <w:t xml:space="preserve">In Round 2:</w:t>
      </w:r>
    </w:p>
    <w:p>
      <w:pPr>
        <w:pStyle w:val="Compact"/>
        <w:numPr>
          <w:ilvl w:val="0"/>
          <w:numId w:val="1047"/>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47"/>
        </w:numPr>
      </w:pPr>
      <w:r>
        <w:t xml:space="preserve">You will be asked to reconsider and re-rate retained or revised barrier items.</w:t>
      </w:r>
    </w:p>
    <w:p>
      <w:pPr>
        <w:pStyle w:val="Compact"/>
        <w:numPr>
          <w:ilvl w:val="0"/>
          <w:numId w:val="1047"/>
        </w:numPr>
      </w:pPr>
      <w:r>
        <w:t xml:space="preserve">You will rate candidate interventions according to:</w:t>
      </w:r>
    </w:p>
    <w:p>
      <w:pPr>
        <w:pStyle w:val="Compact"/>
        <w:numPr>
          <w:ilvl w:val="1"/>
          <w:numId w:val="1048"/>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48"/>
        </w:numPr>
      </w:pPr>
      <w:r>
        <w:rPr>
          <w:b/>
          <w:bCs/>
        </w:rPr>
        <w:t xml:space="preserve">Feasibility:</w:t>
      </w:r>
      <w:r>
        <w:t xml:space="preserve"> </w:t>
      </w:r>
      <w:r>
        <w:t xml:space="preserve">from 1 = not feasible to 9 = highly feasible.</w:t>
      </w:r>
    </w:p>
    <w:p>
      <w:pPr>
        <w:pStyle w:val="Compact"/>
        <w:numPr>
          <w:ilvl w:val="0"/>
          <w:numId w:val="1047"/>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15 minutes</w:t>
      </w:r>
      <w:r>
        <w:t xml:space="preserve">.</w:t>
      </w:r>
    </w:p>
    <w:p>
      <w:pPr>
        <w:pStyle w:val="BodyText"/>
      </w:pPr>
      <w:r>
        <w:t xml:space="preserve">There will be no face-to-face group discussion. You will not be asked to interact with other participants.</w:t>
      </w:r>
    </w:p>
    <w:bookmarkEnd w:id="78"/>
    <w:bookmarkEnd w:id="79"/>
    <w:bookmarkStart w:id="80" w:name="what-should-i-consider-when-responding"/>
    <w:p>
      <w:pPr>
        <w:pStyle w:val="Heading3"/>
      </w:pPr>
      <w:r>
        <w:t xml:space="preserve">22.5.6 What should I consider when responding?</w:t>
      </w:r>
    </w:p>
    <w:p>
      <w:pPr>
        <w:pStyle w:val="FirstParagraph"/>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9"/>
        </w:numPr>
      </w:pPr>
      <w:r>
        <w:t xml:space="preserve">Names of colleagues, supervisors, students, institutions, departments, hospitals, or organizations.</w:t>
      </w:r>
    </w:p>
    <w:p>
      <w:pPr>
        <w:pStyle w:val="Compact"/>
        <w:numPr>
          <w:ilvl w:val="0"/>
          <w:numId w:val="1049"/>
        </w:numPr>
      </w:pPr>
      <w:r>
        <w:t xml:space="preserve">Confidential organizational information.</w:t>
      </w:r>
    </w:p>
    <w:p>
      <w:pPr>
        <w:pStyle w:val="Compact"/>
        <w:numPr>
          <w:ilvl w:val="0"/>
          <w:numId w:val="1049"/>
        </w:numPr>
      </w:pPr>
      <w:r>
        <w:t xml:space="preserve">Allegations about named individuals.</w:t>
      </w:r>
    </w:p>
    <w:p>
      <w:pPr>
        <w:pStyle w:val="Compact"/>
        <w:numPr>
          <w:ilvl w:val="0"/>
          <w:numId w:val="1049"/>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bookmarkEnd w:id="80"/>
    <w:bookmarkStart w:id="81" w:name="is-participation-voluntary"/>
    <w:p>
      <w:pPr>
        <w:pStyle w:val="Heading3"/>
      </w:pPr>
      <w:r>
        <w:t xml:space="preserve">22.5.7 Is participation voluntary?</w:t>
      </w:r>
    </w:p>
    <w:p>
      <w:pPr>
        <w:pStyle w:val="FirstParagraph"/>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bookmarkEnd w:id="81"/>
    <w:bookmarkStart w:id="83" w:name="can-i-withdraw"/>
    <w:p>
      <w:pPr>
        <w:pStyle w:val="Heading3"/>
      </w:pPr>
      <w:r>
        <w:t xml:space="preserve">22.5.8 Can I withdraw?</w:t>
      </w:r>
    </w:p>
    <w:p>
      <w:pPr>
        <w:pStyle w:val="FirstParagraph"/>
      </w:pPr>
      <w:r>
        <w:t xml:space="preserve">You may stop the survey at any time before submitting it, without giving a reason.</w:t>
      </w:r>
    </w:p>
    <w:p>
      <w:pPr>
        <w:pStyle w:val="BodyText"/>
      </w:pPr>
      <w:r>
        <w:t xml:space="preserve">After submitting a survey, you may request withdrawal of your data by contacting the research team at at</w:t>
      </w:r>
      <w:r>
        <w:t xml:space="preserve"> </w:t>
      </w:r>
      <w:hyperlink r:id="rId82">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bookmarkEnd w:id="83"/>
    <w:bookmarkStart w:id="84" w:name="what-are-the-possible-risks"/>
    <w:p>
      <w:pPr>
        <w:pStyle w:val="Heading3"/>
      </w:pPr>
      <w:r>
        <w:t xml:space="preserve">22.5.9 What are the possible risks?</w:t>
      </w:r>
    </w:p>
    <w:p>
      <w:pPr>
        <w:pStyle w:val="FirstParagraph"/>
      </w:pPr>
      <w:r>
        <w:t xml:space="preserve">This study is expected to involve no more than minimal risk.</w:t>
      </w:r>
    </w:p>
    <w:p>
      <w:pPr>
        <w:pStyle w:val="BodyText"/>
      </w:pPr>
      <w:r>
        <w:t xml:space="preserve">Possible risks include:</w:t>
      </w:r>
    </w:p>
    <w:p>
      <w:pPr>
        <w:pStyle w:val="Compact"/>
        <w:numPr>
          <w:ilvl w:val="0"/>
          <w:numId w:val="1050"/>
        </w:numPr>
      </w:pPr>
      <w:r>
        <w:t xml:space="preserve">Minimal discomfort when considering barriers related to supervision, institutional support, research governance, or research culture.</w:t>
      </w:r>
    </w:p>
    <w:p>
      <w:pPr>
        <w:pStyle w:val="Compact"/>
        <w:numPr>
          <w:ilvl w:val="0"/>
          <w:numId w:val="1050"/>
        </w:numPr>
      </w:pPr>
      <w:r>
        <w:t xml:space="preserve">Concern that professional or institutional views could be recognized.</w:t>
      </w:r>
    </w:p>
    <w:p>
      <w:pPr>
        <w:pStyle w:val="FirstParagraph"/>
      </w:pPr>
      <w:r>
        <w:t xml:space="preserve">To reduce these risks:</w:t>
      </w:r>
    </w:p>
    <w:p>
      <w:pPr>
        <w:pStyle w:val="Compact"/>
        <w:numPr>
          <w:ilvl w:val="0"/>
          <w:numId w:val="1051"/>
        </w:numPr>
      </w:pPr>
      <w:r>
        <w:t xml:space="preserve">Participation will occur through an electronic survey rather than a group discussion.</w:t>
      </w:r>
    </w:p>
    <w:p>
      <w:pPr>
        <w:pStyle w:val="Compact"/>
        <w:numPr>
          <w:ilvl w:val="0"/>
          <w:numId w:val="1051"/>
        </w:numPr>
      </w:pPr>
      <w:r>
        <w:t xml:space="preserve">Individual ratings will not be shown to other participants.</w:t>
      </w:r>
    </w:p>
    <w:p>
      <w:pPr>
        <w:pStyle w:val="Compact"/>
        <w:numPr>
          <w:ilvl w:val="0"/>
          <w:numId w:val="1051"/>
        </w:numPr>
      </w:pPr>
      <w:r>
        <w:t xml:space="preserve">Feedback between rounds will be presented only in aggregate form.</w:t>
      </w:r>
    </w:p>
    <w:p>
      <w:pPr>
        <w:pStyle w:val="Compact"/>
        <w:numPr>
          <w:ilvl w:val="0"/>
          <w:numId w:val="1051"/>
        </w:numPr>
      </w:pPr>
      <w:r>
        <w:t xml:space="preserve">Identifying contact information will be stored separately from survey responses.</w:t>
      </w:r>
    </w:p>
    <w:p>
      <w:pPr>
        <w:pStyle w:val="Compact"/>
        <w:numPr>
          <w:ilvl w:val="0"/>
          <w:numId w:val="1051"/>
        </w:numPr>
      </w:pPr>
      <w:r>
        <w:t xml:space="preserve">The analysis dataset will use a study identifier rather than your name or email address.</w:t>
      </w:r>
    </w:p>
    <w:p>
      <w:pPr>
        <w:pStyle w:val="Compact"/>
        <w:numPr>
          <w:ilvl w:val="0"/>
          <w:numId w:val="1051"/>
        </w:numPr>
      </w:pPr>
      <w:r>
        <w:t xml:space="preserve">Reports will present aggregated findings and will avoid reporting small cells or details that could identify an individual or institution.</w:t>
      </w:r>
    </w:p>
    <w:p>
      <w:pPr>
        <w:pStyle w:val="Compact"/>
        <w:numPr>
          <w:ilvl w:val="0"/>
          <w:numId w:val="1051"/>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bookmarkEnd w:id="84"/>
    <w:bookmarkStart w:id="85" w:name="are-there-benefits-to-taking-part"/>
    <w:p>
      <w:pPr>
        <w:pStyle w:val="Heading3"/>
      </w:pPr>
      <w:r>
        <w:t xml:space="preserve">22.5.10 Are there benefits to taking part?</w:t>
      </w:r>
    </w:p>
    <w:p>
      <w:pPr>
        <w:pStyle w:val="FirstParagraph"/>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bookmarkEnd w:id="85"/>
    <w:bookmarkStart w:id="86" w:name="will-i-be-paid-or-reimbursed"/>
    <w:p>
      <w:pPr>
        <w:pStyle w:val="Heading3"/>
      </w:pPr>
      <w:r>
        <w:t xml:space="preserve">22.5.11 Will I be paid or reimbursed?</w:t>
      </w:r>
    </w:p>
    <w:p>
      <w:pPr>
        <w:pStyle w:val="FirstParagraph"/>
      </w:pPr>
      <w:r>
        <w:t xml:space="preserve">You will not receive payment. Participants who complete both rounds may receive a certificate of participation, if requested. The certificate will not include your ratings or comments.</w:t>
      </w:r>
    </w:p>
    <w:bookmarkEnd w:id="86"/>
    <w:bookmarkStart w:id="87" w:name="Xf74caa49acb59ac73d1cdbb8c8aeb45e7e15fa1"/>
    <w:p>
      <w:pPr>
        <w:pStyle w:val="Heading3"/>
      </w:pPr>
      <w:r>
        <w:t xml:space="preserve">22.5.12 How will my information be kept confidential?</w:t>
      </w:r>
    </w:p>
    <w:p>
      <w:pPr>
        <w:pStyle w:val="FirstParagraph"/>
      </w:pPr>
      <w:r>
        <w:t xml:space="preserve">The study will collect limited contact information, such as your name and email address, only to send invitations, reminders, and the Round-2 link.</w:t>
      </w:r>
    </w:p>
    <w:p>
      <w:pPr>
        <w:pStyle w:val="BodyText"/>
      </w:pPr>
      <w:r>
        <w:t xml:space="preserve">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designated members of the research team will have access to the contact and linkage file. Steering-group members, supervisors, institutional leaders, and other participants will not have access to identifiable individual responses.</w:t>
      </w:r>
    </w:p>
    <w:p>
      <w:pPr>
        <w:pStyle w:val="BodyText"/>
      </w:pPr>
      <w:r>
        <w:t xml:space="preserve">Survey data will be stored on Microsoft University servers and exported to secure, password-protected, access-controlled institutional storage .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bookmarkEnd w:id="87"/>
    <w:bookmarkStart w:id="88" w:name="how-long-will-data-be-kept"/>
    <w:p>
      <w:pPr>
        <w:pStyle w:val="Heading3"/>
      </w:pPr>
      <w:r>
        <w:t xml:space="preserve">22.5.13 How long will data be kept?</w:t>
      </w:r>
    </w:p>
    <w:p>
      <w:pPr>
        <w:pStyle w:val="FirstParagraph"/>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bookmarkEnd w:id="88"/>
    <w:bookmarkStart w:id="89" w:name="will-my-information-be-shared"/>
    <w:p>
      <w:pPr>
        <w:pStyle w:val="Heading3"/>
      </w:pPr>
      <w:r>
        <w:t xml:space="preserve">22.5.14 Will my information be shared?</w:t>
      </w:r>
    </w:p>
    <w:p>
      <w:pPr>
        <w:pStyle w:val="FirstParagraph"/>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52"/>
        </w:numPr>
      </w:pPr>
      <w:r>
        <w:t xml:space="preserve">Aggregated study findings.</w:t>
      </w:r>
    </w:p>
    <w:p>
      <w:pPr>
        <w:pStyle w:val="Compact"/>
        <w:numPr>
          <w:ilvl w:val="0"/>
          <w:numId w:val="1052"/>
        </w:numPr>
      </w:pPr>
      <w:r>
        <w:t xml:space="preserve">The final questionnaire.</w:t>
      </w:r>
    </w:p>
    <w:p>
      <w:pPr>
        <w:pStyle w:val="Compact"/>
        <w:numPr>
          <w:ilvl w:val="0"/>
          <w:numId w:val="1052"/>
        </w:numPr>
      </w:pPr>
      <w:r>
        <w:t xml:space="preserve">Item-development documentation.</w:t>
      </w:r>
    </w:p>
    <w:p>
      <w:pPr>
        <w:pStyle w:val="Compact"/>
        <w:numPr>
          <w:ilvl w:val="0"/>
          <w:numId w:val="1052"/>
        </w:numPr>
      </w:pPr>
      <w:r>
        <w:t xml:space="preserve">De-identified numerical data.</w:t>
      </w:r>
    </w:p>
    <w:p>
      <w:pPr>
        <w:pStyle w:val="Compact"/>
        <w:numPr>
          <w:ilvl w:val="0"/>
          <w:numId w:val="1052"/>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3"/>
        </w:numPr>
      </w:pPr>
      <w:r>
        <w:t xml:space="preserve">Names, email addresses, and contact information.</w:t>
      </w:r>
    </w:p>
    <w:p>
      <w:pPr>
        <w:pStyle w:val="Compact"/>
        <w:numPr>
          <w:ilvl w:val="0"/>
          <w:numId w:val="1053"/>
        </w:numPr>
      </w:pPr>
      <w:r>
        <w:t xml:space="preserve">Consent records.</w:t>
      </w:r>
    </w:p>
    <w:p>
      <w:pPr>
        <w:pStyle w:val="Compact"/>
        <w:numPr>
          <w:ilvl w:val="0"/>
          <w:numId w:val="1053"/>
        </w:numPr>
      </w:pPr>
      <w:r>
        <w:t xml:space="preserve">The linkage file.</w:t>
      </w:r>
    </w:p>
    <w:p>
      <w:pPr>
        <w:pStyle w:val="Compact"/>
        <w:numPr>
          <w:ilvl w:val="0"/>
          <w:numId w:val="1053"/>
        </w:numPr>
      </w:pPr>
      <w:r>
        <w:t xml:space="preserve">Raw identifiable comments.</w:t>
      </w:r>
    </w:p>
    <w:p>
      <w:pPr>
        <w:pStyle w:val="Compact"/>
        <w:numPr>
          <w:ilvl w:val="0"/>
          <w:numId w:val="1053"/>
        </w:numPr>
      </w:pPr>
      <w:r>
        <w:t xml:space="preserve">Information that could reasonably identify an individual, institution, department, or organization.</w:t>
      </w:r>
    </w:p>
    <w:bookmarkEnd w:id="89"/>
    <w:bookmarkStart w:id="90" w:name="who-has-reviewed-this-study"/>
    <w:p>
      <w:pPr>
        <w:pStyle w:val="Heading3"/>
      </w:pPr>
      <w:r>
        <w:t xml:space="preserve">22.5.15 Who has reviewed this study?</w:t>
      </w:r>
    </w:p>
    <w:p>
      <w:pPr>
        <w:pStyle w:val="FirstParagraph"/>
      </w:pPr>
      <w:r>
        <w:t xml:space="preserve">This study has been reviewed by</w:t>
      </w:r>
      <w:r>
        <w:t xml:space="preserve"> </w:t>
      </w:r>
      <w:r>
        <w:rPr>
          <w:b/>
          <w:bCs/>
        </w:rPr>
        <w:t xml:space="preserve">Institutional Review Board, Faculty of Medicine, MTI University</w:t>
      </w:r>
    </w:p>
    <w:bookmarkEnd w:id="90"/>
    <w:bookmarkStart w:id="91" w:name="who-can-i-contact"/>
    <w:p>
      <w:pPr>
        <w:pStyle w:val="Heading3"/>
      </w:pPr>
      <w:r>
        <w:t xml:space="preserve">22.5.16 Who can I contact?</w:t>
      </w:r>
    </w:p>
    <w:p>
      <w:pPr>
        <w:pStyle w:val="FirstParagraph"/>
      </w:pPr>
      <w:r>
        <w:t xml:space="preserve">For questions about the study, participation, withdrawal, or data handling, please contact the study team at</w:t>
      </w:r>
      <w:r>
        <w:t xml:space="preserve"> </w:t>
      </w:r>
      <w:hyperlink r:id="rId82">
        <w:r>
          <w:rPr>
            <w:rStyle w:val="Hyperlink"/>
          </w:rPr>
          <w:t xml:space="preserve">ecr@med.asu.edu.eg</w:t>
        </w:r>
      </w:hyperlink>
    </w:p>
    <w:p>
      <w:pPr>
        <w:pStyle w:val="BodyText"/>
      </w:pPr>
      <w:r>
        <w:rPr>
          <w:b/>
          <w:bCs/>
        </w:rPr>
        <w:t xml:space="preserve">Prof. Ashraf Nabhan, Principal Investigator</w:t>
      </w:r>
    </w:p>
    <w:p>
      <w:pPr>
        <w:pStyle w:val="BodyText"/>
      </w:pPr>
      <w:r>
        <w:rPr>
          <w:b/>
          <w:bCs/>
        </w:rPr>
        <w:t xml:space="preserve">Research Coordinator</w:t>
      </w:r>
      <w:r>
        <w:br/>
      </w:r>
      <w:r>
        <w:t xml:space="preserve">Name: Sara Ibrahim</w:t>
      </w:r>
      <w:r>
        <w:br/>
      </w:r>
      <w:r>
        <w:t xml:space="preserve">Name: Omar Ahmed Salem</w:t>
      </w:r>
      <w:r>
        <w:br/>
      </w:r>
    </w:p>
    <w:p>
      <w:pPr>
        <w:pStyle w:val="BodyText"/>
      </w:pPr>
      <w:r>
        <w:t xml:space="preserve">For questions about your rights as a research participant, or to make a complaint that you prefer not to discuss with the research team:</w:t>
      </w:r>
    </w:p>
    <w:p>
      <w:pPr>
        <w:pStyle w:val="BodyText"/>
      </w:pPr>
      <w:r>
        <w:rPr>
          <w:b/>
          <w:bCs/>
        </w:rPr>
        <w:t xml:space="preserve">MTI University Institutional Review Board</w:t>
      </w:r>
      <w:r>
        <w:br/>
      </w:r>
      <w:r>
        <w:t xml:space="preserve">Email: irb@mti.edu.eg</w:t>
      </w:r>
      <w:r>
        <w:br/>
      </w:r>
    </w:p>
    <w:bookmarkEnd w:id="91"/>
    <w:bookmarkEnd w:id="92"/>
    <w:bookmarkStart w:id="122" w:name="sec-consent"/>
    <w:p>
      <w:pPr>
        <w:pStyle w:val="Heading2"/>
      </w:pPr>
      <w:r>
        <w:t xml:space="preserve">22.6 Appendix 6. Electronic Consent Form</w:t>
      </w:r>
    </w:p>
    <w:bookmarkStart w:id="93" w:name="study-title-1"/>
    <w:p>
      <w:pPr>
        <w:pStyle w:val="Heading3"/>
      </w:pPr>
      <w:r>
        <w:t xml:space="preserve">22.6.1 Study title</w:t>
      </w:r>
    </w:p>
    <w:p>
      <w:pPr>
        <w:pStyle w:val="FirstParagraph"/>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bookmarkEnd w:id="93"/>
    <w:bookmarkStart w:id="94" w:name="eligibility-confirmation"/>
    <w:p>
      <w:pPr>
        <w:pStyle w:val="Heading3"/>
      </w:pPr>
      <w:r>
        <w:t xml:space="preserve">22.6.2 Eligibility confirmation</w:t>
      </w:r>
    </w:p>
    <w:p>
      <w:pPr>
        <w:pStyle w:val="Compact"/>
        <w:numPr>
          <w:ilvl w:val="0"/>
          <w:numId w:val="1054"/>
        </w:numPr>
      </w:pPr>
      <w:r>
        <w:t xml:space="preserve">I confirm that I am aged 18 years or older.</w:t>
      </w:r>
    </w:p>
    <w:p>
      <w:pPr>
        <w:pStyle w:val="Compact"/>
        <w:numPr>
          <w:ilvl w:val="0"/>
          <w:numId w:val="1055"/>
        </w:numPr>
      </w:pPr>
      <w:r>
        <w:t xml:space="preserve">Yes</w:t>
      </w:r>
    </w:p>
    <w:p>
      <w:pPr>
        <w:pStyle w:val="Compact"/>
        <w:numPr>
          <w:ilvl w:val="0"/>
          <w:numId w:val="1055"/>
        </w:numPr>
      </w:pPr>
      <w:r>
        <w:t xml:space="preserve">No</w:t>
      </w:r>
    </w:p>
    <w:p>
      <w:pPr>
        <w:pStyle w:val="Compact"/>
        <w:numPr>
          <w:ilvl w:val="0"/>
          <w:numId w:val="1056"/>
        </w:numPr>
      </w:pPr>
      <w:r>
        <w:t xml:space="preserve">I confirm that I have sufficient familiarity with the Egyptian medical research environment to provide informed judgments.</w:t>
      </w:r>
    </w:p>
    <w:p>
      <w:pPr>
        <w:pStyle w:val="Compact"/>
        <w:numPr>
          <w:ilvl w:val="0"/>
          <w:numId w:val="1057"/>
        </w:numPr>
      </w:pPr>
      <w:r>
        <w:t xml:space="preserve">Yes</w:t>
      </w:r>
    </w:p>
    <w:p>
      <w:pPr>
        <w:pStyle w:val="Compact"/>
        <w:numPr>
          <w:ilvl w:val="0"/>
          <w:numId w:val="1057"/>
        </w:numPr>
      </w:pPr>
      <w:r>
        <w:t xml:space="preserve">No</w:t>
      </w:r>
    </w:p>
    <w:p>
      <w:pPr>
        <w:pStyle w:val="Compact"/>
        <w:numPr>
          <w:ilvl w:val="0"/>
          <w:numId w:val="1058"/>
        </w:numPr>
      </w:pPr>
      <w:r>
        <w:t xml:space="preserve">I confirm that I meet at least one study eligibility criterion described in the Participant Information Sheet.</w:t>
      </w:r>
    </w:p>
    <w:p>
      <w:pPr>
        <w:pStyle w:val="Compact"/>
        <w:numPr>
          <w:ilvl w:val="0"/>
          <w:numId w:val="1059"/>
        </w:numPr>
      </w:pPr>
      <w:r>
        <w:t xml:space="preserve">Yes</w:t>
      </w:r>
    </w:p>
    <w:p>
      <w:pPr>
        <w:pStyle w:val="Compact"/>
        <w:numPr>
          <w:ilvl w:val="0"/>
          <w:numId w:val="1059"/>
        </w:numPr>
      </w:pPr>
      <w:r>
        <w:t xml:space="preserve">No</w:t>
      </w:r>
    </w:p>
    <w:p>
      <w:pPr>
        <w:pStyle w:val="Compact"/>
        <w:numPr>
          <w:ilvl w:val="0"/>
          <w:numId w:val="1060"/>
        </w:numPr>
      </w:pPr>
      <w:r>
        <w:t xml:space="preserve">I confirm that I can complete the questionnaire in the language provided.</w:t>
      </w:r>
    </w:p>
    <w:p>
      <w:pPr>
        <w:pStyle w:val="Compact"/>
        <w:numPr>
          <w:ilvl w:val="0"/>
          <w:numId w:val="1061"/>
        </w:numPr>
      </w:pPr>
      <w:r>
        <w:t xml:space="preserve">Yes</w:t>
      </w:r>
    </w:p>
    <w:p>
      <w:pPr>
        <w:pStyle w:val="Compact"/>
        <w:numPr>
          <w:ilvl w:val="0"/>
          <w:numId w:val="1061"/>
        </w:numPr>
      </w:pPr>
      <w:r>
        <w:t xml:space="preserve">No</w:t>
      </w:r>
    </w:p>
    <w:p>
      <w:pPr>
        <w:pStyle w:val="FirstParagraph"/>
      </w:pPr>
      <w:r>
        <w:t xml:space="preserve">If “No” is selected for any required eligibility item, the survey should end with a polite ineligibility message.</w:t>
      </w:r>
    </w:p>
    <w:bookmarkEnd w:id="94"/>
    <w:bookmarkStart w:id="95" w:name="consent-statements"/>
    <w:p>
      <w:pPr>
        <w:pStyle w:val="Heading3"/>
      </w:pPr>
      <w:r>
        <w:t xml:space="preserve">22.6.3 Consent statements</w:t>
      </w:r>
    </w:p>
    <w:p>
      <w:pPr>
        <w:pStyle w:val="Compact"/>
        <w:numPr>
          <w:ilvl w:val="0"/>
          <w:numId w:val="1062"/>
        </w:numPr>
      </w:pPr>
      <w:r>
        <w:t xml:space="preserve">I have read the Participant Information Sheet and have had the opportunity to ask questions about the study.</w:t>
      </w:r>
    </w:p>
    <w:p>
      <w:pPr>
        <w:pStyle w:val="Compact"/>
        <w:numPr>
          <w:ilvl w:val="0"/>
          <w:numId w:val="1063"/>
        </w:numPr>
      </w:pPr>
      <w:r>
        <w:t xml:space="preserve">Yes</w:t>
      </w:r>
    </w:p>
    <w:p>
      <w:pPr>
        <w:pStyle w:val="Compact"/>
        <w:numPr>
          <w:ilvl w:val="0"/>
          <w:numId w:val="1063"/>
        </w:numPr>
      </w:pPr>
      <w:r>
        <w:t xml:space="preserve">No</w:t>
      </w:r>
    </w:p>
    <w:p>
      <w:pPr>
        <w:pStyle w:val="Compact"/>
        <w:numPr>
          <w:ilvl w:val="0"/>
          <w:numId w:val="1064"/>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65"/>
        </w:numPr>
      </w:pPr>
      <w:r>
        <w:t xml:space="preserve">Yes</w:t>
      </w:r>
    </w:p>
    <w:p>
      <w:pPr>
        <w:pStyle w:val="Compact"/>
        <w:numPr>
          <w:ilvl w:val="0"/>
          <w:numId w:val="1065"/>
        </w:numPr>
      </w:pPr>
      <w:r>
        <w:t xml:space="preserve">No</w:t>
      </w:r>
    </w:p>
    <w:p>
      <w:pPr>
        <w:pStyle w:val="Compact"/>
        <w:numPr>
          <w:ilvl w:val="0"/>
          <w:numId w:val="1066"/>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67"/>
        </w:numPr>
      </w:pPr>
      <w:r>
        <w:t xml:space="preserve">Yes</w:t>
      </w:r>
    </w:p>
    <w:p>
      <w:pPr>
        <w:pStyle w:val="Compact"/>
        <w:numPr>
          <w:ilvl w:val="0"/>
          <w:numId w:val="1067"/>
        </w:numPr>
      </w:pPr>
      <w:r>
        <w:t xml:space="preserve">No</w:t>
      </w:r>
    </w:p>
    <w:p>
      <w:pPr>
        <w:pStyle w:val="Compact"/>
        <w:numPr>
          <w:ilvl w:val="0"/>
          <w:numId w:val="1068"/>
        </w:numPr>
      </w:pPr>
      <w:r>
        <w:t xml:space="preserve">I understand that the study involves a Round-1 questionnaire and, if I complete Round 1, a possible invitation to Round 2.</w:t>
      </w:r>
    </w:p>
    <w:p>
      <w:pPr>
        <w:pStyle w:val="Compact"/>
        <w:numPr>
          <w:ilvl w:val="0"/>
          <w:numId w:val="1069"/>
        </w:numPr>
      </w:pPr>
      <w:r>
        <w:t xml:space="preserve">Yes</w:t>
      </w:r>
    </w:p>
    <w:p>
      <w:pPr>
        <w:pStyle w:val="Compact"/>
        <w:numPr>
          <w:ilvl w:val="0"/>
          <w:numId w:val="1069"/>
        </w:numPr>
      </w:pPr>
      <w:r>
        <w:t xml:space="preserve">No</w:t>
      </w:r>
    </w:p>
    <w:p>
      <w:pPr>
        <w:pStyle w:val="Compact"/>
        <w:numPr>
          <w:ilvl w:val="0"/>
          <w:numId w:val="1070"/>
        </w:numPr>
      </w:pPr>
      <w:r>
        <w:t xml:space="preserve">I understand that Round 2 will include anonymized group-level feedback and that I may be asked to re-rate barriers and rate possible interventions.</w:t>
      </w:r>
    </w:p>
    <w:p>
      <w:pPr>
        <w:pStyle w:val="Compact"/>
        <w:numPr>
          <w:ilvl w:val="0"/>
          <w:numId w:val="1071"/>
        </w:numPr>
      </w:pPr>
      <w:r>
        <w:t xml:space="preserve">Yes</w:t>
      </w:r>
    </w:p>
    <w:p>
      <w:pPr>
        <w:pStyle w:val="Compact"/>
        <w:numPr>
          <w:ilvl w:val="0"/>
          <w:numId w:val="1071"/>
        </w:numPr>
      </w:pPr>
      <w:r>
        <w:t xml:space="preserve">No</w:t>
      </w:r>
    </w:p>
    <w:p>
      <w:pPr>
        <w:pStyle w:val="Compact"/>
        <w:numPr>
          <w:ilvl w:val="0"/>
          <w:numId w:val="1072"/>
        </w:numPr>
      </w:pPr>
      <w:r>
        <w:t xml:space="preserve">I consent to participate in Round 1 of this study.</w:t>
      </w:r>
    </w:p>
    <w:p>
      <w:pPr>
        <w:pStyle w:val="Compact"/>
        <w:numPr>
          <w:ilvl w:val="0"/>
          <w:numId w:val="1073"/>
        </w:numPr>
      </w:pPr>
      <w:r>
        <w:t xml:space="preserve">Yes</w:t>
      </w:r>
    </w:p>
    <w:p>
      <w:pPr>
        <w:pStyle w:val="Compact"/>
        <w:numPr>
          <w:ilvl w:val="0"/>
          <w:numId w:val="1073"/>
        </w:numPr>
      </w:pPr>
      <w:r>
        <w:t xml:space="preserve">No</w:t>
      </w:r>
    </w:p>
    <w:bookmarkEnd w:id="95"/>
    <w:bookmarkStart w:id="96" w:name="consent-for-contact-and-linkage"/>
    <w:p>
      <w:pPr>
        <w:pStyle w:val="Heading3"/>
      </w:pPr>
      <w:r>
        <w:t xml:space="preserve">22.6.4 Consent for contact and linkage</w:t>
      </w:r>
    </w:p>
    <w:p>
      <w:pPr>
        <w:pStyle w:val="Compact"/>
        <w:numPr>
          <w:ilvl w:val="0"/>
          <w:numId w:val="1074"/>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75"/>
        </w:numPr>
      </w:pPr>
      <w:r>
        <w:t xml:space="preserve">Yes</w:t>
      </w:r>
    </w:p>
    <w:p>
      <w:pPr>
        <w:pStyle w:val="Compact"/>
        <w:numPr>
          <w:ilvl w:val="0"/>
          <w:numId w:val="1075"/>
        </w:numPr>
      </w:pPr>
      <w:r>
        <w:t xml:space="preserve">No</w:t>
      </w:r>
    </w:p>
    <w:p>
      <w:pPr>
        <w:pStyle w:val="Compact"/>
        <w:numPr>
          <w:ilvl w:val="0"/>
          <w:numId w:val="1076"/>
        </w:numPr>
      </w:pPr>
      <w:r>
        <w:t xml:space="preserve">I consent to the use of a unique study identifier to link my Round-1 and Round-2 responses.</w:t>
      </w:r>
    </w:p>
    <w:p>
      <w:pPr>
        <w:pStyle w:val="Compact"/>
        <w:numPr>
          <w:ilvl w:val="0"/>
          <w:numId w:val="1077"/>
        </w:numPr>
      </w:pPr>
      <w:r>
        <w:t xml:space="preserve">Yes</w:t>
      </w:r>
    </w:p>
    <w:p>
      <w:pPr>
        <w:pStyle w:val="Compact"/>
        <w:numPr>
          <w:ilvl w:val="0"/>
          <w:numId w:val="1077"/>
        </w:numPr>
      </w:pPr>
      <w:r>
        <w:t xml:space="preserve">No</w:t>
      </w:r>
    </w:p>
    <w:p>
      <w:pPr>
        <w:pStyle w:val="Compact"/>
        <w:numPr>
          <w:ilvl w:val="0"/>
          <w:numId w:val="1078"/>
        </w:numPr>
      </w:pPr>
      <w:r>
        <w:t xml:space="preserve">I understand that my individual ratings and comments will not be shared with other participants, supervisors, institutional leaders, or steering-group members in identifiable form.</w:t>
      </w:r>
    </w:p>
    <w:p>
      <w:pPr>
        <w:pStyle w:val="Compact"/>
        <w:numPr>
          <w:ilvl w:val="0"/>
          <w:numId w:val="1079"/>
        </w:numPr>
      </w:pPr>
      <w:r>
        <w:t xml:space="preserve">Yes</w:t>
      </w:r>
    </w:p>
    <w:p>
      <w:pPr>
        <w:pStyle w:val="Compact"/>
        <w:numPr>
          <w:ilvl w:val="0"/>
          <w:numId w:val="1079"/>
        </w:numPr>
      </w:pPr>
      <w:r>
        <w:t xml:space="preserve">No</w:t>
      </w:r>
    </w:p>
    <w:p>
      <w:pPr>
        <w:pStyle w:val="Compact"/>
        <w:numPr>
          <w:ilvl w:val="0"/>
          <w:numId w:val="1080"/>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81"/>
        </w:numPr>
      </w:pPr>
      <w:r>
        <w:t xml:space="preserve">Yes</w:t>
      </w:r>
    </w:p>
    <w:p>
      <w:pPr>
        <w:pStyle w:val="Compact"/>
        <w:numPr>
          <w:ilvl w:val="0"/>
          <w:numId w:val="1081"/>
        </w:numPr>
      </w:pPr>
      <w:r>
        <w:t xml:space="preserve">No</w:t>
      </w:r>
    </w:p>
    <w:bookmarkEnd w:id="96"/>
    <w:bookmarkStart w:id="97" w:name="consent-for-quotations"/>
    <w:p>
      <w:pPr>
        <w:pStyle w:val="Heading3"/>
      </w:pPr>
      <w:r>
        <w:t xml:space="preserve">22.6.5 Consent for quotations</w:t>
      </w:r>
    </w:p>
    <w:p>
      <w:pPr>
        <w:pStyle w:val="Compact"/>
        <w:numPr>
          <w:ilvl w:val="0"/>
          <w:numId w:val="1082"/>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83"/>
        </w:numPr>
      </w:pPr>
      <w:r>
        <w:t xml:space="preserve">Yes</w:t>
      </w:r>
    </w:p>
    <w:p>
      <w:pPr>
        <w:pStyle w:val="Compact"/>
        <w:numPr>
          <w:ilvl w:val="0"/>
          <w:numId w:val="1083"/>
        </w:numPr>
      </w:pPr>
      <w:r>
        <w:t xml:space="preserve">No</w:t>
      </w:r>
    </w:p>
    <w:p>
      <w:pPr>
        <w:pStyle w:val="Compact"/>
        <w:numPr>
          <w:ilvl w:val="0"/>
          <w:numId w:val="1083"/>
        </w:numPr>
      </w:pPr>
      <w:r>
        <w:t xml:space="preserve">I do not plan to provide comments</w:t>
      </w:r>
    </w:p>
    <w:p>
      <w:pPr>
        <w:pStyle w:val="FirstParagraph"/>
      </w:pPr>
      <w:r>
        <w:t xml:space="preserve">If “No” is selected, the participant may still provide comments for internal item development only, if this is acceptable to the IRB. Otherwise, the free-text field should be hidden or disabled for that participant.</w:t>
      </w:r>
    </w:p>
    <w:bookmarkEnd w:id="97"/>
    <w:bookmarkStart w:id="98" w:name="consent-for-future-use-and-data-sharing"/>
    <w:p>
      <w:pPr>
        <w:pStyle w:val="Heading3"/>
      </w:pPr>
      <w:r>
        <w:t xml:space="preserve">22.6.6 Consent for future use and data sharing</w:t>
      </w:r>
    </w:p>
    <w:p>
      <w:pPr>
        <w:pStyle w:val="Compact"/>
        <w:numPr>
          <w:ilvl w:val="0"/>
          <w:numId w:val="1084"/>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85"/>
        </w:numPr>
      </w:pPr>
      <w:r>
        <w:t xml:space="preserve">Yes</w:t>
      </w:r>
    </w:p>
    <w:p>
      <w:pPr>
        <w:pStyle w:val="Compact"/>
        <w:numPr>
          <w:ilvl w:val="0"/>
          <w:numId w:val="1085"/>
        </w:numPr>
      </w:pPr>
      <w:r>
        <w:t xml:space="preserve">No</w:t>
      </w:r>
    </w:p>
    <w:p>
      <w:pPr>
        <w:pStyle w:val="Compact"/>
        <w:numPr>
          <w:ilvl w:val="0"/>
          <w:numId w:val="1086"/>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87"/>
        </w:numPr>
      </w:pPr>
      <w:r>
        <w:t xml:space="preserve">Yes</w:t>
      </w:r>
    </w:p>
    <w:p>
      <w:pPr>
        <w:pStyle w:val="Compact"/>
        <w:numPr>
          <w:ilvl w:val="0"/>
          <w:numId w:val="1087"/>
        </w:numPr>
      </w:pPr>
      <w:r>
        <w:t xml:space="preserve">No</w:t>
      </w:r>
    </w:p>
    <w:p>
      <w:pPr>
        <w:pStyle w:val="FirstParagraph"/>
      </w:pPr>
      <w:r>
        <w:t xml:space="preserve">These optional decisions must not affect eligibility to participate in the main study.</w:t>
      </w:r>
    </w:p>
    <w:bookmarkEnd w:id="98"/>
    <w:bookmarkStart w:id="99" w:name="confirmation"/>
    <w:p>
      <w:pPr>
        <w:pStyle w:val="Heading3"/>
      </w:pPr>
      <w:r>
        <w:t xml:space="preserve">22.6.7 Confirmation</w:t>
      </w:r>
    </w:p>
    <w:p>
      <w:pPr>
        <w:pStyle w:val="Compact"/>
        <w:numPr>
          <w:ilvl w:val="0"/>
          <w:numId w:val="1088"/>
        </w:numPr>
      </w:pPr>
      <w:r>
        <w:t xml:space="preserve">By selecting “I agree” below, I confirm that I voluntarily consent to participate in this study.</w:t>
      </w:r>
    </w:p>
    <w:p>
      <w:pPr>
        <w:pStyle w:val="Compact"/>
        <w:numPr>
          <w:ilvl w:val="0"/>
          <w:numId w:val="1089"/>
        </w:numPr>
      </w:pPr>
      <w:r>
        <w:t xml:space="preserve">I agree and wish to continue to the Round-1 questionnaire.</w:t>
      </w:r>
    </w:p>
    <w:p>
      <w:pPr>
        <w:pStyle w:val="Compact"/>
        <w:numPr>
          <w:ilvl w:val="0"/>
          <w:numId w:val="1089"/>
        </w:numPr>
      </w:pPr>
      <w:r>
        <w:t xml:space="preserve">I do not agree and do not wish to participate.</w:t>
      </w:r>
    </w:p>
    <w:bookmarkEnd w:id="99"/>
    <w:bookmarkStart w:id="121" w:name="electronic-record"/>
    <w:p>
      <w:pPr>
        <w:pStyle w:val="Heading3"/>
      </w:pPr>
      <w:r>
        <w:t xml:space="preserve">22.6.8 Electronic record</w:t>
      </w:r>
    </w:p>
    <w:p>
      <w:pPr>
        <w:pStyle w:val="FirstParagraph"/>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82">
        <w:r>
          <w:rPr>
            <w:rStyle w:val="Hyperlink"/>
          </w:rPr>
          <w:t xml:space="preserve">ecr@med.asu.edu.eg</w:t>
        </w:r>
      </w:hyperlink>
      <w:r>
        <w:t xml:space="preserve">.</w:t>
      </w:r>
    </w:p>
    <w:bookmarkStart w:id="120" w:name="refs"/>
    <w:bookmarkStart w:id="101" w:name="ref-chalmers2009"/>
    <w:p>
      <w:pPr>
        <w:pStyle w:val="Bibliography"/>
      </w:pPr>
      <w:r>
        <w:t xml:space="preserve">1. Chalmers I, Glasziou P.</w:t>
      </w:r>
      <w:r>
        <w:t xml:space="preserve"> </w:t>
      </w:r>
      <w:hyperlink r:id="rId100">
        <w:r>
          <w:rPr>
            <w:rStyle w:val="Hyperlink"/>
          </w:rPr>
          <w:t xml:space="preserve">Avoidable waste in the production and reporting of research evidence</w:t>
        </w:r>
      </w:hyperlink>
      <w:r>
        <w:t xml:space="preserve">. The Lancet. 2009;374:86–9.</w:t>
      </w:r>
    </w:p>
    <w:bookmarkEnd w:id="101"/>
    <w:bookmarkStart w:id="103" w:name="ref-glaziou2018"/>
    <w:p>
      <w:pPr>
        <w:pStyle w:val="Bibliography"/>
      </w:pPr>
      <w:r>
        <w:t xml:space="preserve">2. Glasziou P, Chalmers I.</w:t>
      </w:r>
      <w:r>
        <w:t xml:space="preserve"> </w:t>
      </w:r>
      <w:hyperlink r:id="rId102">
        <w:r>
          <w:rPr>
            <w:rStyle w:val="Hyperlink"/>
          </w:rPr>
          <w:t xml:space="preserve">Research waste is still a scandal–an essay by paul glasziou and iain chalmers</w:t>
        </w:r>
      </w:hyperlink>
      <w:r>
        <w:t xml:space="preserve">. BMJ. 2018;363:k4645.</w:t>
      </w:r>
    </w:p>
    <w:bookmarkEnd w:id="103"/>
    <w:bookmarkStart w:id="105" w:name="ref-moher2016"/>
    <w:p>
      <w:pPr>
        <w:pStyle w:val="Bibliography"/>
      </w:pPr>
      <w:r>
        <w:t xml:space="preserve">3. Moher D, Glasziou P, Chalmers I, Nasser M, Bossuyt PMM, Korevaar DA, et al.</w:t>
      </w:r>
      <w:r>
        <w:t xml:space="preserve"> </w:t>
      </w:r>
      <w:hyperlink r:id="rId104">
        <w:r>
          <w:rPr>
            <w:rStyle w:val="Hyperlink"/>
          </w:rPr>
          <w:t xml:space="preserve">Increasing value and reducing waste in biomedical research: Who’s listening?</w:t>
        </w:r>
      </w:hyperlink>
      <w:r>
        <w:t xml:space="preserve"> The Lancet. 2016;387:1573–86.</w:t>
      </w:r>
    </w:p>
    <w:bookmarkEnd w:id="105"/>
    <w:bookmarkStart w:id="107"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106">
        <w:r>
          <w:rPr>
            <w:rStyle w:val="Hyperlink"/>
          </w:rPr>
          <w:t xml:space="preserve">http://dx.doi.org/10.1016/S0140-6736(13)62229-1</w:t>
        </w:r>
      </w:hyperlink>
    </w:p>
    <w:bookmarkEnd w:id="107"/>
    <w:bookmarkStart w:id="109"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108">
        <w:r>
          <w:rPr>
            <w:rStyle w:val="Hyperlink"/>
          </w:rPr>
          <w:t xml:space="preserve">http://dx.doi.org/10.1016/S0140-6736(13)62227-8</w:t>
        </w:r>
      </w:hyperlink>
    </w:p>
    <w:bookmarkEnd w:id="109"/>
    <w:bookmarkStart w:id="111"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110">
        <w:r>
          <w:rPr>
            <w:rStyle w:val="Hyperlink"/>
          </w:rPr>
          <w:t xml:space="preserve">http://dx.doi.org/10.1016/S0140-6736(13)62297-7</w:t>
        </w:r>
      </w:hyperlink>
    </w:p>
    <w:bookmarkEnd w:id="111"/>
    <w:bookmarkStart w:id="113" w:name="ref-jorm2025"/>
    <w:p>
      <w:pPr>
        <w:pStyle w:val="Bibliography"/>
      </w:pPr>
      <w:r>
        <w:t xml:space="preserve">7. Jorm A. Using the delphi method to establish expert consensus [Internet]. Springer Nature Singapore; 2025. Available from:</w:t>
      </w:r>
      <w:r>
        <w:t xml:space="preserve"> </w:t>
      </w:r>
      <w:hyperlink r:id="rId112">
        <w:r>
          <w:rPr>
            <w:rStyle w:val="Hyperlink"/>
          </w:rPr>
          <w:t xml:space="preserve">http://dx.doi.org/10.1007/978-981-96-8357-4</w:t>
        </w:r>
      </w:hyperlink>
    </w:p>
    <w:bookmarkEnd w:id="113"/>
    <w:bookmarkStart w:id="115" w:name="ref-RStudio2026"/>
    <w:p>
      <w:pPr>
        <w:pStyle w:val="Bibliography"/>
      </w:pPr>
      <w:r>
        <w:t xml:space="preserve">8. Posit Software, PBC. RStudio: Integrated development environment for r [Internet]. Boston, MA: Posit Software, PBC; 2026. Available from:</w:t>
      </w:r>
      <w:r>
        <w:t xml:space="preserve"> </w:t>
      </w:r>
      <w:hyperlink r:id="rId114">
        <w:r>
          <w:rPr>
            <w:rStyle w:val="Hyperlink"/>
          </w:rPr>
          <w:t xml:space="preserve">https://posit.co/products/open-source/rstudio/</w:t>
        </w:r>
      </w:hyperlink>
    </w:p>
    <w:bookmarkEnd w:id="115"/>
    <w:bookmarkStart w:id="117"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116">
        <w:r>
          <w:rPr>
            <w:rStyle w:val="Hyperlink"/>
          </w:rPr>
          <w:t xml:space="preserve">https://www.R-project.org/</w:t>
        </w:r>
      </w:hyperlink>
    </w:p>
    <w:bookmarkEnd w:id="117"/>
    <w:bookmarkStart w:id="119" w:name="ref-gattrell2024"/>
    <w:p>
      <w:pPr>
        <w:pStyle w:val="Bibliography"/>
      </w:pPr>
      <w:r>
        <w:t xml:space="preserve">10. Gattrell WT, Logullo P, Zuuren EJ van, Price A, Hughes EL, Blazey P, et al.</w:t>
      </w:r>
      <w:r>
        <w:t xml:space="preserve"> </w:t>
      </w:r>
      <w:hyperlink r:id="rId118">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19"/>
    <w:bookmarkEnd w:id="120"/>
    <w:bookmarkEnd w:id="121"/>
    <w:bookmarkEnd w:id="122"/>
    <w:bookmarkEnd w:id="123"/>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1"/>
  </w:num>
  <w:num w:numId="10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7">
    <w:abstractNumId w:val="991"/>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1"/>
  </w:num>
  <w:num w:numId="107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5">
    <w:abstractNumId w:val="991"/>
  </w:num>
  <w:num w:numId="107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7">
    <w:abstractNumId w:val="991"/>
  </w:num>
  <w:num w:numId="107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9">
    <w:abstractNumId w:val="991"/>
  </w:num>
  <w:num w:numId="108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1">
    <w:abstractNumId w:val="991"/>
  </w:num>
  <w:num w:numId="108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3">
    <w:abstractNumId w:val="991"/>
  </w:num>
  <w:num w:numId="108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5">
    <w:abstractNumId w:val="991"/>
  </w:num>
  <w:num w:numId="108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7">
    <w:abstractNumId w:val="991"/>
  </w:num>
  <w:num w:numId="108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12" Target="http://dx.doi.org/10.1007/978-981-96-8357-4" TargetMode="External" /><Relationship Type="http://schemas.openxmlformats.org/officeDocument/2006/relationships/hyperlink" Id="rId108" Target="http://dx.doi.org/10.1016/S0140-6736(13)62227-8" TargetMode="External" /><Relationship Type="http://schemas.openxmlformats.org/officeDocument/2006/relationships/hyperlink" Id="rId106" Target="http://dx.doi.org/10.1016/S0140-6736(13)62229-1" TargetMode="External" /><Relationship Type="http://schemas.openxmlformats.org/officeDocument/2006/relationships/hyperlink" Id="rId110" Target="http://dx.doi.org/10.1016/S0140-6736(13)62297-7" TargetMode="External" /><Relationship Type="http://schemas.openxmlformats.org/officeDocument/2006/relationships/hyperlink" Id="rId100" Target="https://doi.org/10.1016/S0140-6736(09)60329-9" TargetMode="External" /><Relationship Type="http://schemas.openxmlformats.org/officeDocument/2006/relationships/hyperlink" Id="rId104" Target="https://doi.org/10.1016/S0140-6736(15)00307-4" TargetMode="External" /><Relationship Type="http://schemas.openxmlformats.org/officeDocument/2006/relationships/hyperlink" Id="rId102" Target="https://doi.org/10.1136/bmj.k4645" TargetMode="External" /><Relationship Type="http://schemas.openxmlformats.org/officeDocument/2006/relationships/hyperlink" Id="rId118" Target="https://doi.org/10.1371/journal.pmed.1004326" TargetMode="External" /><Relationship Type="http://schemas.openxmlformats.org/officeDocument/2006/relationships/hyperlink" Id="rId114" Target="https://posit.co/products/open-source/rstudio/" TargetMode="External" /><Relationship Type="http://schemas.openxmlformats.org/officeDocument/2006/relationships/hyperlink" Id="rId116" Target="https://www.R-project.org/" TargetMode="External" /><Relationship Type="http://schemas.openxmlformats.org/officeDocument/2006/relationships/hyperlink" Id="rId82"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112" Target="http://dx.doi.org/10.1007/978-981-96-8357-4" TargetMode="External" /><Relationship Type="http://schemas.openxmlformats.org/officeDocument/2006/relationships/hyperlink" Id="rId108" Target="http://dx.doi.org/10.1016/S0140-6736(13)62227-8" TargetMode="External" /><Relationship Type="http://schemas.openxmlformats.org/officeDocument/2006/relationships/hyperlink" Id="rId106" Target="http://dx.doi.org/10.1016/S0140-6736(13)62229-1" TargetMode="External" /><Relationship Type="http://schemas.openxmlformats.org/officeDocument/2006/relationships/hyperlink" Id="rId110" Target="http://dx.doi.org/10.1016/S0140-6736(13)62297-7" TargetMode="External" /><Relationship Type="http://schemas.openxmlformats.org/officeDocument/2006/relationships/hyperlink" Id="rId100" Target="https://doi.org/10.1016/S0140-6736(09)60329-9" TargetMode="External" /><Relationship Type="http://schemas.openxmlformats.org/officeDocument/2006/relationships/hyperlink" Id="rId104" Target="https://doi.org/10.1016/S0140-6736(15)00307-4" TargetMode="External" /><Relationship Type="http://schemas.openxmlformats.org/officeDocument/2006/relationships/hyperlink" Id="rId102" Target="https://doi.org/10.1136/bmj.k4645" TargetMode="External" /><Relationship Type="http://schemas.openxmlformats.org/officeDocument/2006/relationships/hyperlink" Id="rId118" Target="https://doi.org/10.1371/journal.pmed.1004326" TargetMode="External" /><Relationship Type="http://schemas.openxmlformats.org/officeDocument/2006/relationships/hyperlink" Id="rId114" Target="https://posit.co/products/open-source/rstudio/" TargetMode="External" /><Relationship Type="http://schemas.openxmlformats.org/officeDocument/2006/relationships/hyperlink" Id="rId116" Target="https://www.R-project.org/" TargetMode="External" /><Relationship Type="http://schemas.openxmlformats.org/officeDocument/2006/relationships/hyperlink" Id="rId82"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2026-10-08T14:16:04Z</dcterms:created>
  <dcterms:modified xsi:type="dcterms:W3CDTF">2026-10-08T14:16:04Z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