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ADD" w:rsidRDefault="00625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HỢP VÀI VẤN ĐỂ VỀ MÔ HÌNH</w:t>
      </w:r>
    </w:p>
    <w:p w:rsidR="006256CD" w:rsidRDefault="006256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</w:p>
    <w:p w:rsidR="006256CD" w:rsidRDefault="00625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SVM: Mean squared </w:t>
      </w:r>
      <w:proofErr w:type="gramStart"/>
      <w:r>
        <w:rPr>
          <w:rFonts w:ascii="Times New Roman" w:hAnsi="Times New Roman" w:cs="Times New Roman"/>
          <w:sz w:val="28"/>
          <w:szCs w:val="28"/>
        </w:rPr>
        <w:t>error(</w:t>
      </w:r>
      <w:proofErr w:type="gramEnd"/>
      <w:r>
        <w:rPr>
          <w:rFonts w:ascii="Times New Roman" w:hAnsi="Times New Roman" w:cs="Times New Roman"/>
          <w:sz w:val="28"/>
          <w:szCs w:val="28"/>
        </w:rPr>
        <w:t>MSE), Normalize</w:t>
      </w:r>
      <w:r w:rsidR="00EC050D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mean squared error(NSME), </w:t>
      </w:r>
      <w:r w:rsidR="00EC050D">
        <w:rPr>
          <w:rFonts w:ascii="Times New Roman" w:hAnsi="Times New Roman" w:cs="Times New Roman"/>
          <w:sz w:val="28"/>
          <w:szCs w:val="28"/>
        </w:rPr>
        <w:t>Squared correlation coefficient(SCC).</w:t>
      </w:r>
      <w:r w:rsidR="00215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15D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D7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 xml:space="preserve"> MSE </w:t>
      </w:r>
      <w:proofErr w:type="spellStart"/>
      <w:r w:rsidR="00215D7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D7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D7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D7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D7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D73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D7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D7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 xml:space="preserve"> SCC </w:t>
      </w:r>
      <w:proofErr w:type="spellStart"/>
      <w:r w:rsidR="00215D7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D7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D7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D7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D7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D7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D73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="00215D7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15D73" w:rsidRDefault="00215D7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MSE=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215D73" w:rsidRDefault="00215D7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NMSE=100×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MSE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var(y)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=100×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215D73" w:rsidRDefault="00215D7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SCC=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9F0773" w:rsidRDefault="009F077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giá trị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giá trị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đoán</w:t>
      </w:r>
      <w:proofErr w:type="spellEnd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w:proofErr w:type="gramEnd"/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các giá trị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chúng</w:t>
      </w:r>
      <w:proofErr w:type="spellEnd"/>
      <w:r w:rsidR="00D97F1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97F10" w:rsidRDefault="00D97F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E319B">
        <w:rPr>
          <w:rFonts w:ascii="Times New Roman" w:eastAsiaTheme="minorEastAsia" w:hAnsi="Times New Roman" w:cs="Times New Roman"/>
          <w:sz w:val="28"/>
          <w:szCs w:val="28"/>
        </w:rPr>
        <w:t>xu</w:t>
      </w:r>
      <w:proofErr w:type="spellEnd"/>
      <w:r w:rsidR="004E31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E319B">
        <w:rPr>
          <w:rFonts w:ascii="Times New Roman" w:eastAsiaTheme="minorEastAsia" w:hAnsi="Times New Roman" w:cs="Times New Roman"/>
          <w:sz w:val="28"/>
          <w:szCs w:val="28"/>
        </w:rPr>
        <w:t>hướng</w:t>
      </w:r>
      <w:proofErr w:type="spellEnd"/>
      <w:r w:rsidR="004E31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hình</w:t>
      </w:r>
      <w:proofErr w:type="spellEnd"/>
      <w:r w:rsidR="004E31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97F10" w:rsidRDefault="00D97F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ign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%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v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ớ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 n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ế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u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                n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ế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 ng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vi-VN"/>
                  </w:rPr>
                  <m:t>ư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ợ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 l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ạ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eqArr>
          </m:e>
        </m:d>
      </m:oMath>
    </w:p>
    <w:p w:rsidR="0056454B" w:rsidRDefault="0056454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</w:p>
    <w:p w:rsidR="0056454B" w:rsidRDefault="005645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đoạ</w:t>
      </w:r>
      <w:r w:rsidR="001330BA">
        <w:rPr>
          <w:rFonts w:ascii="Times New Roman" w:eastAsiaTheme="minorEastAsia" w:hAnsi="Times New Roman" w:cs="Times New Roman"/>
          <w:sz w:val="28"/>
          <w:szCs w:val="28"/>
        </w:rPr>
        <w:t>n</w:t>
      </w:r>
      <w:proofErr w:type="spellEnd"/>
      <w:r w:rsidR="001330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330BA"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AE2AA0" w:rsidRDefault="00AE2AA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khoán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Đài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Loan</w:t>
      </w:r>
      <w:r w:rsidR="006B4EC1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6B4EC1" w:rsidRDefault="006B4E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return.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B4EC1" w:rsidRDefault="006B4E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2286000" cy="266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4E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proofErr w:type="gramEnd"/>
      <w:r w:rsidRPr="006B4EC1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:rsidR="00132284" w:rsidRDefault="0013228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hình</w:t>
      </w:r>
      <w:proofErr w:type="spellEnd"/>
    </w:p>
    <w:p w:rsidR="00132284" w:rsidRDefault="001322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ε-SVR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Gaussian kernel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ε-insensitive loss function.</w:t>
      </w:r>
      <w:proofErr w:type="gramEnd"/>
    </w:p>
    <w:p w:rsidR="00132284" w:rsidRDefault="0013228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</w:p>
    <w:p w:rsidR="00132284" w:rsidRDefault="001322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ε-SVR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C (regularization parameter), ε,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σ</w:t>
      </w:r>
      <w:r w:rsidR="00AE2AA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AE2AA0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tham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này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phương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pháp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cơ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bản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2AA0">
        <w:rPr>
          <w:rFonts w:ascii="Times New Roman" w:eastAsiaTheme="minorEastAsia" w:hAnsi="Times New Roman" w:cs="Times New Roman"/>
          <w:sz w:val="28"/>
          <w:szCs w:val="28"/>
        </w:rPr>
        <w:t>dùng</w:t>
      </w:r>
      <w:proofErr w:type="spellEnd"/>
      <w:r w:rsidR="00AE2AA0">
        <w:rPr>
          <w:rFonts w:ascii="Times New Roman" w:eastAsiaTheme="minorEastAsia" w:hAnsi="Times New Roman" w:cs="Times New Roman"/>
          <w:sz w:val="28"/>
          <w:szCs w:val="28"/>
        </w:rPr>
        <w:t xml:space="preserve"> cross validation.</w:t>
      </w:r>
    </w:p>
    <w:p w:rsidR="006B4EC1" w:rsidRDefault="006B4EC1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thử</w:t>
      </w:r>
      <w:proofErr w:type="spellEnd"/>
    </w:p>
    <w:p w:rsidR="006B4EC1" w:rsidRPr="006B4EC1" w:rsidRDefault="006B4E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eastAsiaTheme="minorEastAsia" w:hAnsi="Times New Roman" w:cs="Times New Roman"/>
          <w:sz w:val="28"/>
          <w:szCs w:val="28"/>
        </w:rPr>
        <w:t>Sử</w:t>
      </w:r>
      <w:proofErr w:type="spellEnd"/>
      <w:r w:rsidRPr="006B4E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 w:rsidRPr="006B4EC1">
        <w:rPr>
          <w:rFonts w:ascii="Times New Roman" w:eastAsiaTheme="minorEastAsia" w:hAnsi="Times New Roman" w:cs="Times New Roman"/>
          <w:sz w:val="28"/>
          <w:szCs w:val="28"/>
        </w:rPr>
        <w:t xml:space="preserve"> 2 </w:t>
      </w:r>
      <w:proofErr w:type="spellStart"/>
      <w:r w:rsidRPr="006B4EC1">
        <w:rPr>
          <w:rFonts w:ascii="Times New Roman" w:eastAsiaTheme="minorEastAsia" w:hAnsi="Times New Roman" w:cs="Times New Roman"/>
          <w:sz w:val="28"/>
          <w:szCs w:val="28"/>
        </w:rPr>
        <w:t>kiểu</w:t>
      </w:r>
      <w:proofErr w:type="spellEnd"/>
      <w:r w:rsidRPr="006B4E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eastAsiaTheme="minorEastAsia" w:hAnsi="Times New Roman" w:cs="Times New Roman"/>
          <w:sz w:val="28"/>
          <w:szCs w:val="28"/>
        </w:rPr>
        <w:t>kiểm</w:t>
      </w:r>
      <w:proofErr w:type="spellEnd"/>
      <w:r w:rsidRPr="006B4E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eastAsiaTheme="minorEastAsia" w:hAnsi="Times New Roman" w:cs="Times New Roman"/>
          <w:sz w:val="28"/>
          <w:szCs w:val="28"/>
        </w:rPr>
        <w:t>thử</w:t>
      </w:r>
      <w:proofErr w:type="spellEnd"/>
      <w:r w:rsidRPr="006B4EC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B4EC1" w:rsidRPr="006B4EC1" w:rsidRDefault="006B4EC1" w:rsidP="006B4EC1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EC1">
        <w:rPr>
          <w:rFonts w:ascii="Times New Roman" w:hAnsi="Times New Roman" w:cs="Times New Roman"/>
          <w:sz w:val="28"/>
          <w:szCs w:val="28"/>
        </w:rPr>
        <w:t xml:space="preserve">Two-period: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chia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>).</w:t>
      </w:r>
    </w:p>
    <w:p w:rsidR="006B4EC1" w:rsidRPr="006B4EC1" w:rsidRDefault="006B4EC1" w:rsidP="006B4EC1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EC1">
        <w:rPr>
          <w:rFonts w:ascii="Times New Roman" w:hAnsi="Times New Roman" w:cs="Times New Roman"/>
          <w:sz w:val="28"/>
          <w:szCs w:val="28"/>
        </w:rPr>
        <w:t xml:space="preserve">Multi-period: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4EC1" w:rsidRDefault="006B4EC1" w:rsidP="006B4E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4EC1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1-14.</w:t>
      </w:r>
      <w:proofErr w:type="gram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2-15,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EC1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Pr="006B4EC1">
        <w:rPr>
          <w:rFonts w:ascii="Times New Roman" w:hAnsi="Times New Roman" w:cs="Times New Roman"/>
          <w:sz w:val="28"/>
          <w:szCs w:val="28"/>
        </w:rPr>
        <w:t>…</w:t>
      </w:r>
    </w:p>
    <w:p w:rsidR="006B4EC1" w:rsidRPr="006B4EC1" w:rsidRDefault="006B4EC1" w:rsidP="006B4EC1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5, 10, 30, 60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6B4EC1" w:rsidRPr="006B4EC1" w:rsidSect="00CA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7458A"/>
    <w:multiLevelType w:val="hybridMultilevel"/>
    <w:tmpl w:val="0324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6C02"/>
    <w:rsid w:val="00132284"/>
    <w:rsid w:val="001330BA"/>
    <w:rsid w:val="00215D73"/>
    <w:rsid w:val="00301E73"/>
    <w:rsid w:val="004E319B"/>
    <w:rsid w:val="0056454B"/>
    <w:rsid w:val="006256CD"/>
    <w:rsid w:val="006B4EC1"/>
    <w:rsid w:val="00883510"/>
    <w:rsid w:val="008E6C02"/>
    <w:rsid w:val="009F0773"/>
    <w:rsid w:val="00AE2AA0"/>
    <w:rsid w:val="00CA5ADD"/>
    <w:rsid w:val="00D97F10"/>
    <w:rsid w:val="00EA74C0"/>
    <w:rsid w:val="00EC0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5D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D7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01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E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E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E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VanLong</dc:creator>
  <cp:keywords/>
  <dc:description/>
  <cp:lastModifiedBy>HotGa</cp:lastModifiedBy>
  <cp:revision>9</cp:revision>
  <dcterms:created xsi:type="dcterms:W3CDTF">2010-10-13T07:43:00Z</dcterms:created>
  <dcterms:modified xsi:type="dcterms:W3CDTF">2010-10-14T09:28:00Z</dcterms:modified>
</cp:coreProperties>
</file>