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EEDAA" w14:textId="77777777" w:rsidR="00D5332B" w:rsidRDefault="00000000">
      <w:pPr>
        <w:spacing w:after="60"/>
      </w:pPr>
      <w:r>
        <w:rPr>
          <w:b/>
          <w:bCs/>
          <w:sz w:val="32"/>
          <w:szCs w:val="32"/>
        </w:rPr>
        <w:t>Week 3 Report: Feature Engineering</w:t>
      </w:r>
    </w:p>
    <w:p w14:paraId="233073B8" w14:textId="377A3839" w:rsidR="00D5332B" w:rsidRDefault="00000000">
      <w:pPr>
        <w:spacing w:after="300"/>
      </w:pPr>
      <w:r>
        <w:rPr>
          <w:color w:val="555555"/>
          <w:sz w:val="22"/>
          <w:szCs w:val="22"/>
        </w:rPr>
        <w:t xml:space="preserve">Food Demand Forecasting - Data </w:t>
      </w:r>
      <w:r w:rsidR="00F9039D">
        <w:rPr>
          <w:color w:val="555555"/>
          <w:sz w:val="22"/>
          <w:szCs w:val="22"/>
        </w:rPr>
        <w:t>Science</w:t>
      </w:r>
      <w:r>
        <w:rPr>
          <w:color w:val="555555"/>
          <w:sz w:val="22"/>
          <w:szCs w:val="22"/>
        </w:rPr>
        <w:t xml:space="preserve"> Internship</w:t>
      </w:r>
    </w:p>
    <w:p w14:paraId="14D40EF9" w14:textId="77777777" w:rsidR="00D5332B" w:rsidRDefault="00000000">
      <w:pPr>
        <w:spacing w:after="100"/>
      </w:pPr>
      <w:r>
        <w:rPr>
          <w:b/>
          <w:bCs/>
        </w:rPr>
        <w:t xml:space="preserve">Dataset: </w:t>
      </w:r>
      <w:r>
        <w:t>kannanaikkal/food-demand-forecasting (Kaggle)</w:t>
      </w:r>
    </w:p>
    <w:p w14:paraId="264F119E" w14:textId="77777777" w:rsidR="00D5332B" w:rsidRDefault="00000000">
      <w:pPr>
        <w:spacing w:after="100"/>
      </w:pPr>
      <w:r>
        <w:rPr>
          <w:b/>
          <w:bCs/>
        </w:rPr>
        <w:t xml:space="preserve">Base file: </w:t>
      </w:r>
      <w:r>
        <w:t>preprocessed_food_demand.csv - 456,548 rows x 42 columns (Week 2 output)</w:t>
      </w:r>
    </w:p>
    <w:p w14:paraId="4263A5DA" w14:textId="77777777" w:rsidR="00D5332B" w:rsidRDefault="00000000">
      <w:pPr>
        <w:spacing w:after="100"/>
      </w:pPr>
      <w:r>
        <w:rPr>
          <w:b/>
          <w:bCs/>
        </w:rPr>
        <w:t xml:space="preserve">Output file: </w:t>
      </w:r>
      <w:r>
        <w:t>feature_engineered_food_demand.csv - 456,548 rows x 49 columns</w:t>
      </w:r>
    </w:p>
    <w:p w14:paraId="03DE72AB" w14:textId="77777777" w:rsidR="00D5332B" w:rsidRDefault="00000000">
      <w:pPr>
        <w:spacing w:after="100"/>
      </w:pPr>
      <w:r>
        <w:rPr>
          <w:b/>
          <w:bCs/>
        </w:rPr>
        <w:t xml:space="preserve">Repository: </w:t>
      </w:r>
      <w:r>
        <w:t>github.com/ashraful-ahmad/Food-Forecasting</w:t>
      </w:r>
    </w:p>
    <w:p w14:paraId="07E1AEC4" w14:textId="77777777" w:rsidR="00D5332B" w:rsidRDefault="00000000">
      <w:pPr>
        <w:pStyle w:val="Heading1"/>
        <w:spacing w:before="300" w:after="150"/>
      </w:pPr>
      <w:r>
        <w:t>1. Objective</w:t>
      </w:r>
    </w:p>
    <w:p w14:paraId="77FA41DB" w14:textId="77777777" w:rsidR="00D5332B" w:rsidRDefault="00000000">
      <w:pPr>
        <w:spacing w:after="160"/>
      </w:pPr>
      <w:r>
        <w:t>The goal of this task was to create new, meaningful features from the preprocessed food demand dataset to help a future machine learning model capture patterns that raw columns alone do not express - specifically time trends, price positioning, promotion effects, and location/meal-level baselines.</w:t>
      </w:r>
    </w:p>
    <w:p w14:paraId="56BD78A6" w14:textId="77777777" w:rsidR="00D5332B" w:rsidRDefault="00000000">
      <w:pPr>
        <w:pStyle w:val="Heading1"/>
        <w:spacing w:before="300" w:after="150"/>
      </w:pPr>
      <w:r>
        <w:t>2. Approach</w:t>
      </w:r>
    </w:p>
    <w:p w14:paraId="3DCA6F84" w14:textId="77777777" w:rsidR="00D5332B" w:rsidRDefault="00000000">
      <w:pPr>
        <w:spacing w:after="160"/>
      </w:pPr>
      <w:r>
        <w:t>Feature engineering was carried out inside the existing project notebook, inserted immediately before the ID-column-drop step from Week 2. This was a deliberate ordering choice: two categories of new features (the time-based and aggregation features) require center_id and meal_id as grouping keys to correctly associate rows with the same center or meal over time. Those ID columns are dropped afterward exactly as before, so they never reach the final modeling dataset - they were used only as an intermediate scaffold to compute the new features correctly.</w:t>
      </w:r>
    </w:p>
    <w:p w14:paraId="1A24F46C" w14:textId="77777777" w:rsidR="00D5332B" w:rsidRDefault="00000000">
      <w:pPr>
        <w:spacing w:after="160"/>
      </w:pPr>
      <w:r>
        <w:t>Three groups of engineered features were built, described below, followed by an interaction feature that ties two of them together.</w:t>
      </w:r>
    </w:p>
    <w:p w14:paraId="16C18211" w14:textId="77777777" w:rsidR="00D5332B" w:rsidRDefault="00000000">
      <w:pPr>
        <w:pStyle w:val="Heading1"/>
        <w:spacing w:before="300" w:after="150"/>
      </w:pPr>
      <w:r>
        <w:t>3. 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60"/>
        <w:gridCol w:w="5000"/>
      </w:tblGrid>
      <w:tr w:rsidR="00D5332B" w14:paraId="38525A8F" w14:textId="77777777">
        <w:tblPrEx>
          <w:tblCellMar>
            <w:top w:w="0" w:type="dxa"/>
            <w:bottom w:w="0" w:type="dxa"/>
          </w:tblCellMar>
        </w:tblPrEx>
        <w:trPr>
          <w:tblHeader/>
        </w:trPr>
        <w:tc>
          <w:tcPr>
            <w:tcW w:w="1600" w:type="dxa"/>
            <w:shd w:val="clear" w:color="auto" w:fill="D9E2F3"/>
          </w:tcPr>
          <w:p w14:paraId="18A78DCF" w14:textId="77777777" w:rsidR="00D5332B" w:rsidRDefault="00000000">
            <w:r>
              <w:rPr>
                <w:b/>
                <w:bCs/>
              </w:rPr>
              <w:t>Category</w:t>
            </w:r>
          </w:p>
        </w:tc>
        <w:tc>
          <w:tcPr>
            <w:tcW w:w="2760" w:type="dxa"/>
            <w:shd w:val="clear" w:color="auto" w:fill="D9E2F3"/>
          </w:tcPr>
          <w:p w14:paraId="6EF80A8C" w14:textId="77777777" w:rsidR="00D5332B" w:rsidRDefault="00000000">
            <w:r>
              <w:rPr>
                <w:b/>
                <w:bCs/>
              </w:rPr>
              <w:t>Feature</w:t>
            </w:r>
          </w:p>
        </w:tc>
        <w:tc>
          <w:tcPr>
            <w:tcW w:w="5000" w:type="dxa"/>
            <w:shd w:val="clear" w:color="auto" w:fill="D9E2F3"/>
          </w:tcPr>
          <w:p w14:paraId="3CB9A095" w14:textId="77777777" w:rsidR="00D5332B" w:rsidRDefault="00000000">
            <w:r>
              <w:rPr>
                <w:b/>
                <w:bCs/>
              </w:rPr>
              <w:t>What it Captures</w:t>
            </w:r>
          </w:p>
        </w:tc>
      </w:tr>
      <w:tr w:rsidR="00D5332B" w14:paraId="0D721429" w14:textId="77777777">
        <w:tblPrEx>
          <w:tblCellMar>
            <w:top w:w="0" w:type="dxa"/>
            <w:bottom w:w="0" w:type="dxa"/>
          </w:tblCellMar>
        </w:tblPrEx>
        <w:tc>
          <w:tcPr>
            <w:tcW w:w="1600" w:type="dxa"/>
          </w:tcPr>
          <w:p w14:paraId="4A68DF0A" w14:textId="77777777" w:rsidR="00D5332B" w:rsidRDefault="00000000">
            <w:r>
              <w:t>Time</w:t>
            </w:r>
          </w:p>
        </w:tc>
        <w:tc>
          <w:tcPr>
            <w:tcW w:w="2760" w:type="dxa"/>
          </w:tcPr>
          <w:p w14:paraId="34415A3A" w14:textId="77777777" w:rsidR="00D5332B" w:rsidRDefault="00000000">
            <w:r>
              <w:t>orders_last_week_log</w:t>
            </w:r>
          </w:p>
        </w:tc>
        <w:tc>
          <w:tcPr>
            <w:tcW w:w="5000" w:type="dxa"/>
          </w:tcPr>
          <w:p w14:paraId="4A2F2382" w14:textId="77777777" w:rsidR="00D5332B" w:rsidRDefault="00000000">
            <w:r>
              <w:t>Log-scale demand for the same center-meal pair, one week earlier.</w:t>
            </w:r>
          </w:p>
        </w:tc>
      </w:tr>
      <w:tr w:rsidR="00D5332B" w14:paraId="6BC8BB5F" w14:textId="77777777">
        <w:tblPrEx>
          <w:tblCellMar>
            <w:top w:w="0" w:type="dxa"/>
            <w:bottom w:w="0" w:type="dxa"/>
          </w:tblCellMar>
        </w:tblPrEx>
        <w:tc>
          <w:tcPr>
            <w:tcW w:w="1600" w:type="dxa"/>
          </w:tcPr>
          <w:p w14:paraId="6C7C2BE1" w14:textId="77777777" w:rsidR="00D5332B" w:rsidRDefault="00000000">
            <w:r>
              <w:t>Time</w:t>
            </w:r>
          </w:p>
        </w:tc>
        <w:tc>
          <w:tcPr>
            <w:tcW w:w="2760" w:type="dxa"/>
          </w:tcPr>
          <w:p w14:paraId="72AC3F69" w14:textId="77777777" w:rsidR="00D5332B" w:rsidRDefault="00000000">
            <w:r>
              <w:t>rolling_avg_3wk_log</w:t>
            </w:r>
          </w:p>
        </w:tc>
        <w:tc>
          <w:tcPr>
            <w:tcW w:w="5000" w:type="dxa"/>
          </w:tcPr>
          <w:p w14:paraId="550995E8" w14:textId="77777777" w:rsidR="00D5332B" w:rsidRDefault="00000000">
            <w:r>
              <w:t>3-week rolling mean of log-orders, shifted by one week to avoid using the current week's own value.</w:t>
            </w:r>
          </w:p>
        </w:tc>
      </w:tr>
      <w:tr w:rsidR="00D5332B" w14:paraId="7413BF8E" w14:textId="77777777">
        <w:tblPrEx>
          <w:tblCellMar>
            <w:top w:w="0" w:type="dxa"/>
            <w:bottom w:w="0" w:type="dxa"/>
          </w:tblCellMar>
        </w:tblPrEx>
        <w:tc>
          <w:tcPr>
            <w:tcW w:w="1600" w:type="dxa"/>
          </w:tcPr>
          <w:p w14:paraId="0EC92067" w14:textId="77777777" w:rsidR="00D5332B" w:rsidRDefault="00000000">
            <w:r>
              <w:t>Price</w:t>
            </w:r>
          </w:p>
        </w:tc>
        <w:tc>
          <w:tcPr>
            <w:tcW w:w="2760" w:type="dxa"/>
          </w:tcPr>
          <w:p w14:paraId="54ECD0AE" w14:textId="77777777" w:rsidR="00D5332B" w:rsidRDefault="00000000">
            <w:r>
              <w:t>discount_pct</w:t>
            </w:r>
          </w:p>
        </w:tc>
        <w:tc>
          <w:tcPr>
            <w:tcW w:w="5000" w:type="dxa"/>
          </w:tcPr>
          <w:p w14:paraId="1C0E8512" w14:textId="77777777" w:rsidR="00D5332B" w:rsidRDefault="00000000">
            <w:r>
              <w:t>Discount expressed as a percentage of base price, comparable across cheap and expensive meals.</w:t>
            </w:r>
          </w:p>
        </w:tc>
      </w:tr>
      <w:tr w:rsidR="00D5332B" w14:paraId="092F3D08" w14:textId="77777777">
        <w:tblPrEx>
          <w:tblCellMar>
            <w:top w:w="0" w:type="dxa"/>
            <w:bottom w:w="0" w:type="dxa"/>
          </w:tblCellMar>
        </w:tblPrEx>
        <w:tc>
          <w:tcPr>
            <w:tcW w:w="1600" w:type="dxa"/>
          </w:tcPr>
          <w:p w14:paraId="34A89762" w14:textId="77777777" w:rsidR="00D5332B" w:rsidRDefault="00000000">
            <w:r>
              <w:t>Price</w:t>
            </w:r>
          </w:p>
        </w:tc>
        <w:tc>
          <w:tcPr>
            <w:tcW w:w="2760" w:type="dxa"/>
          </w:tcPr>
          <w:p w14:paraId="42C45A8D" w14:textId="77777777" w:rsidR="00D5332B" w:rsidRDefault="00000000">
            <w:r>
              <w:t>price_vs_category_avg</w:t>
            </w:r>
          </w:p>
        </w:tc>
        <w:tc>
          <w:tcPr>
            <w:tcW w:w="5000" w:type="dxa"/>
          </w:tcPr>
          <w:p w14:paraId="01D2A5CC" w14:textId="77777777" w:rsidR="00D5332B" w:rsidRDefault="00000000">
            <w:r>
              <w:t>How a meal's checkout price compares to the average price within its own category.</w:t>
            </w:r>
          </w:p>
        </w:tc>
      </w:tr>
      <w:tr w:rsidR="00D5332B" w14:paraId="374B6DE1" w14:textId="77777777">
        <w:tblPrEx>
          <w:tblCellMar>
            <w:top w:w="0" w:type="dxa"/>
            <w:bottom w:w="0" w:type="dxa"/>
          </w:tblCellMar>
        </w:tblPrEx>
        <w:tc>
          <w:tcPr>
            <w:tcW w:w="1600" w:type="dxa"/>
          </w:tcPr>
          <w:p w14:paraId="74451F0B" w14:textId="77777777" w:rsidR="00D5332B" w:rsidRDefault="00000000">
            <w:r>
              <w:t>Interaction</w:t>
            </w:r>
          </w:p>
        </w:tc>
        <w:tc>
          <w:tcPr>
            <w:tcW w:w="2760" w:type="dxa"/>
          </w:tcPr>
          <w:p w14:paraId="1AC4D03E" w14:textId="77777777" w:rsidR="00D5332B" w:rsidRDefault="00000000">
            <w:r>
              <w:t>discount_x_promo</w:t>
            </w:r>
          </w:p>
        </w:tc>
        <w:tc>
          <w:tcPr>
            <w:tcW w:w="5000" w:type="dxa"/>
          </w:tcPr>
          <w:p w14:paraId="0B758A68" w14:textId="77777777" w:rsidR="00D5332B" w:rsidRDefault="00000000">
            <w:r>
              <w:t>Product of discount_pct and the promotion flag, letting a model learn that discounts matter more when paired with active promotion.</w:t>
            </w:r>
          </w:p>
        </w:tc>
      </w:tr>
      <w:tr w:rsidR="00D5332B" w14:paraId="3E4BDF7F" w14:textId="77777777">
        <w:tblPrEx>
          <w:tblCellMar>
            <w:top w:w="0" w:type="dxa"/>
            <w:bottom w:w="0" w:type="dxa"/>
          </w:tblCellMar>
        </w:tblPrEx>
        <w:tc>
          <w:tcPr>
            <w:tcW w:w="1600" w:type="dxa"/>
          </w:tcPr>
          <w:p w14:paraId="63C3301F" w14:textId="77777777" w:rsidR="00D5332B" w:rsidRDefault="00000000">
            <w:r>
              <w:t>Aggregation</w:t>
            </w:r>
          </w:p>
        </w:tc>
        <w:tc>
          <w:tcPr>
            <w:tcW w:w="2760" w:type="dxa"/>
          </w:tcPr>
          <w:p w14:paraId="5219F7DE" w14:textId="77777777" w:rsidR="00D5332B" w:rsidRDefault="00000000">
            <w:r>
              <w:t>center_avg_orders_log</w:t>
            </w:r>
          </w:p>
        </w:tc>
        <w:tc>
          <w:tcPr>
            <w:tcW w:w="5000" w:type="dxa"/>
          </w:tcPr>
          <w:p w14:paraId="4946DAFC" w14:textId="77777777" w:rsidR="00D5332B" w:rsidRDefault="00000000">
            <w:r>
              <w:t>Historical average log-demand per center - a "busy hub" baseline.</w:t>
            </w:r>
          </w:p>
        </w:tc>
      </w:tr>
      <w:tr w:rsidR="00D5332B" w14:paraId="739E53EE" w14:textId="77777777">
        <w:tblPrEx>
          <w:tblCellMar>
            <w:top w:w="0" w:type="dxa"/>
            <w:bottom w:w="0" w:type="dxa"/>
          </w:tblCellMar>
        </w:tblPrEx>
        <w:tc>
          <w:tcPr>
            <w:tcW w:w="1600" w:type="dxa"/>
          </w:tcPr>
          <w:p w14:paraId="7FC9DED4" w14:textId="77777777" w:rsidR="00D5332B" w:rsidRDefault="00000000">
            <w:r>
              <w:t>Aggregation</w:t>
            </w:r>
          </w:p>
        </w:tc>
        <w:tc>
          <w:tcPr>
            <w:tcW w:w="2760" w:type="dxa"/>
          </w:tcPr>
          <w:p w14:paraId="7E766718" w14:textId="77777777" w:rsidR="00D5332B" w:rsidRDefault="00000000">
            <w:r>
              <w:t>meal_avg_orders_log</w:t>
            </w:r>
          </w:p>
        </w:tc>
        <w:tc>
          <w:tcPr>
            <w:tcW w:w="5000" w:type="dxa"/>
          </w:tcPr>
          <w:p w14:paraId="1F5DFC21" w14:textId="77777777" w:rsidR="00D5332B" w:rsidRDefault="00000000">
            <w:r>
              <w:t>Historical average log-demand per meal - a "popular dish" baseline.</w:t>
            </w:r>
          </w:p>
        </w:tc>
      </w:tr>
    </w:tbl>
    <w:p w14:paraId="1C06B86A" w14:textId="77777777" w:rsidR="00D5332B" w:rsidRDefault="00000000">
      <w:pPr>
        <w:pStyle w:val="Heading1"/>
        <w:spacing w:before="300" w:after="150"/>
      </w:pPr>
      <w:r>
        <w:t>4. Rationale by Category</w:t>
      </w:r>
    </w:p>
    <w:p w14:paraId="48DD842A" w14:textId="77777777" w:rsidR="00D5332B" w:rsidRDefault="00000000">
      <w:pPr>
        <w:pStyle w:val="Heading2"/>
        <w:spacing w:before="240" w:after="120"/>
      </w:pPr>
      <w:r>
        <w:t>4.1 Time-based features</w:t>
      </w:r>
    </w:p>
    <w:p w14:paraId="752407EF" w14:textId="77777777" w:rsidR="00D5332B" w:rsidRDefault="00000000">
      <w:pPr>
        <w:spacing w:after="160"/>
      </w:pPr>
      <w:r>
        <w:t>Past demand is typically the single strongest predictor of near-future demand in a time series. orders_last_week_log gives the model direct visibility into what happened one week prior for the exact same center-meal pair. rolling_avg_3wk_log complements this by smoothing short-term noise and surfacing the underlying trend rather than a single volatile data point. The rolling window was deliberately shifted by one week before averaging, so a row's own current-week value can never leak into its own rolling feature.</w:t>
      </w:r>
    </w:p>
    <w:p w14:paraId="02516360" w14:textId="77777777" w:rsidR="00D5332B" w:rsidRDefault="00000000">
      <w:pPr>
        <w:pStyle w:val="Heading2"/>
        <w:spacing w:before="240" w:after="120"/>
      </w:pPr>
      <w:r>
        <w:lastRenderedPageBreak/>
        <w:t>4.2 Price-based features</w:t>
      </w:r>
    </w:p>
    <w:p w14:paraId="075DFD9F" w14:textId="77777777" w:rsidR="00D5332B" w:rsidRDefault="00000000">
      <w:pPr>
        <w:spacing w:after="160"/>
      </w:pPr>
      <w:r>
        <w:t>The dataset's raw discount column (base_price minus checkout_price) is an absolute amount, which is not directly comparable across a low-priced Beverage and a high-priced Biryani. discount_pct expresses the same idea as a percentage, making it comparable across the full price range. price_vs_category_avg goes a step further: rather than looking at raw price, it measures whether a specific meal is priced above or below the average for its own category, which is a more useful signal of relative affordability than an absolute price number.</w:t>
      </w:r>
    </w:p>
    <w:p w14:paraId="3BD76287" w14:textId="77777777" w:rsidR="00D5332B" w:rsidRDefault="00000000">
      <w:pPr>
        <w:pStyle w:val="Heading2"/>
        <w:spacing w:before="240" w:after="120"/>
      </w:pPr>
      <w:r>
        <w:t>4.3 Interaction feature</w:t>
      </w:r>
    </w:p>
    <w:p w14:paraId="50EBB47E" w14:textId="77777777" w:rsidR="00D5332B" w:rsidRDefault="00000000">
      <w:pPr>
        <w:spacing w:after="160"/>
      </w:pPr>
      <w:r>
        <w:t>Week 1's EDA found that promotional lift varies substantially by category - Rice Bowl and Sandwich saw roughly 3.6-3.7x lift under promotion, while Beverages saw only about 1.4x. Rather than hand-coding this into the feature set, discount_x_promo (discount_pct multiplied by the promotion flag) lets a model learn the compounding effect of discounting during an active promotion directly from the data, without assuming which categories benefit most in advance.</w:t>
      </w:r>
    </w:p>
    <w:p w14:paraId="7D78200F" w14:textId="77777777" w:rsidR="00D5332B" w:rsidRDefault="00000000">
      <w:pPr>
        <w:pStyle w:val="Heading2"/>
        <w:spacing w:before="240" w:after="120"/>
      </w:pPr>
      <w:r>
        <w:t>4.4 Aggregation features</w:t>
      </w:r>
    </w:p>
    <w:p w14:paraId="0472DAEF" w14:textId="77777777" w:rsidR="00D5332B" w:rsidRDefault="00000000">
      <w:pPr>
        <w:spacing w:after="160"/>
      </w:pPr>
      <w:r>
        <w:t>center_avg_orders_log and meal_avg_orders_log are mean-encoded baselines: some centers are simply busier hubs regardless of week, and some meals are simply more popular regardless of center. Giving the model this baseline directly means it does not have to re-derive it indirectly from the one-hot encoded category and region columns.</w:t>
      </w:r>
    </w:p>
    <w:p w14:paraId="4545C37D" w14:textId="77777777" w:rsidR="00D5332B" w:rsidRDefault="00000000">
      <w:pPr>
        <w:pStyle w:val="Heading1"/>
        <w:spacing w:before="300" w:after="150"/>
      </w:pPr>
      <w:r>
        <w:t>5. Handling Missing Values</w:t>
      </w:r>
    </w:p>
    <w:p w14:paraId="206962E3" w14:textId="77777777" w:rsidR="00D5332B" w:rsidRDefault="00000000">
      <w:pPr>
        <w:spacing w:after="160"/>
      </w:pPr>
      <w:r>
        <w:t>orders_last_week_log and rolling_avg_3wk_log are undefined for each center-meal pair's very first recorded week, since there is no prior week to reference. These gaps were filled with that same pair's own overall average log-demand, which is a reasonable estimate in the absence of history and keeps every row usable without dropping data.</w:t>
      </w:r>
    </w:p>
    <w:p w14:paraId="06035517" w14:textId="77777777" w:rsidR="00D5332B" w:rsidRDefault="00000000">
      <w:pPr>
        <w:pStyle w:val="Heading1"/>
        <w:spacing w:before="300" w:after="150"/>
      </w:pPr>
      <w:r>
        <w:t>6. Known Limitation: Mean-Encoding Leakage</w:t>
      </w:r>
    </w:p>
    <w:p w14:paraId="48E416CA" w14:textId="77777777" w:rsidR="00D5332B" w:rsidRDefault="00000000">
      <w:pPr>
        <w:spacing w:after="160"/>
      </w:pPr>
      <w:r>
        <w:t>center_avg_orders_log, meal_avg_orders_log, and price_vs_category_avg are computed using the entire dataset, which technically includes weeks that occur after any given row chronologically. This is a common and acceptable simplification for an initial feature set, but it is a mild form of data leakage. A stricter, fully leakage-free pipeline would compute these using only past data relative to each row (for example, an expanding window per center or meal). This is flagged here as a deliberate simplification and a candidate improvement for a later iteration of the pipeline, rather than an oversight.</w:t>
      </w:r>
    </w:p>
    <w:p w14:paraId="714B2F80" w14:textId="77777777" w:rsidR="00D5332B" w:rsidRDefault="00000000">
      <w:pPr>
        <w:pStyle w:val="Heading1"/>
        <w:spacing w:before="300" w:after="150"/>
      </w:pPr>
      <w:r>
        <w:t>7. Before vs After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5332B" w14:paraId="20E612EC" w14:textId="77777777">
        <w:tblPrEx>
          <w:tblCellMar>
            <w:top w:w="0" w:type="dxa"/>
            <w:bottom w:w="0" w:type="dxa"/>
          </w:tblCellMar>
        </w:tblPrEx>
        <w:trPr>
          <w:tblHeader/>
        </w:trPr>
        <w:tc>
          <w:tcPr>
            <w:tcW w:w="4680" w:type="dxa"/>
            <w:shd w:val="clear" w:color="auto" w:fill="D9E2F3"/>
          </w:tcPr>
          <w:p w14:paraId="6C6A45D2" w14:textId="77777777" w:rsidR="00D5332B" w:rsidRDefault="00D5332B"/>
        </w:tc>
        <w:tc>
          <w:tcPr>
            <w:tcW w:w="2340" w:type="dxa"/>
            <w:shd w:val="clear" w:color="auto" w:fill="D9E2F3"/>
          </w:tcPr>
          <w:p w14:paraId="44058119" w14:textId="77777777" w:rsidR="00D5332B" w:rsidRDefault="00000000">
            <w:r>
              <w:rPr>
                <w:b/>
                <w:bCs/>
              </w:rPr>
              <w:t>Before (Week 2)</w:t>
            </w:r>
          </w:p>
        </w:tc>
        <w:tc>
          <w:tcPr>
            <w:tcW w:w="2340" w:type="dxa"/>
            <w:shd w:val="clear" w:color="auto" w:fill="D9E2F3"/>
          </w:tcPr>
          <w:p w14:paraId="22368702" w14:textId="77777777" w:rsidR="00D5332B" w:rsidRDefault="00000000">
            <w:r>
              <w:rPr>
                <w:b/>
                <w:bCs/>
              </w:rPr>
              <w:t>After (Week 3)</w:t>
            </w:r>
          </w:p>
        </w:tc>
      </w:tr>
      <w:tr w:rsidR="00D5332B" w14:paraId="15DC0729" w14:textId="77777777">
        <w:tblPrEx>
          <w:tblCellMar>
            <w:top w:w="0" w:type="dxa"/>
            <w:bottom w:w="0" w:type="dxa"/>
          </w:tblCellMar>
        </w:tblPrEx>
        <w:tc>
          <w:tcPr>
            <w:tcW w:w="4680" w:type="dxa"/>
          </w:tcPr>
          <w:p w14:paraId="3570AE3E" w14:textId="77777777" w:rsidR="00D5332B" w:rsidRDefault="00000000">
            <w:r>
              <w:t>Rows</w:t>
            </w:r>
          </w:p>
        </w:tc>
        <w:tc>
          <w:tcPr>
            <w:tcW w:w="2340" w:type="dxa"/>
          </w:tcPr>
          <w:p w14:paraId="3ED95771" w14:textId="77777777" w:rsidR="00D5332B" w:rsidRDefault="00000000">
            <w:r>
              <w:t>456,548</w:t>
            </w:r>
          </w:p>
        </w:tc>
        <w:tc>
          <w:tcPr>
            <w:tcW w:w="2340" w:type="dxa"/>
          </w:tcPr>
          <w:p w14:paraId="32FC5880" w14:textId="77777777" w:rsidR="00D5332B" w:rsidRDefault="00000000">
            <w:r>
              <w:t>456,548 (unchanged)</w:t>
            </w:r>
          </w:p>
        </w:tc>
      </w:tr>
      <w:tr w:rsidR="00D5332B" w14:paraId="36A0254E" w14:textId="77777777">
        <w:tblPrEx>
          <w:tblCellMar>
            <w:top w:w="0" w:type="dxa"/>
            <w:bottom w:w="0" w:type="dxa"/>
          </w:tblCellMar>
        </w:tblPrEx>
        <w:tc>
          <w:tcPr>
            <w:tcW w:w="4680" w:type="dxa"/>
          </w:tcPr>
          <w:p w14:paraId="350B6F82" w14:textId="77777777" w:rsidR="00D5332B" w:rsidRDefault="00000000">
            <w:r>
              <w:t>Columns</w:t>
            </w:r>
          </w:p>
        </w:tc>
        <w:tc>
          <w:tcPr>
            <w:tcW w:w="2340" w:type="dxa"/>
          </w:tcPr>
          <w:p w14:paraId="12C1B03C" w14:textId="77777777" w:rsidR="00D5332B" w:rsidRDefault="00000000">
            <w:r>
              <w:t>42</w:t>
            </w:r>
          </w:p>
        </w:tc>
        <w:tc>
          <w:tcPr>
            <w:tcW w:w="2340" w:type="dxa"/>
          </w:tcPr>
          <w:p w14:paraId="2B92B7C1" w14:textId="77777777" w:rsidR="00D5332B" w:rsidRDefault="00000000">
            <w:r>
              <w:t>49</w:t>
            </w:r>
          </w:p>
        </w:tc>
      </w:tr>
      <w:tr w:rsidR="00D5332B" w14:paraId="1DF512BE" w14:textId="77777777">
        <w:tblPrEx>
          <w:tblCellMar>
            <w:top w:w="0" w:type="dxa"/>
            <w:bottom w:w="0" w:type="dxa"/>
          </w:tblCellMar>
        </w:tblPrEx>
        <w:tc>
          <w:tcPr>
            <w:tcW w:w="4680" w:type="dxa"/>
          </w:tcPr>
          <w:p w14:paraId="38C3F209" w14:textId="77777777" w:rsidR="00D5332B" w:rsidRDefault="00000000">
            <w:r>
              <w:t>New engineered features</w:t>
            </w:r>
          </w:p>
        </w:tc>
        <w:tc>
          <w:tcPr>
            <w:tcW w:w="2340" w:type="dxa"/>
          </w:tcPr>
          <w:p w14:paraId="50290ECC" w14:textId="77777777" w:rsidR="00D5332B" w:rsidRDefault="00000000">
            <w:r>
              <w:t>0</w:t>
            </w:r>
          </w:p>
        </w:tc>
        <w:tc>
          <w:tcPr>
            <w:tcW w:w="2340" w:type="dxa"/>
          </w:tcPr>
          <w:p w14:paraId="5229858B" w14:textId="77777777" w:rsidR="00D5332B" w:rsidRDefault="00000000">
            <w:r>
              <w:t>7</w:t>
            </w:r>
          </w:p>
        </w:tc>
      </w:tr>
      <w:tr w:rsidR="00D5332B" w14:paraId="028E428F" w14:textId="77777777">
        <w:tblPrEx>
          <w:tblCellMar>
            <w:top w:w="0" w:type="dxa"/>
            <w:bottom w:w="0" w:type="dxa"/>
          </w:tblCellMar>
        </w:tblPrEx>
        <w:tc>
          <w:tcPr>
            <w:tcW w:w="4680" w:type="dxa"/>
          </w:tcPr>
          <w:p w14:paraId="5DDCD66B" w14:textId="77777777" w:rsidR="00D5332B" w:rsidRDefault="00000000">
            <w:r>
              <w:t>Missing values</w:t>
            </w:r>
          </w:p>
        </w:tc>
        <w:tc>
          <w:tcPr>
            <w:tcW w:w="2340" w:type="dxa"/>
          </w:tcPr>
          <w:p w14:paraId="7C1AA713" w14:textId="77777777" w:rsidR="00D5332B" w:rsidRDefault="00000000">
            <w:r>
              <w:t>0</w:t>
            </w:r>
          </w:p>
        </w:tc>
        <w:tc>
          <w:tcPr>
            <w:tcW w:w="2340" w:type="dxa"/>
          </w:tcPr>
          <w:p w14:paraId="25888CCC" w14:textId="77777777" w:rsidR="00D5332B" w:rsidRDefault="00000000">
            <w:r>
              <w:t>0 (post-fill)</w:t>
            </w:r>
          </w:p>
        </w:tc>
      </w:tr>
    </w:tbl>
    <w:p w14:paraId="269C1043" w14:textId="77777777" w:rsidR="00D5332B" w:rsidRDefault="00000000">
      <w:pPr>
        <w:pStyle w:val="Heading1"/>
        <w:spacing w:before="300" w:after="150"/>
      </w:pPr>
      <w:r>
        <w:t>8. Usefulness for a Machine Learning Model</w:t>
      </w:r>
    </w:p>
    <w:p w14:paraId="4C28A98A" w14:textId="77777777" w:rsidR="00D5332B" w:rsidRDefault="00000000">
      <w:pPr>
        <w:spacing w:after="160"/>
      </w:pPr>
      <w:r>
        <w:t>Together, these seven features give a future demand-forecasting model access to signal that the raw preprocessed columns do not directly expose: recent history and trend (time-based features), relative pricing position (price-based features), a learnable promotion-discount interaction, and stable per-center and per-meal baselines (aggregation features). This mix was chosen deliberately to cover distinct types of signal - recency, price positioning, interaction effects, and long-run baselines - rather than several variations on a single idea, so a downstream model has a genuinely richer, more diverse feature set to learn from.</w:t>
      </w:r>
    </w:p>
    <w:sectPr w:rsidR="00D533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5B0B55"/>
    <w:multiLevelType w:val="hybridMultilevel"/>
    <w:tmpl w:val="F2F8CF88"/>
    <w:lvl w:ilvl="0" w:tplc="4D984144">
      <w:start w:val="1"/>
      <w:numFmt w:val="bullet"/>
      <w:lvlText w:val="•"/>
      <w:lvlJc w:val="left"/>
      <w:pPr>
        <w:ind w:left="450" w:hanging="260"/>
      </w:pPr>
    </w:lvl>
    <w:lvl w:ilvl="1" w:tplc="26701868">
      <w:numFmt w:val="decimal"/>
      <w:lvlText w:val=""/>
      <w:lvlJc w:val="left"/>
    </w:lvl>
    <w:lvl w:ilvl="2" w:tplc="9CC60294">
      <w:numFmt w:val="decimal"/>
      <w:lvlText w:val=""/>
      <w:lvlJc w:val="left"/>
    </w:lvl>
    <w:lvl w:ilvl="3" w:tplc="41EC5964">
      <w:numFmt w:val="decimal"/>
      <w:lvlText w:val=""/>
      <w:lvlJc w:val="left"/>
    </w:lvl>
    <w:lvl w:ilvl="4" w:tplc="AC6AE5DA">
      <w:numFmt w:val="decimal"/>
      <w:lvlText w:val=""/>
      <w:lvlJc w:val="left"/>
    </w:lvl>
    <w:lvl w:ilvl="5" w:tplc="711C9EDA">
      <w:numFmt w:val="decimal"/>
      <w:lvlText w:val=""/>
      <w:lvlJc w:val="left"/>
    </w:lvl>
    <w:lvl w:ilvl="6" w:tplc="9D844E1C">
      <w:numFmt w:val="decimal"/>
      <w:lvlText w:val=""/>
      <w:lvlJc w:val="left"/>
    </w:lvl>
    <w:lvl w:ilvl="7" w:tplc="E8DA9AA6">
      <w:numFmt w:val="decimal"/>
      <w:lvlText w:val=""/>
      <w:lvlJc w:val="left"/>
    </w:lvl>
    <w:lvl w:ilvl="8" w:tplc="42FAC032">
      <w:numFmt w:val="decimal"/>
      <w:lvlText w:val=""/>
      <w:lvlJc w:val="left"/>
    </w:lvl>
  </w:abstractNum>
  <w:abstractNum w:abstractNumId="1" w15:restartNumberingAfterBreak="0">
    <w:nsid w:val="6C472702"/>
    <w:multiLevelType w:val="hybridMultilevel"/>
    <w:tmpl w:val="53E25F18"/>
    <w:lvl w:ilvl="0" w:tplc="AA483746">
      <w:start w:val="1"/>
      <w:numFmt w:val="bullet"/>
      <w:lvlText w:val="●"/>
      <w:lvlJc w:val="left"/>
      <w:pPr>
        <w:ind w:left="720" w:hanging="360"/>
      </w:pPr>
    </w:lvl>
    <w:lvl w:ilvl="1" w:tplc="EACAD794">
      <w:start w:val="1"/>
      <w:numFmt w:val="bullet"/>
      <w:lvlText w:val="○"/>
      <w:lvlJc w:val="left"/>
      <w:pPr>
        <w:ind w:left="1440" w:hanging="360"/>
      </w:pPr>
    </w:lvl>
    <w:lvl w:ilvl="2" w:tplc="CA5E16BC">
      <w:start w:val="1"/>
      <w:numFmt w:val="bullet"/>
      <w:lvlText w:val="■"/>
      <w:lvlJc w:val="left"/>
      <w:pPr>
        <w:ind w:left="2160" w:hanging="360"/>
      </w:pPr>
    </w:lvl>
    <w:lvl w:ilvl="3" w:tplc="99780942">
      <w:start w:val="1"/>
      <w:numFmt w:val="bullet"/>
      <w:lvlText w:val="●"/>
      <w:lvlJc w:val="left"/>
      <w:pPr>
        <w:ind w:left="2880" w:hanging="360"/>
      </w:pPr>
    </w:lvl>
    <w:lvl w:ilvl="4" w:tplc="798455DC">
      <w:start w:val="1"/>
      <w:numFmt w:val="bullet"/>
      <w:lvlText w:val="○"/>
      <w:lvlJc w:val="left"/>
      <w:pPr>
        <w:ind w:left="3600" w:hanging="360"/>
      </w:pPr>
    </w:lvl>
    <w:lvl w:ilvl="5" w:tplc="5B82F84A">
      <w:start w:val="1"/>
      <w:numFmt w:val="bullet"/>
      <w:lvlText w:val="■"/>
      <w:lvlJc w:val="left"/>
      <w:pPr>
        <w:ind w:left="4320" w:hanging="360"/>
      </w:pPr>
    </w:lvl>
    <w:lvl w:ilvl="6" w:tplc="B088C964">
      <w:start w:val="1"/>
      <w:numFmt w:val="bullet"/>
      <w:lvlText w:val="●"/>
      <w:lvlJc w:val="left"/>
      <w:pPr>
        <w:ind w:left="5040" w:hanging="360"/>
      </w:pPr>
    </w:lvl>
    <w:lvl w:ilvl="7" w:tplc="B48C067A">
      <w:start w:val="1"/>
      <w:numFmt w:val="bullet"/>
      <w:lvlText w:val="●"/>
      <w:lvlJc w:val="left"/>
      <w:pPr>
        <w:ind w:left="5760" w:hanging="360"/>
      </w:pPr>
    </w:lvl>
    <w:lvl w:ilvl="8" w:tplc="EF1A46D6">
      <w:start w:val="1"/>
      <w:numFmt w:val="bullet"/>
      <w:lvlText w:val="●"/>
      <w:lvlJc w:val="left"/>
      <w:pPr>
        <w:ind w:left="6480" w:hanging="360"/>
      </w:pPr>
    </w:lvl>
  </w:abstractNum>
  <w:num w:numId="1" w16cid:durableId="9463476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32B"/>
    <w:rsid w:val="00731543"/>
    <w:rsid w:val="00D5332B"/>
    <w:rsid w:val="00F90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3024"/>
  <w15:docId w15:val="{985CE15F-BADE-4C7D-BBBC-58618B3A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Ahmad</cp:lastModifiedBy>
  <cp:revision>2</cp:revision>
  <dcterms:created xsi:type="dcterms:W3CDTF">2026-09-11T12:12:00Z</dcterms:created>
  <dcterms:modified xsi:type="dcterms:W3CDTF">2026-09-11T12:26:00Z</dcterms:modified>
</cp:coreProperties>
</file>