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Vector Databases: Building a Semantic Retrieval System (AAIDC-Week2-Lesson-4b)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lesson provides a comprehensive guide to building a vector database pipeline for semantic retrieval. It emphasizes practical implementation using real documents, embedding models, and ChromaDB. This foundational knowledge is crucial for developing agentic AI projects.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Key Steps and Concepts: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Choosing an Embedding Model: The process begins with selecting an appropriate embedding model (e.g., all-MiniLM-L6-v2 from Hugging Face) to convert text into numerical vector embeddings. The choice of model impacts how effectively meaning is captured from the text.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Document Preparation: Documents are structured as Document objects, including page_content (the text) and metadata (for filtering and organization). For large documents, intelligent chunking is essential to avoid loss of granularity and exceeding model token limits. Chunks of 300-800 tokens are generally recommended for optimal retrieval performance. The RecursiveCharacterTextSplitter from LangChain is used for intelligent text splitting with chunk_overlap to preserve context across boundaries.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Vector Store Creation: The prepared documents and their embeddings are then stored in a vector database, such as ChromaDB. ChromaDB handles the storage of vectors and the creation of a similarity index, making it easy to perform semantic searches.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Semantic Search: Once the vector store is populated, semantic queries can be executed. The similarity_search_with_score method returns documents based on conceptual similarity, rather than exact keyword matches. Lower scores indicate higher relevance (e.g., cosine distance).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Production Considerations: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Performance and Persistence: While in-memory databases like FAISS or temporary Chroma instances are great for prototyping, production systems require persistent storage (e.g., disk-backed or distributed configurations offered by Chroma, Qdrant, Weaviate) to ensure data durability and scalability.</w:t>
      </w:r>
    </w:p>
    <w:p w:rsidR="00000000" w:rsidDel="00000000" w:rsidP="00000000" w:rsidRDefault="00000000" w:rsidRPr="00000000" w14:paraId="00000012">
      <w:pPr>
        <w:rPr/>
      </w:pPr>
      <w:r w:rsidDel="00000000" w:rsidR="00000000" w:rsidRPr="00000000">
        <w:rPr>
          <w:rtl w:val="0"/>
        </w:rPr>
        <w:t xml:space="preserve">*   Update Strategies: Important considerations include how to re-embed new documents, support real-time updates, and manage changes to the embedding model in a production environment.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Importance for Agentic AI: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semantic retrieval system forms the fundamental memory layer for agentic AI. It enables AI agents to access external knowledge by translating natural language questions into precise, relevant contexts. This capability is vital for developing intelligent, reliable, and dynamic AI systems that can reason over information.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Conclusion:</w:t>
      </w:r>
    </w:p>
    <w:p w:rsidR="00000000" w:rsidDel="00000000" w:rsidP="00000000" w:rsidRDefault="00000000" w:rsidRPr="00000000" w14:paraId="00000019">
      <w:pPr>
        <w:rPr/>
      </w:pPr>
      <w:r w:rsidDel="00000000" w:rsidR="00000000" w:rsidRPr="00000000">
        <w:rPr>
          <w:rtl w:val="0"/>
        </w:rPr>
        <w:t xml:space="preserve">Building an effective semantic retrieval system involves converting documents into searchable embeddings, implementing intelligent chunking strategies, and understanding deployment considerations for production. This system is the core memory for agentic AI, and its retrieval quality directly influences the intelligence and utility of AI agents. Further experimentation with chunk sizes and embedding models is encouraged to optimize search relevance and specificity.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Website Link: https://app.readytensor.ai/publications/hwjIdxHZGASQ</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