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p>
    <w:p/>
    <w:p/>
    <w:p>
      <w:pPr>
        <w:jc w:val="center"/>
      </w:pPr>
      <w:r>
        <w:drawing>
          <wp:inline xmlns:a="http://schemas.openxmlformats.org/drawingml/2006/main" xmlns:pic="http://schemas.openxmlformats.org/drawingml/2006/picture">
            <wp:extent cx="3420000" cy="293526"/>
            <wp:docPr id="1" name="Picture 1"/>
            <wp:cNvGraphicFramePr>
              <a:graphicFrameLocks noChangeAspect="1"/>
            </wp:cNvGraphicFramePr>
            <a:graphic>
              <a:graphicData uri="http://schemas.openxmlformats.org/drawingml/2006/picture">
                <pic:pic>
                  <pic:nvPicPr>
                    <pic:cNvPr id="0" name="logo_final.png"/>
                    <pic:cNvPicPr/>
                  </pic:nvPicPr>
                  <pic:blipFill>
                    <a:blip r:embed="rId19"/>
                    <a:stretch>
                      <a:fillRect/>
                    </a:stretch>
                  </pic:blipFill>
                  <pic:spPr>
                    <a:xfrm>
                      <a:off x="0" y="0"/>
                      <a:ext cx="3420000" cy="293526"/>
                    </a:xfrm>
                    <a:prstGeom prst="rect"/>
                  </pic:spPr>
                </pic:pic>
              </a:graphicData>
            </a:graphic>
          </wp:inline>
        </w:drawing>
      </w:r>
    </w:p>
    <w:p/>
    <w:p>
      <w:pPr>
        <w:jc w:val="center"/>
      </w:pPr>
      <w:r>
        <w:rPr>
          <w:b/>
          <w:color w:val="1F3864"/>
          <w:sz w:val="56"/>
        </w:rPr>
        <w:t>Code Companion</w:t>
      </w:r>
    </w:p>
    <w:p>
      <w:pPr>
        <w:jc w:val="center"/>
      </w:pPr>
      <w:r>
        <w:rPr>
          <w:b w:val="0"/>
          <w:color w:val="2E404D"/>
          <w:sz w:val="28"/>
        </w:rPr>
        <w:t>ABAP Cloud &amp; Clean Core Assistant</w:t>
      </w:r>
    </w:p>
    <w:p/>
    <w:p>
      <w:pPr>
        <w:jc w:val="center"/>
      </w:pPr>
      <w:r>
        <w:rPr>
          <w:b/>
          <w:color w:val="1F3864"/>
          <w:sz w:val="32"/>
        </w:rPr>
        <w:t>Product &amp; Technical Reference Documentation</w:t>
      </w:r>
    </w:p>
    <w:p/>
    <w:p>
      <w:pPr>
        <w:jc w:val="center"/>
      </w:pPr>
      <w:r>
        <w:rPr>
          <w:i/>
          <w:color w:val="2E404D"/>
          <w:sz w:val="20"/>
        </w:rPr>
        <w:t>Powered by aXet.flows</w:t>
      </w:r>
    </w:p>
    <w:p>
      <w:r>
        <w:br w:type="page"/>
      </w:r>
    </w:p>
    <w:p>
      <w:r>
        <w:rPr>
          <w:b/>
          <w:color w:val="1F3864"/>
          <w:sz w:val="56"/>
        </w:rPr>
        <w:t>Code Companion</w:t>
      </w:r>
    </w:p>
    <w:p>
      <w:pPr>
        <w:spacing w:after="160"/>
      </w:pPr>
      <w:r>
        <w:rPr>
          <w:sz w:val="21"/>
        </w:rPr>
      </w:r>
    </w:p>
    <w:p>
      <w:pPr>
        <w:spacing w:before="280" w:after="120"/>
      </w:pPr>
      <w:r>
        <w:rPr>
          <w:rFonts w:ascii="Times New Roman" w:hAnsi="Times New Roman"/>
          <w:b/>
          <w:color w:val="0072BC"/>
          <w:sz w:val="36"/>
        </w:rPr>
        <w:t>1. Objective</w:t>
      </w:r>
    </w:p>
    <w:p>
      <w:pPr>
        <w:spacing w:after="160"/>
      </w:pPr>
      <w:r>
        <w:rPr>
          <w:sz w:val="21"/>
        </w:rPr>
        <w:t>Code Companion is an AI development assistant that helps SAP developers move from a plain-language requirement to a working, Clean-Core-aligned implementation. The developer describes what they need built, and Code Companion guides them through a structured conversation — confirming the requirement, generating the implementation, validating it, and closing with a summary — producing code alongside its explanation, test strategy, deployment notes, and Clean-Core impact in one guided pass.</w:t>
      </w:r>
    </w:p>
    <w:p>
      <w:pPr>
        <w:spacing w:after="160"/>
      </w:pPr>
      <w:r>
        <w:rPr>
          <w:sz w:val="21"/>
        </w:rPr>
        <w:t>It supports ABAP, ABAP Cloud, CDS, RAP, OData services, Fiori/UI5 integration points, and CAP applications on SAP BTP, following SAP Clean Core design principles throughout every response.</w:t>
      </w:r>
    </w:p>
    <w:tbl>
      <w:tblPr>
        <w:tblW w:type="auto" w:w="0"/>
        <w:tblLayout w:type="autofit"/>
        <w:tblLook w:firstColumn="1" w:firstRow="1" w:lastColumn="0" w:lastRow="0" w:noHBand="0" w:noVBand="1" w:val="04A0"/>
      </w:tblPr>
      <w:tblGrid>
        <w:gridCol w:w="9638"/>
      </w:tblGrid>
      <w:tr>
        <w:tc>
          <w:tcPr>
            <w:tcW w:type="dxa" w:w="9638"/>
            <w:shd w:val="clear" w:color="auto" w:fill="EAF3FB"/>
          </w:tcPr>
          <w:p>
            <w:r/>
            <w:r>
              <w:rPr>
                <w:b w:val="0"/>
                <w:sz w:val="20"/>
              </w:rPr>
              <w:t>Naming note: Code Companion is the current name for this application. Some screens, logs, and prior releases may still display its earlier name, SAP Code Agent, during the platform transition.</w:t>
            </w:r>
          </w:p>
        </w:tc>
      </w:tr>
    </w:tbl>
    <w:p>
      <w:pPr>
        <w:spacing w:after="120"/>
      </w:pPr>
    </w:p>
    <w:p>
      <w:pPr>
        <w:spacing w:before="280" w:after="120"/>
      </w:pPr>
      <w:r>
        <w:rPr>
          <w:rFonts w:ascii="Times New Roman" w:hAnsi="Times New Roman"/>
          <w:b/>
          <w:color w:val="0072BC"/>
          <w:sz w:val="36"/>
        </w:rPr>
        <w:t>2. The Problem It Solves</w:t>
      </w:r>
    </w:p>
    <w:p>
      <w:pPr>
        <w:spacing w:after="160"/>
      </w:pPr>
      <w:r>
        <w:rPr>
          <w:sz w:val="21"/>
        </w:rPr>
        <w:t>Building a clean, well-documented SAP custom object is one of the more time-consuming and inconsistent parts of SAP development. Developers typically:</w:t>
      </w:r>
    </w:p>
    <w:p>
      <w:pPr>
        <w:pStyle w:val="ListBullet"/>
        <w:spacing w:after="80"/>
      </w:pPr>
      <w:r>
        <w:rPr>
          <w:sz w:val="21"/>
        </w:rPr>
        <w:t>Research which released API or extensibility pattern applies before writing a single line of code</w:t>
      </w:r>
    </w:p>
    <w:p>
      <w:pPr>
        <w:pStyle w:val="ListBullet"/>
        <w:spacing w:after="80"/>
      </w:pPr>
      <w:r>
        <w:rPr>
          <w:sz w:val="21"/>
        </w:rPr>
        <w:t>Write boilerplate class, CDS, or RAP structure from scratch every time</w:t>
      </w:r>
    </w:p>
    <w:p>
      <w:pPr>
        <w:pStyle w:val="ListBullet"/>
        <w:spacing w:after="80"/>
      </w:pPr>
      <w:r>
        <w:rPr>
          <w:sz w:val="21"/>
        </w:rPr>
        <w:t>Remember to add authorization checks, input validation, and error handling consistently</w:t>
      </w:r>
    </w:p>
    <w:p>
      <w:pPr>
        <w:pStyle w:val="ListBullet"/>
        <w:spacing w:after="80"/>
      </w:pPr>
      <w:r>
        <w:rPr>
          <w:sz w:val="21"/>
        </w:rPr>
        <w:t>Draft tests, deployment notes, and a Clean-Core impact assessment only after the implementation is already written</w:t>
      </w:r>
    </w:p>
    <w:p>
      <w:pPr>
        <w:pStyle w:val="ListBullet"/>
        <w:spacing w:after="80"/>
      </w:pPr>
      <w:r>
        <w:rPr>
          <w:sz w:val="21"/>
        </w:rPr>
        <w:t>Repeat this process for every new object, with completeness varying by developer and how much time pressure they’re under</w:t>
      </w:r>
    </w:p>
    <w:p>
      <w:pPr>
        <w:spacing w:after="160"/>
      </w:pPr>
      <w:r>
        <w:rPr>
          <w:sz w:val="21"/>
        </w:rPr>
        <w:t>This is slow, repetitive, and inconsistent — two developers solving the same kind of requirement can produce solutions that differ in structure, completeness, and adherence to clean-core guidance, and details like authorization or test coverage are easy to skip under deadline pressure.</w:t>
      </w:r>
    </w:p>
    <w:p>
      <w:pPr>
        <w:spacing w:after="160"/>
      </w:pPr>
      <w:r>
        <w:rPr>
          <w:sz w:val="21"/>
        </w:rPr>
        <w:t>Code Companion removes this bottleneck by guiding the developer through the requirement once, generating a complete, Clean-Core-aligned implementation with its supporting documentation in minutes, while keeping the developer fully in control of what’s confirmed and delivered.</w:t>
      </w:r>
    </w:p>
    <w:p>
      <w:pPr>
        <w:spacing w:before="280" w:after="120"/>
      </w:pPr>
      <w:r>
        <w:rPr>
          <w:rFonts w:ascii="Times New Roman" w:hAnsi="Times New Roman"/>
          <w:b/>
          <w:color w:val="0072BC"/>
          <w:sz w:val="36"/>
        </w:rPr>
        <w:t>3. What the Application Does</w:t>
      </w:r>
    </w:p>
    <w:p>
      <w:pPr>
        <w:spacing w:after="160"/>
      </w:pPr>
      <w:r>
        <w:rPr>
          <w:sz w:val="21"/>
        </w:rPr>
        <w:t>Code Companion walks the user through a guided, stage-by-stage process rather than generating a finished implementation in one uncontrolled pass. This keeps the output accurate and lets the developer confirm or correct the AI’s understanding before code is generated, and validate the result before the conversation closes.</w:t>
      </w:r>
    </w:p>
    <w:p>
      <w:pPr>
        <w:spacing w:before="200" w:after="80"/>
      </w:pPr>
      <w:r>
        <w:rPr>
          <w:b/>
          <w:color w:val="2E404D"/>
          <w:sz w:val="28"/>
        </w:rPr>
        <w:t>3.1 Guided Workflow</w:t>
      </w:r>
    </w:p>
    <w:p>
      <w:pPr>
        <w:spacing w:after="160"/>
      </w:pPr>
      <w:r>
        <w:rPr>
          <w:sz w:val="21"/>
        </w:rPr>
        <w:t>Code Companion moves through four visible stages, shown as a progress indicator throughout the conversation:</w:t>
      </w:r>
    </w:p>
    <w:p>
      <w:pPr>
        <w:pStyle w:val="ListParagraph"/>
        <w:spacing w:after="120"/>
        <w:ind w:left="340"/>
      </w:pPr>
      <w:r>
        <w:rPr>
          <w:b/>
          <w:sz w:val="21"/>
        </w:rPr>
        <w:t xml:space="preserve">1. </w:t>
      </w:r>
      <w:r>
        <w:rPr>
          <w:b/>
          <w:sz w:val="21"/>
        </w:rPr>
        <w:t>Understand</w:t>
      </w:r>
      <w:r>
        <w:rPr>
          <w:sz w:val="21"/>
        </w:rPr>
        <w:t xml:space="preserve"> — the developer describes the requirement. Code Companion asks only the clarifying questions it judges essential — system landscape, package/transport target, authorization needs — and states the assumptions it will use. The developer confirms or corrects them.</w:t>
      </w:r>
    </w:p>
    <w:p>
      <w:pPr>
        <w:pStyle w:val="ListParagraph"/>
        <w:spacing w:after="120"/>
        <w:ind w:left="340"/>
      </w:pPr>
      <w:r>
        <w:rPr>
          <w:b/>
          <w:sz w:val="21"/>
        </w:rPr>
        <w:t xml:space="preserve">2. </w:t>
      </w:r>
      <w:r>
        <w:rPr>
          <w:b/>
          <w:sz w:val="21"/>
        </w:rPr>
        <w:t>Code</w:t>
      </w:r>
      <w:r>
        <w:rPr>
          <w:sz w:val="21"/>
        </w:rPr>
        <w:t xml:space="preserve"> — once confirmed, Code Companion generates the implementation: class definitions, CDS views, behavior definitions, service bindings, and unit test scaffolding as appropriate, each in a clearly labeled code block.</w:t>
      </w:r>
    </w:p>
    <w:p>
      <w:pPr>
        <w:pStyle w:val="ListParagraph"/>
        <w:spacing w:after="120"/>
        <w:ind w:left="340"/>
      </w:pPr>
      <w:r>
        <w:rPr>
          <w:b/>
          <w:sz w:val="21"/>
        </w:rPr>
        <w:t xml:space="preserve">3. </w:t>
      </w:r>
      <w:r>
        <w:rPr>
          <w:b/>
          <w:sz w:val="21"/>
        </w:rPr>
        <w:t>Validate</w:t>
      </w:r>
      <w:r>
        <w:rPr>
          <w:sz w:val="21"/>
        </w:rPr>
        <w:t xml:space="preserve"> — Code Companion reviews its own delivered solution against the requirement and any feedback given, and reports whether it’s ready or what still needs correcting.</w:t>
      </w:r>
    </w:p>
    <w:p>
      <w:pPr>
        <w:pStyle w:val="ListParagraph"/>
        <w:spacing w:after="120"/>
        <w:ind w:left="340"/>
      </w:pPr>
      <w:r>
        <w:rPr>
          <w:b/>
          <w:sz w:val="21"/>
        </w:rPr>
        <w:t xml:space="preserve">4. </w:t>
      </w:r>
      <w:r>
        <w:rPr>
          <w:b/>
          <w:sz w:val="21"/>
        </w:rPr>
        <w:t>Complete</w:t>
      </w:r>
      <w:r>
        <w:rPr>
          <w:sz w:val="21"/>
        </w:rPr>
        <w:t xml:space="preserve"> — the conversation closes with a summary of what was delivered, the validation outcome, a testing recommendation, deployment/transport notes, and the Clean-Core impact, with the full response available as a downloadable Word document.</w:t>
      </w:r>
    </w:p>
    <w:p>
      <w:pPr>
        <w:spacing w:before="200" w:after="80"/>
      </w:pPr>
      <w:r>
        <w:rPr>
          <w:b/>
          <w:color w:val="2E404D"/>
          <w:sz w:val="28"/>
        </w:rPr>
        <w:t>3.2 Core Capabilities</w:t>
      </w:r>
    </w:p>
    <w:p>
      <w:pPr>
        <w:pStyle w:val="ListBullet"/>
        <w:spacing w:after="80"/>
      </w:pPr>
      <w:r>
        <w:rPr>
          <w:b/>
          <w:sz w:val="21"/>
        </w:rPr>
        <w:t>Guided, stage-gated generation:</w:t>
      </w:r>
      <w:r>
        <w:rPr>
          <w:sz w:val="21"/>
        </w:rPr>
        <w:t xml:space="preserve"> Nothing is generated until the requirement is confirmed, and nothing is finalized until it's validated — the developer stays in control at every step.</w:t>
      </w:r>
    </w:p>
    <w:p>
      <w:pPr>
        <w:pStyle w:val="ListBullet"/>
        <w:spacing w:after="80"/>
      </w:pPr>
      <w:r>
        <w:rPr>
          <w:b/>
          <w:sz w:val="21"/>
        </w:rPr>
        <w:t>Clean-Core aligned by default:</w:t>
      </w:r>
      <w:r>
        <w:rPr>
          <w:sz w:val="21"/>
        </w:rPr>
        <w:t xml:space="preserve"> Implementations favor released APIs, released CDS views, RAP, and side-by-side extensibility over modification of SAP standard objects, and clearly flag any exception.</w:t>
      </w:r>
    </w:p>
    <w:p>
      <w:pPr>
        <w:pStyle w:val="ListBullet"/>
        <w:spacing w:after="80"/>
      </w:pPr>
      <w:r>
        <w:rPr>
          <w:b/>
          <w:sz w:val="21"/>
        </w:rPr>
        <w:t>Self-review before delivery:</w:t>
      </w:r>
      <w:r>
        <w:rPr>
          <w:sz w:val="21"/>
        </w:rPr>
        <w:t xml:space="preserve"> Code Companion checks its own output against the stated requirement during the Validate stage, rather than treating first-draft code as final.</w:t>
      </w:r>
    </w:p>
    <w:p>
      <w:pPr>
        <w:pStyle w:val="ListBullet"/>
        <w:spacing w:after="80"/>
      </w:pPr>
      <w:r>
        <w:rPr>
          <w:b/>
          <w:sz w:val="21"/>
        </w:rPr>
        <w:t>Structured, complete output:</w:t>
      </w:r>
      <w:r>
        <w:rPr>
          <w:sz w:val="21"/>
        </w:rPr>
        <w:t xml:space="preserve"> Every response is built to include the implementation, an explanation, a test strategy, deployment notes, and a Clean-Core impact assessment — not code alone.</w:t>
      </w:r>
    </w:p>
    <w:p>
      <w:pPr>
        <w:pStyle w:val="ListBullet"/>
        <w:spacing w:after="80"/>
      </w:pPr>
      <w:r>
        <w:rPr>
          <w:b/>
          <w:sz w:val="21"/>
        </w:rPr>
        <w:t>Consistent, ready-to-share output:</w:t>
      </w:r>
      <w:r>
        <w:rPr>
          <w:sz w:val="21"/>
        </w:rPr>
        <w:t xml:space="preserve"> Every implementation follows the same structured format regardless of which developer runs it, so quality and completeness no longer depend on the individual author.</w:t>
      </w:r>
    </w:p>
    <w:p>
      <w:pPr>
        <w:pStyle w:val="ListBullet"/>
        <w:spacing w:after="80"/>
      </w:pPr>
      <w:r>
        <w:rPr>
          <w:b/>
          <w:sz w:val="21"/>
        </w:rPr>
        <w:t>Downloadable documentation:</w:t>
      </w:r>
      <w:r>
        <w:rPr>
          <w:sz w:val="21"/>
        </w:rPr>
        <w:t xml:space="preserve"> Any response can be exported as a formatted Word document for review, sign-off, or handoff.</w:t>
      </w:r>
    </w:p>
    <w:p>
      <w:pPr>
        <w:pStyle w:val="ListBullet"/>
        <w:spacing w:after="80"/>
      </w:pPr>
      <w:r>
        <w:rPr>
          <w:b/>
          <w:sz w:val="21"/>
        </w:rPr>
        <w:t>Transparent progress:</w:t>
      </w:r>
      <w:r>
        <w:rPr>
          <w:sz w:val="21"/>
        </w:rPr>
        <w:t xml:space="preserve"> A visible workflow indicator always shows exactly where the conversation stands — Understand, Code, Validate, or Complete.</w:t>
      </w:r>
    </w:p>
    <w:p>
      <w:pPr>
        <w:spacing w:before="280" w:after="120"/>
      </w:pPr>
      <w:r>
        <w:rPr>
          <w:rFonts w:ascii="Times New Roman" w:hAnsi="Times New Roman"/>
          <w:b/>
          <w:color w:val="0072BC"/>
          <w:sz w:val="36"/>
        </w:rPr>
        <w:t>4. What Code Companion Delivers</w:t>
      </w:r>
    </w:p>
    <w:p>
      <w:pPr>
        <w:spacing w:after="160"/>
      </w:pPr>
      <w:r>
        <w:rPr>
          <w:sz w:val="21"/>
        </w:rPr>
        <w:t>Every completed Code Companion response includes the same structured set of components, so the final output is consistent no matter what was built:</w:t>
      </w:r>
    </w:p>
    <w:tbl>
      <w:tblPr>
        <w:tblW w:type="auto" w:w="0"/>
        <w:jc w:val="center"/>
        <w:tblLayout w:type="fixed"/>
        <w:tblLook w:firstColumn="1" w:firstRow="1" w:lastColumn="0" w:lastRow="0" w:noHBand="0" w:noVBand="1" w:val="04A0"/>
      </w:tblPr>
      <w:tblGrid>
        <w:gridCol w:w="4819"/>
        <w:gridCol w:w="4819"/>
      </w:tblGrid>
      <w:tr>
        <w:tc>
          <w:tcPr>
            <w:tcW w:type="dxa" w:w="3118"/>
            <w:shd w:val="clear" w:color="auto" w:fill="1F3864"/>
          </w:tcPr>
          <w:p>
            <w:r/>
            <w:r>
              <w:rPr>
                <w:b/>
                <w:color w:val="FFFFFF"/>
                <w:sz w:val="21"/>
              </w:rPr>
              <w:t>Component</w:t>
            </w:r>
          </w:p>
        </w:tc>
        <w:tc>
          <w:tcPr>
            <w:tcW w:type="dxa" w:w="5953"/>
            <w:shd w:val="clear" w:color="auto" w:fill="1F3864"/>
          </w:tcPr>
          <w:p>
            <w:r/>
            <w:r>
              <w:rPr>
                <w:b/>
                <w:color w:val="FFFFFF"/>
                <w:sz w:val="21"/>
              </w:rPr>
              <w:t>Purpose</w:t>
            </w:r>
          </w:p>
        </w:tc>
      </w:tr>
      <w:tr>
        <w:tc>
          <w:tcPr>
            <w:tcW w:type="dxa" w:w="3118"/>
          </w:tcPr>
          <w:p>
            <w:r/>
            <w:r>
              <w:rPr>
                <w:b w:val="0"/>
                <w:sz w:val="21"/>
              </w:rPr>
              <w:t>Assumptions</w:t>
            </w:r>
          </w:p>
        </w:tc>
        <w:tc>
          <w:tcPr>
            <w:tcW w:type="dxa" w:w="5953"/>
          </w:tcPr>
          <w:p>
            <w:r/>
            <w:r>
              <w:rPr>
                <w:b w:val="0"/>
                <w:sz w:val="21"/>
              </w:rPr>
              <w:t>The system context, constraints, and defaults Code Companion used, stated clearly so the developer can confirm or correct them.</w:t>
            </w:r>
          </w:p>
        </w:tc>
      </w:tr>
      <w:tr>
        <w:tc>
          <w:tcPr>
            <w:tcW w:type="dxa" w:w="3118"/>
            <w:shd w:val="clear" w:color="auto" w:fill="F2F6FA"/>
          </w:tcPr>
          <w:p>
            <w:r/>
            <w:r>
              <w:rPr>
                <w:b w:val="0"/>
                <w:sz w:val="21"/>
              </w:rPr>
              <w:t>Code</w:t>
            </w:r>
          </w:p>
        </w:tc>
        <w:tc>
          <w:tcPr>
            <w:tcW w:type="dxa" w:w="5953"/>
            <w:shd w:val="clear" w:color="auto" w:fill="F2F6FA"/>
          </w:tcPr>
          <w:p>
            <w:r/>
            <w:r>
              <w:rPr>
                <w:b w:val="0"/>
                <w:sz w:val="21"/>
              </w:rPr>
              <w:t>The generated implementation — classes, CDS views, behavior definitions, service bindings, or corrected code — in clearly labeled, ready-to-use blocks.</w:t>
            </w:r>
          </w:p>
        </w:tc>
      </w:tr>
      <w:tr>
        <w:tc>
          <w:tcPr>
            <w:tcW w:type="dxa" w:w="3118"/>
          </w:tcPr>
          <w:p>
            <w:r/>
            <w:r>
              <w:rPr>
                <w:b w:val="0"/>
                <w:sz w:val="21"/>
              </w:rPr>
              <w:t>Explanation</w:t>
            </w:r>
          </w:p>
        </w:tc>
        <w:tc>
          <w:tcPr>
            <w:tcW w:type="dxa" w:w="5953"/>
          </w:tcPr>
          <w:p>
            <w:r/>
            <w:r>
              <w:rPr>
                <w:b w:val="0"/>
                <w:sz w:val="21"/>
              </w:rPr>
              <w:t>A concise walkthrough of the design and why it was built that way.</w:t>
            </w:r>
          </w:p>
        </w:tc>
      </w:tr>
      <w:tr>
        <w:tc>
          <w:tcPr>
            <w:tcW w:type="dxa" w:w="3118"/>
            <w:shd w:val="clear" w:color="auto" w:fill="F2F6FA"/>
          </w:tcPr>
          <w:p>
            <w:r/>
            <w:r>
              <w:rPr>
                <w:b w:val="0"/>
                <w:sz w:val="21"/>
              </w:rPr>
              <w:t>Test Strategy</w:t>
            </w:r>
          </w:p>
        </w:tc>
        <w:tc>
          <w:tcPr>
            <w:tcW w:type="dxa" w:w="5953"/>
            <w:shd w:val="clear" w:color="auto" w:fill="F2F6FA"/>
          </w:tcPr>
          <w:p>
            <w:r/>
            <w:r>
              <w:rPr>
                <w:b w:val="0"/>
                <w:sz w:val="21"/>
              </w:rPr>
              <w:t>Recommended or generated ABAP Unit tests and validation approach for the delivered solution.</w:t>
            </w:r>
          </w:p>
        </w:tc>
      </w:tr>
      <w:tr>
        <w:tc>
          <w:tcPr>
            <w:tcW w:type="dxa" w:w="3118"/>
          </w:tcPr>
          <w:p>
            <w:r/>
            <w:r>
              <w:rPr>
                <w:b w:val="0"/>
                <w:sz w:val="21"/>
              </w:rPr>
              <w:t>Deployment / Transport Notes</w:t>
            </w:r>
          </w:p>
        </w:tc>
        <w:tc>
          <w:tcPr>
            <w:tcW w:type="dxa" w:w="5953"/>
          </w:tcPr>
          <w:p>
            <w:r/>
            <w:r>
              <w:rPr>
                <w:b w:val="0"/>
                <w:sz w:val="21"/>
              </w:rPr>
              <w:t>What needs to happen to move the solution from development toward production — package, transport, and activation guidance.</w:t>
            </w:r>
          </w:p>
        </w:tc>
      </w:tr>
      <w:tr>
        <w:tc>
          <w:tcPr>
            <w:tcW w:type="dxa" w:w="3118"/>
            <w:shd w:val="clear" w:color="auto" w:fill="F2F6FA"/>
          </w:tcPr>
          <w:p>
            <w:r/>
            <w:r>
              <w:rPr>
                <w:b w:val="0"/>
                <w:sz w:val="21"/>
              </w:rPr>
              <w:t>Clean-Core Impact</w:t>
            </w:r>
          </w:p>
        </w:tc>
        <w:tc>
          <w:tcPr>
            <w:tcW w:type="dxa" w:w="5953"/>
            <w:shd w:val="clear" w:color="auto" w:fill="F2F6FA"/>
          </w:tcPr>
          <w:p>
            <w:r/>
            <w:r>
              <w:rPr>
                <w:b w:val="0"/>
                <w:sz w:val="21"/>
              </w:rPr>
              <w:t>An explicit statement of how the solution aligns with SAP Clean Core principles, and any exceptions made and why.</w:t>
            </w:r>
          </w:p>
        </w:tc>
      </w:tr>
    </w:tbl>
    <w:p>
      <w:pPr>
        <w:spacing w:after="80"/>
      </w:pPr>
    </w:p>
    <w:p>
      <w:pPr>
        <w:spacing w:before="280" w:after="120"/>
      </w:pPr>
      <w:r>
        <w:rPr>
          <w:rFonts w:ascii="Times New Roman" w:hAnsi="Times New Roman"/>
          <w:b/>
          <w:color w:val="0072BC"/>
          <w:sz w:val="36"/>
        </w:rPr>
        <w:t>5. Accessing the Platform</w:t>
      </w:r>
    </w:p>
    <w:p>
      <w:pPr>
        <w:spacing w:after="160"/>
      </w:pPr>
      <w:r>
        <w:rPr>
          <w:sz w:val="21"/>
        </w:rPr>
        <w:t>Code Companion follows the shared aXet.BusinessSolutions access flow used across the suite: Agent Launcher, sign-in, project selection, model selection, then locating the application under the Realize delivery phase in the catalogue.</w:t>
      </w:r>
    </w:p>
    <w:p>
      <w:pPr>
        <w:jc w:val="center"/>
      </w:pPr>
      <w:r>
        <w:drawing>
          <wp:inline xmlns:a="http://schemas.openxmlformats.org/drawingml/2006/main" xmlns:pic="http://schemas.openxmlformats.org/drawingml/2006/picture">
            <wp:extent cx="5580000" cy="2592608"/>
            <wp:docPr id="2" name="Picture 2"/>
            <wp:cNvGraphicFramePr>
              <a:graphicFrameLocks noChangeAspect="1"/>
            </wp:cNvGraphicFramePr>
            <a:graphic>
              <a:graphicData uri="http://schemas.openxmlformats.org/drawingml/2006/picture">
                <pic:pic>
                  <pic:nvPicPr>
                    <pic:cNvPr id="0" name="shot_launcher_login.png"/>
                    <pic:cNvPicPr/>
                  </pic:nvPicPr>
                  <pic:blipFill>
                    <a:blip r:embed="rId20"/>
                    <a:stretch>
                      <a:fillRect/>
                    </a:stretch>
                  </pic:blipFill>
                  <pic:spPr>
                    <a:xfrm>
                      <a:off x="0" y="0"/>
                      <a:ext cx="5580000" cy="2592608"/>
                    </a:xfrm>
                    <a:prstGeom prst="rect"/>
                  </pic:spPr>
                </pic:pic>
              </a:graphicData>
            </a:graphic>
          </wp:inline>
        </w:drawing>
      </w:r>
    </w:p>
    <w:p>
      <w:pPr>
        <w:spacing w:after="200"/>
        <w:jc w:val="center"/>
      </w:pPr>
      <w:r>
        <w:rPr>
          <w:i/>
          <w:color w:val="2E404D"/>
          <w:sz w:val="18"/>
        </w:rPr>
        <w:t>Figure 1 — Agent Launcher sign-in.</w:t>
      </w:r>
    </w:p>
    <w:p>
      <w:pPr>
        <w:jc w:val="center"/>
      </w:pPr>
      <w:r>
        <w:drawing>
          <wp:inline xmlns:a="http://schemas.openxmlformats.org/drawingml/2006/main" xmlns:pic="http://schemas.openxmlformats.org/drawingml/2006/picture">
            <wp:extent cx="5580000" cy="2593851"/>
            <wp:docPr id="3" name="Picture 3"/>
            <wp:cNvGraphicFramePr>
              <a:graphicFrameLocks noChangeAspect="1"/>
            </wp:cNvGraphicFramePr>
            <a:graphic>
              <a:graphicData uri="http://schemas.openxmlformats.org/drawingml/2006/picture">
                <pic:pic>
                  <pic:nvPicPr>
                    <pic:cNvPr id="0" name="shot_okta_model_select.png"/>
                    <pic:cNvPicPr/>
                  </pic:nvPicPr>
                  <pic:blipFill>
                    <a:blip r:embed="rId21"/>
                    <a:stretch>
                      <a:fillRect/>
                    </a:stretch>
                  </pic:blipFill>
                  <pic:spPr>
                    <a:xfrm>
                      <a:off x="0" y="0"/>
                      <a:ext cx="5580000" cy="2593851"/>
                    </a:xfrm>
                    <a:prstGeom prst="rect"/>
                  </pic:spPr>
                </pic:pic>
              </a:graphicData>
            </a:graphic>
          </wp:inline>
        </w:drawing>
      </w:r>
    </w:p>
    <w:p>
      <w:pPr>
        <w:spacing w:after="200"/>
        <w:jc w:val="center"/>
      </w:pPr>
      <w:r>
        <w:rPr>
          <w:i/>
          <w:color w:val="2E404D"/>
          <w:sz w:val="18"/>
        </w:rPr>
        <w:t>Figure 2 — Select the model available for the session and click "Send."</w:t>
      </w:r>
    </w:p>
    <w:p>
      <w:pPr>
        <w:jc w:val="center"/>
      </w:pPr>
      <w:r>
        <w:drawing>
          <wp:inline xmlns:a="http://schemas.openxmlformats.org/drawingml/2006/main" xmlns:pic="http://schemas.openxmlformats.org/drawingml/2006/picture">
            <wp:extent cx="5580000" cy="2477267"/>
            <wp:docPr id="4" name="Picture 4"/>
            <wp:cNvGraphicFramePr>
              <a:graphicFrameLocks noChangeAspect="1"/>
            </wp:cNvGraphicFramePr>
            <a:graphic>
              <a:graphicData uri="http://schemas.openxmlformats.org/drawingml/2006/picture">
                <pic:pic>
                  <pic:nvPicPr>
                    <pic:cNvPr id="0" name="shot_realize_phase.png"/>
                    <pic:cNvPicPr/>
                  </pic:nvPicPr>
                  <pic:blipFill>
                    <a:blip r:embed="rId22"/>
                    <a:stretch>
                      <a:fillRect/>
                    </a:stretch>
                  </pic:blipFill>
                  <pic:spPr>
                    <a:xfrm>
                      <a:off x="0" y="0"/>
                      <a:ext cx="5580000" cy="2477267"/>
                    </a:xfrm>
                    <a:prstGeom prst="rect"/>
                  </pic:spPr>
                </pic:pic>
              </a:graphicData>
            </a:graphic>
          </wp:inline>
        </w:drawing>
      </w:r>
    </w:p>
    <w:p>
      <w:pPr>
        <w:spacing w:after="200"/>
        <w:jc w:val="center"/>
      </w:pPr>
      <w:r>
        <w:rPr>
          <w:i/>
          <w:color w:val="2E404D"/>
          <w:sz w:val="18"/>
        </w:rPr>
        <w:t>Figure 3 — aXet.BusinessSolutions catalogue, Realize phase. Code Companion is launched from here.</w:t>
      </w:r>
    </w:p>
    <w:p>
      <w:pPr>
        <w:jc w:val="center"/>
      </w:pPr>
      <w:r>
        <w:drawing>
          <wp:inline xmlns:a="http://schemas.openxmlformats.org/drawingml/2006/main" xmlns:pic="http://schemas.openxmlformats.org/drawingml/2006/picture">
            <wp:extent cx="5580000" cy="2539296"/>
            <wp:docPr id="5" name="Picture 5"/>
            <wp:cNvGraphicFramePr>
              <a:graphicFrameLocks noChangeAspect="1"/>
            </wp:cNvGraphicFramePr>
            <a:graphic>
              <a:graphicData uri="http://schemas.openxmlformats.org/drawingml/2006/picture">
                <pic:pic>
                  <pic:nvPicPr>
                    <pic:cNvPr id="0" name="shot_code_agent_chat.png"/>
                    <pic:cNvPicPr/>
                  </pic:nvPicPr>
                  <pic:blipFill>
                    <a:blip r:embed="rId23"/>
                    <a:stretch>
                      <a:fillRect/>
                    </a:stretch>
                  </pic:blipFill>
                  <pic:spPr>
                    <a:xfrm>
                      <a:off x="0" y="0"/>
                      <a:ext cx="5580000" cy="2539296"/>
                    </a:xfrm>
                    <a:prstGeom prst="rect"/>
                  </pic:spPr>
                </pic:pic>
              </a:graphicData>
            </a:graphic>
          </wp:inline>
        </w:drawing>
      </w:r>
    </w:p>
    <w:p>
      <w:pPr>
        <w:spacing w:after="200"/>
        <w:jc w:val="center"/>
      </w:pPr>
      <w:r>
        <w:rPr>
          <w:i/>
          <w:color w:val="2E404D"/>
          <w:sz w:val="18"/>
        </w:rPr>
        <w:t>Figure 4 — Code Companion working screen, showing the four-stage progress indicator. (Shown here under its former name, SAP Code Agent, prior to the rename.)</w:t>
      </w:r>
    </w:p>
    <w:p>
      <w:pPr>
        <w:spacing w:before="280" w:after="120"/>
      </w:pPr>
      <w:r>
        <w:rPr>
          <w:rFonts w:ascii="Times New Roman" w:hAnsi="Times New Roman"/>
          <w:b/>
          <w:color w:val="0072BC"/>
          <w:sz w:val="36"/>
        </w:rPr>
        <w:t>6. Who It’s For</w:t>
      </w:r>
    </w:p>
    <w:p>
      <w:pPr>
        <w:pStyle w:val="ListBullet"/>
        <w:spacing w:after="80"/>
      </w:pPr>
      <w:r>
        <w:rPr>
          <w:b/>
          <w:sz w:val="21"/>
        </w:rPr>
        <w:t>SAP ABAP, ABAP Cloud, CDS, and RAP developers</w:t>
      </w:r>
      <w:r>
        <w:rPr>
          <w:sz w:val="21"/>
        </w:rPr>
        <w:t xml:space="preserve"> who want a faster, cleaner starting point for new implementations</w:t>
      </w:r>
    </w:p>
    <w:p>
      <w:pPr>
        <w:pStyle w:val="ListBullet"/>
        <w:spacing w:after="80"/>
      </w:pPr>
      <w:r>
        <w:rPr>
          <w:b/>
          <w:sz w:val="21"/>
        </w:rPr>
        <w:t>Development teams</w:t>
      </w:r>
      <w:r>
        <w:rPr>
          <w:sz w:val="21"/>
        </w:rPr>
        <w:t xml:space="preserve"> who want consistent, clean-core-aligned code regardless of which developer is writing it</w:t>
      </w:r>
    </w:p>
    <w:p>
      <w:pPr>
        <w:pStyle w:val="ListBullet"/>
        <w:spacing w:after="80"/>
      </w:pPr>
      <w:r>
        <w:rPr>
          <w:b/>
          <w:sz w:val="21"/>
        </w:rPr>
        <w:t>Delivery teams under time pressure</w:t>
      </w:r>
      <w:r>
        <w:rPr>
          <w:sz w:val="21"/>
        </w:rPr>
        <w:t xml:space="preserve"> who need boilerplate, tests, and documentation drafted quickly so they can focus on review and refinement</w:t>
      </w:r>
    </w:p>
    <w:p>
      <w:pPr>
        <w:pStyle w:val="ListBullet"/>
        <w:spacing w:after="80"/>
      </w:pPr>
      <w:r>
        <w:rPr>
          <w:b/>
          <w:sz w:val="21"/>
        </w:rPr>
        <w:t>Anyone responsible for SAP custom development</w:t>
      </w:r>
      <w:r>
        <w:rPr>
          <w:sz w:val="21"/>
        </w:rPr>
        <w:t xml:space="preserve"> who wants to spend more time on solution quality and less time on repetitive scaffolding</w:t>
      </w:r>
    </w:p>
    <w:p>
      <w:pPr>
        <w:spacing w:before="280" w:after="120"/>
      </w:pPr>
      <w:r>
        <w:rPr>
          <w:rFonts w:ascii="Times New Roman" w:hAnsi="Times New Roman"/>
          <w:b/>
          <w:color w:val="0072BC"/>
          <w:sz w:val="36"/>
        </w:rPr>
        <w:t>7. Why It’s Useful</w:t>
      </w:r>
    </w:p>
    <w:tbl>
      <w:tblPr>
        <w:tblW w:type="auto" w:w="0"/>
        <w:jc w:val="center"/>
        <w:tblLayout w:type="fixed"/>
        <w:tblLook w:firstColumn="1" w:firstRow="1" w:lastColumn="0" w:lastRow="0" w:noHBand="0" w:noVBand="1" w:val="04A0"/>
      </w:tblPr>
      <w:tblGrid>
        <w:gridCol w:w="4819"/>
        <w:gridCol w:w="4819"/>
      </w:tblGrid>
      <w:tr>
        <w:tc>
          <w:tcPr>
            <w:tcW w:type="dxa" w:w="4252"/>
            <w:shd w:val="clear" w:color="auto" w:fill="1F3864"/>
          </w:tcPr>
          <w:p>
            <w:r/>
            <w:r>
              <w:rPr>
                <w:b/>
                <w:color w:val="FFFFFF"/>
                <w:sz w:val="21"/>
              </w:rPr>
              <w:t>Without Code Companion</w:t>
            </w:r>
          </w:p>
        </w:tc>
        <w:tc>
          <w:tcPr>
            <w:tcW w:type="dxa" w:w="4819"/>
            <w:shd w:val="clear" w:color="auto" w:fill="1F3864"/>
          </w:tcPr>
          <w:p>
            <w:r/>
            <w:r>
              <w:rPr>
                <w:b/>
                <w:color w:val="FFFFFF"/>
                <w:sz w:val="21"/>
              </w:rPr>
              <w:t>With Code Companion</w:t>
            </w:r>
          </w:p>
        </w:tc>
      </w:tr>
      <w:tr>
        <w:tc>
          <w:tcPr>
            <w:tcW w:type="dxa" w:w="4252"/>
          </w:tcPr>
          <w:p>
            <w:r/>
            <w:r>
              <w:rPr>
                <w:b w:val="0"/>
                <w:sz w:val="21"/>
              </w:rPr>
              <w:t>Manually researching the right clean-core pattern for every new object</w:t>
            </w:r>
          </w:p>
        </w:tc>
        <w:tc>
          <w:tcPr>
            <w:tcW w:type="dxa" w:w="4819"/>
          </w:tcPr>
          <w:p>
            <w:r/>
            <w:r>
              <w:rPr>
                <w:b w:val="0"/>
                <w:sz w:val="21"/>
              </w:rPr>
              <w:t>Code Companion applies clean-core principles automatically and flags any exception</w:t>
            </w:r>
          </w:p>
        </w:tc>
      </w:tr>
      <w:tr>
        <w:tc>
          <w:tcPr>
            <w:tcW w:type="dxa" w:w="4252"/>
            <w:shd w:val="clear" w:color="auto" w:fill="F2F6FA"/>
          </w:tcPr>
          <w:p>
            <w:r/>
            <w:r>
              <w:rPr>
                <w:b w:val="0"/>
                <w:sz w:val="21"/>
              </w:rPr>
              <w:t>Boilerplate class, CDS, or RAP scaffolding written from scratch each time</w:t>
            </w:r>
          </w:p>
        </w:tc>
        <w:tc>
          <w:tcPr>
            <w:tcW w:type="dxa" w:w="4819"/>
            <w:shd w:val="clear" w:color="auto" w:fill="F2F6FA"/>
          </w:tcPr>
          <w:p>
            <w:r/>
            <w:r>
              <w:rPr>
                <w:b w:val="0"/>
                <w:sz w:val="21"/>
              </w:rPr>
              <w:t>A structured implementation is generated in minutes, ready for refinement</w:t>
            </w:r>
          </w:p>
        </w:tc>
      </w:tr>
      <w:tr>
        <w:tc>
          <w:tcPr>
            <w:tcW w:type="dxa" w:w="4252"/>
          </w:tcPr>
          <w:p>
            <w:r/>
            <w:r>
              <w:rPr>
                <w:b w:val="0"/>
                <w:sz w:val="21"/>
              </w:rPr>
              <w:t>Authorization checks, error handling, or test coverage easy to overlook under deadline pressure</w:t>
            </w:r>
          </w:p>
        </w:tc>
        <w:tc>
          <w:tcPr>
            <w:tcW w:type="dxa" w:w="4819"/>
          </w:tcPr>
          <w:p>
            <w:r/>
            <w:r>
              <w:rPr>
                <w:b w:val="0"/>
                <w:sz w:val="21"/>
              </w:rPr>
              <w:t>Every response is built to consider authorization, error handling, and tests by default</w:t>
            </w:r>
          </w:p>
        </w:tc>
      </w:tr>
      <w:tr>
        <w:tc>
          <w:tcPr>
            <w:tcW w:type="dxa" w:w="4252"/>
            <w:shd w:val="clear" w:color="auto" w:fill="F2F6FA"/>
          </w:tcPr>
          <w:p>
            <w:r/>
            <w:r>
              <w:rPr>
                <w:b w:val="0"/>
                <w:sz w:val="21"/>
              </w:rPr>
              <w:t>Explanation, test strategy, and deployment notes written up separately after the code is done</w:t>
            </w:r>
          </w:p>
        </w:tc>
        <w:tc>
          <w:tcPr>
            <w:tcW w:type="dxa" w:w="4819"/>
            <w:shd w:val="clear" w:color="auto" w:fill="F2F6FA"/>
          </w:tcPr>
          <w:p>
            <w:r/>
            <w:r>
              <w:rPr>
                <w:b w:val="0"/>
                <w:sz w:val="21"/>
              </w:rPr>
              <w:t>These are generated alongside the implementation as part of the same response</w:t>
            </w:r>
          </w:p>
        </w:tc>
      </w:tr>
      <w:tr>
        <w:tc>
          <w:tcPr>
            <w:tcW w:type="dxa" w:w="4252"/>
          </w:tcPr>
          <w:p>
            <w:r/>
            <w:r>
              <w:rPr>
                <w:b w:val="0"/>
                <w:sz w:val="21"/>
              </w:rPr>
              <w:t>Quality and completeness vary by developer</w:t>
            </w:r>
          </w:p>
        </w:tc>
        <w:tc>
          <w:tcPr>
            <w:tcW w:type="dxa" w:w="4819"/>
          </w:tcPr>
          <w:p>
            <w:r/>
            <w:r>
              <w:rPr>
                <w:b w:val="0"/>
                <w:sz w:val="21"/>
              </w:rPr>
              <w:t>Every response follows the same structured, clean-core-aligned format</w:t>
            </w:r>
          </w:p>
        </w:tc>
      </w:tr>
    </w:tbl>
    <w:p>
      <w:pPr>
        <w:spacing w:after="80"/>
      </w:pPr>
    </w:p>
    <w:p>
      <w:pPr>
        <w:spacing w:before="280" w:after="120"/>
      </w:pPr>
      <w:r>
        <w:rPr>
          <w:rFonts w:ascii="Times New Roman" w:hAnsi="Times New Roman"/>
          <w:b/>
          <w:color w:val="0072BC"/>
          <w:sz w:val="36"/>
        </w:rPr>
        <w:t>8. Current Capabilities and Roadmap</w:t>
      </w:r>
    </w:p>
    <w:p>
      <w:pPr>
        <w:spacing w:before="200" w:after="80"/>
      </w:pPr>
      <w:r>
        <w:rPr>
          <w:b/>
          <w:color w:val="2E404D"/>
          <w:sz w:val="28"/>
        </w:rPr>
        <w:t>8.1 Available Now</w:t>
      </w:r>
    </w:p>
    <w:p>
      <w:pPr>
        <w:pStyle w:val="ListBullet"/>
        <w:spacing w:after="80"/>
      </w:pPr>
      <w:r>
        <w:rPr>
          <w:sz w:val="21"/>
        </w:rPr>
        <w:t>End-to-end guided conversation across all four stages: Understand, Code, Validate, Complete</w:t>
      </w:r>
    </w:p>
    <w:p>
      <w:pPr>
        <w:pStyle w:val="ListBullet"/>
        <w:spacing w:after="80"/>
      </w:pPr>
      <w:r>
        <w:rPr>
          <w:sz w:val="21"/>
        </w:rPr>
        <w:t>Clean-Core-aware generation across ABAP, ABAP Cloud, CDS, RAP, OData, Fiori/UI5, and CAP/BTP</w:t>
      </w:r>
    </w:p>
    <w:p>
      <w:pPr>
        <w:pStyle w:val="ListBullet"/>
        <w:spacing w:after="80"/>
      </w:pPr>
      <w:r>
        <w:rPr>
          <w:sz w:val="21"/>
        </w:rPr>
        <w:t>Structured response format: implementation, explanation, test strategy, deployment notes, Clean-Core impact</w:t>
      </w:r>
    </w:p>
    <w:p>
      <w:pPr>
        <w:pStyle w:val="ListBullet"/>
        <w:spacing w:after="80"/>
      </w:pPr>
      <w:r>
        <w:rPr>
          <w:sz w:val="21"/>
        </w:rPr>
        <w:t>Self-review of delivered code during the Validate stage</w:t>
      </w:r>
    </w:p>
    <w:p>
      <w:pPr>
        <w:pStyle w:val="ListBullet"/>
        <w:spacing w:after="80"/>
      </w:pPr>
      <w:r>
        <w:rPr>
          <w:sz w:val="21"/>
        </w:rPr>
        <w:t>Export of any response as a formatted Word document</w:t>
      </w:r>
    </w:p>
    <w:p>
      <w:pPr>
        <w:pStyle w:val="ListBullet"/>
        <w:spacing w:after="80"/>
      </w:pPr>
      <w:r>
        <w:rPr>
          <w:sz w:val="21"/>
        </w:rPr>
        <w:t>Visible workflow progress throughout the conversation</w:t>
      </w:r>
    </w:p>
    <w:tbl>
      <w:tblPr>
        <w:tblW w:type="auto" w:w="0"/>
        <w:tblLayout w:type="autofit"/>
        <w:tblLook w:firstColumn="1" w:firstRow="1" w:lastColumn="0" w:lastRow="0" w:noHBand="0" w:noVBand="1" w:val="04A0"/>
      </w:tblPr>
      <w:tblGrid>
        <w:gridCol w:w="9638"/>
      </w:tblGrid>
      <w:tr>
        <w:tc>
          <w:tcPr>
            <w:tcW w:type="dxa" w:w="9638"/>
            <w:shd w:val="clear" w:color="auto" w:fill="EAF3FB"/>
          </w:tcPr>
          <w:p>
            <w:r/>
            <w:r>
              <w:rPr>
                <w:b w:val="0"/>
                <w:sz w:val="20"/>
              </w:rPr>
              <w:t>The stage-transition logic and self-review step above reflect the application’s design and most recent development-environment testing. A final confirmation pass in the target environment is recommended before this capability list is used in a live customer-facing demonstration.</w:t>
            </w:r>
          </w:p>
        </w:tc>
      </w:tr>
    </w:tbl>
    <w:p>
      <w:pPr>
        <w:spacing w:after="120"/>
      </w:pPr>
    </w:p>
    <w:p>
      <w:pPr>
        <w:spacing w:before="200" w:after="80"/>
      </w:pPr>
      <w:r>
        <w:rPr>
          <w:b/>
          <w:color w:val="2E404D"/>
          <w:sz w:val="28"/>
        </w:rPr>
        <w:t>8.2 Planned Next Steps</w:t>
      </w:r>
    </w:p>
    <w:p>
      <w:pPr>
        <w:spacing w:after="160"/>
      </w:pPr>
      <w:r>
        <w:rPr>
          <w:sz w:val="21"/>
        </w:rPr>
        <w:t>The next phase of work is focused on three capabilities, none of which are built yet:</w:t>
      </w:r>
    </w:p>
    <w:p>
      <w:pPr>
        <w:pStyle w:val="ListBullet"/>
        <w:spacing w:after="80"/>
      </w:pPr>
      <w:r>
        <w:rPr>
          <w:b/>
          <w:sz w:val="21"/>
        </w:rPr>
        <w:t>Retrieval-grounded responses</w:t>
      </w:r>
      <w:r>
        <w:rPr>
          <w:sz w:val="21"/>
        </w:rPr>
        <w:t xml:space="preserve"> — restricting answers to a defined set of organizational documents, rather than general model knowledge</w:t>
      </w:r>
    </w:p>
    <w:p>
      <w:pPr>
        <w:pStyle w:val="ListBullet"/>
        <w:spacing w:after="80"/>
      </w:pPr>
      <w:r>
        <w:rPr>
          <w:b/>
          <w:sz w:val="21"/>
        </w:rPr>
        <w:t>Persistent, multi-conversation history</w:t>
      </w:r>
      <w:r>
        <w:rPr>
          <w:sz w:val="21"/>
        </w:rPr>
        <w:t xml:space="preserve"> with a navigable list of past conversations</w:t>
      </w:r>
    </w:p>
    <w:p>
      <w:pPr>
        <w:pStyle w:val="ListBullet"/>
        <w:spacing w:after="80"/>
      </w:pPr>
      <w:r>
        <w:rPr>
          <w:b/>
          <w:sz w:val="21"/>
        </w:rPr>
        <w:t>File attachment with extraction</w:t>
      </w:r>
      <w:r>
        <w:rPr>
          <w:sz w:val="21"/>
        </w:rPr>
        <w:t xml:space="preserve"> from both unstructured (e.g. PDF, Word) and structured (e.g. Excel, CSV) sources</w:t>
      </w:r>
    </w:p>
    <w:p>
      <w:pPr>
        <w:spacing w:after="160"/>
      </w:pPr>
      <w:r>
        <w:rPr>
          <w:sz w:val="21"/>
        </w:rPr>
        <w:t>The technical approach for each of these — including what storage is available, whether embeddings generation is supported, and what UI foundation best supports them — is still under evaluation. These are open questions, not yet decisions.</w:t>
      </w:r>
    </w:p>
    <w:p>
      <w:pPr>
        <w:spacing w:before="280" w:after="120"/>
      </w:pPr>
      <w:r>
        <w:rPr>
          <w:rFonts w:ascii="Times New Roman" w:hAnsi="Times New Roman"/>
          <w:b/>
          <w:color w:val="0072BC"/>
          <w:sz w:val="36"/>
        </w:rPr>
        <w:t>9. Known Boundaries</w:t>
      </w:r>
    </w:p>
    <w:p>
      <w:pPr>
        <w:pStyle w:val="ListBullet"/>
        <w:spacing w:after="80"/>
      </w:pPr>
      <w:r>
        <w:rPr>
          <w:sz w:val="21"/>
        </w:rPr>
        <w:t>Code Companion does not access, modify, or deploy anything in a live SAP system. All output is for manual review and application.</w:t>
      </w:r>
    </w:p>
    <w:p>
      <w:pPr>
        <w:pStyle w:val="ListBullet"/>
        <w:spacing w:after="80"/>
      </w:pPr>
      <w:r>
        <w:rPr>
          <w:sz w:val="21"/>
        </w:rPr>
        <w:t>It does not verify that a suggested object name, CDS view, or authorization object actually exists or is released in the target system — it flags assumptions and uses placeholders where it can't verify this.</w:t>
      </w:r>
    </w:p>
    <w:p>
      <w:pPr>
        <w:pStyle w:val="ListBullet"/>
        <w:spacing w:after="80"/>
      </w:pPr>
      <w:r>
        <w:rPr>
          <w:sz w:val="21"/>
        </w:rPr>
        <w:t>It does not currently answer from a restricted or curated knowledge base — responses draw on general model knowledge, not an organization-specific document set.</w:t>
      </w:r>
    </w:p>
    <w:p>
      <w:pPr>
        <w:pStyle w:val="ListBullet"/>
        <w:spacing w:after="80"/>
      </w:pPr>
      <w:r>
        <w:rPr>
          <w:sz w:val="21"/>
        </w:rPr>
        <w:t>There is no persistence across sessions today. Closing or refreshing the browser loses the active conversation, and only one conversation is active at a time.</w:t>
      </w:r>
    </w:p>
    <w:p>
      <w:pPr>
        <w:spacing w:before="280" w:after="120"/>
      </w:pPr>
      <w:r>
        <w:rPr>
          <w:rFonts w:ascii="Times New Roman" w:hAnsi="Times New Roman"/>
          <w:b/>
          <w:color w:val="0072BC"/>
          <w:sz w:val="36"/>
        </w:rPr>
        <w:t>10. Glossary</w:t>
      </w:r>
    </w:p>
    <w:tbl>
      <w:tblPr>
        <w:tblW w:type="auto" w:w="0"/>
        <w:jc w:val="center"/>
        <w:tblLayout w:type="fixed"/>
        <w:tblLook w:firstColumn="1" w:firstRow="1" w:lastColumn="0" w:lastRow="0" w:noHBand="0" w:noVBand="1" w:val="04A0"/>
      </w:tblPr>
      <w:tblGrid>
        <w:gridCol w:w="4819"/>
        <w:gridCol w:w="4819"/>
      </w:tblGrid>
      <w:tr>
        <w:tc>
          <w:tcPr>
            <w:tcW w:type="dxa" w:w="3402"/>
            <w:shd w:val="clear" w:color="auto" w:fill="1F3864"/>
          </w:tcPr>
          <w:p>
            <w:r/>
            <w:r>
              <w:rPr>
                <w:b/>
                <w:color w:val="FFFFFF"/>
                <w:sz w:val="21"/>
              </w:rPr>
              <w:t>Term</w:t>
            </w:r>
          </w:p>
        </w:tc>
        <w:tc>
          <w:tcPr>
            <w:tcW w:type="dxa" w:w="5669"/>
            <w:shd w:val="clear" w:color="auto" w:fill="1F3864"/>
          </w:tcPr>
          <w:p>
            <w:r/>
            <w:r>
              <w:rPr>
                <w:b/>
                <w:color w:val="FFFFFF"/>
                <w:sz w:val="21"/>
              </w:rPr>
              <w:t>Plain-Language Explanation</w:t>
            </w:r>
          </w:p>
        </w:tc>
      </w:tr>
      <w:tr>
        <w:tc>
          <w:tcPr>
            <w:tcW w:type="dxa" w:w="3402"/>
          </w:tcPr>
          <w:p>
            <w:r/>
            <w:r>
              <w:rPr>
                <w:b w:val="0"/>
                <w:sz w:val="21"/>
              </w:rPr>
              <w:t>ABAP / ABAP Cloud</w:t>
            </w:r>
          </w:p>
        </w:tc>
        <w:tc>
          <w:tcPr>
            <w:tcW w:type="dxa" w:w="5669"/>
          </w:tcPr>
          <w:p>
            <w:r/>
            <w:r>
              <w:rPr>
                <w:b w:val="0"/>
                <w:sz w:val="21"/>
              </w:rPr>
              <w:t>SAP’s programming language for custom development; “Cloud” refers to the restricted, upgrade-safe subset used in clean-core development</w:t>
            </w:r>
          </w:p>
        </w:tc>
      </w:tr>
      <w:tr>
        <w:tc>
          <w:tcPr>
            <w:tcW w:type="dxa" w:w="3402"/>
            <w:shd w:val="clear" w:color="auto" w:fill="F2F6FA"/>
          </w:tcPr>
          <w:p>
            <w:r/>
            <w:r>
              <w:rPr>
                <w:b w:val="0"/>
                <w:sz w:val="21"/>
              </w:rPr>
              <w:t>CDS (Core Data Services)</w:t>
            </w:r>
          </w:p>
        </w:tc>
        <w:tc>
          <w:tcPr>
            <w:tcW w:type="dxa" w:w="5669"/>
            <w:shd w:val="clear" w:color="auto" w:fill="F2F6FA"/>
          </w:tcPr>
          <w:p>
            <w:r/>
            <w:r>
              <w:rPr>
                <w:b w:val="0"/>
                <w:sz w:val="21"/>
              </w:rPr>
              <w:t>A way of defining reusable, SAP-native data views used across reporting, apps, and APIs</w:t>
            </w:r>
          </w:p>
        </w:tc>
      </w:tr>
      <w:tr>
        <w:tc>
          <w:tcPr>
            <w:tcW w:type="dxa" w:w="3402"/>
          </w:tcPr>
          <w:p>
            <w:r/>
            <w:r>
              <w:rPr>
                <w:b w:val="0"/>
                <w:sz w:val="21"/>
              </w:rPr>
              <w:t>RAP (RESTful ABAP Programming Model)</w:t>
            </w:r>
          </w:p>
        </w:tc>
        <w:tc>
          <w:tcPr>
            <w:tcW w:type="dxa" w:w="5669"/>
          </w:tcPr>
          <w:p>
            <w:r/>
            <w:r>
              <w:rPr>
                <w:b w:val="0"/>
                <w:sz w:val="21"/>
              </w:rPr>
              <w:t>SAP’s standard framework for building new transactional applications</w:t>
            </w:r>
          </w:p>
        </w:tc>
      </w:tr>
      <w:tr>
        <w:tc>
          <w:tcPr>
            <w:tcW w:type="dxa" w:w="3402"/>
            <w:shd w:val="clear" w:color="auto" w:fill="F2F6FA"/>
          </w:tcPr>
          <w:p>
            <w:r/>
            <w:r>
              <w:rPr>
                <w:b w:val="0"/>
                <w:sz w:val="21"/>
              </w:rPr>
              <w:t>Clean Core</w:t>
            </w:r>
          </w:p>
        </w:tc>
        <w:tc>
          <w:tcPr>
            <w:tcW w:type="dxa" w:w="5669"/>
            <w:shd w:val="clear" w:color="auto" w:fill="F2F6FA"/>
          </w:tcPr>
          <w:p>
            <w:r/>
            <w:r>
              <w:rPr>
                <w:b w:val="0"/>
                <w:sz w:val="21"/>
              </w:rPr>
              <w:t>SAP’s guidance to build extensions without modifying standard SAP objects, so the system stays upgrade-safe</w:t>
            </w:r>
          </w:p>
        </w:tc>
      </w:tr>
      <w:tr>
        <w:tc>
          <w:tcPr>
            <w:tcW w:type="dxa" w:w="3402"/>
          </w:tcPr>
          <w:p>
            <w:r/>
            <w:r>
              <w:rPr>
                <w:b w:val="0"/>
                <w:sz w:val="21"/>
              </w:rPr>
              <w:t>OData</w:t>
            </w:r>
          </w:p>
        </w:tc>
        <w:tc>
          <w:tcPr>
            <w:tcW w:type="dxa" w:w="5669"/>
          </w:tcPr>
          <w:p>
            <w:r/>
            <w:r>
              <w:rPr>
                <w:b w:val="0"/>
                <w:sz w:val="21"/>
              </w:rPr>
              <w:t>The standard protocol SAP uses to expose data to Fiori apps and external systems</w:t>
            </w:r>
          </w:p>
        </w:tc>
      </w:tr>
      <w:tr>
        <w:tc>
          <w:tcPr>
            <w:tcW w:type="dxa" w:w="3402"/>
            <w:shd w:val="clear" w:color="auto" w:fill="F2F6FA"/>
          </w:tcPr>
          <w:p>
            <w:r/>
            <w:r>
              <w:rPr>
                <w:b w:val="0"/>
                <w:sz w:val="21"/>
              </w:rPr>
              <w:t>CAP / BTP</w:t>
            </w:r>
          </w:p>
        </w:tc>
        <w:tc>
          <w:tcPr>
            <w:tcW w:type="dxa" w:w="5669"/>
            <w:shd w:val="clear" w:color="auto" w:fill="F2F6FA"/>
          </w:tcPr>
          <w:p>
            <w:r/>
            <w:r>
              <w:rPr>
                <w:b w:val="0"/>
                <w:sz w:val="21"/>
              </w:rPr>
              <w:t>SAP’s Cloud Application Programming model, used for side-by-side extensions on SAP’s Business Technology Platform</w:t>
            </w:r>
          </w:p>
        </w:tc>
      </w:tr>
      <w:tr>
        <w:tc>
          <w:tcPr>
            <w:tcW w:type="dxa" w:w="3402"/>
          </w:tcPr>
          <w:p>
            <w:r/>
            <w:r>
              <w:rPr>
                <w:b w:val="0"/>
                <w:sz w:val="21"/>
              </w:rPr>
              <w:t>Stage (Understand / Code / Validate / Complete)</w:t>
            </w:r>
          </w:p>
        </w:tc>
        <w:tc>
          <w:tcPr>
            <w:tcW w:type="dxa" w:w="5669"/>
          </w:tcPr>
          <w:p>
            <w:r/>
            <w:r>
              <w:rPr>
                <w:b w:val="0"/>
                <w:sz w:val="21"/>
              </w:rPr>
              <w:t>The four steps of a Code Companion conversation, shown as a progress indicator</w:t>
            </w:r>
          </w:p>
        </w:tc>
      </w:tr>
    </w:tbl>
    <w:p>
      <w:pPr>
        <w:spacing w:after="80"/>
      </w:pPr>
    </w:p>
    <w:p>
      <w:pPr>
        <w:spacing w:before="280" w:after="120"/>
      </w:pPr>
      <w:r>
        <w:rPr>
          <w:rFonts w:ascii="Times New Roman" w:hAnsi="Times New Roman"/>
          <w:b/>
          <w:color w:val="0072BC"/>
          <w:sz w:val="36"/>
        </w:rPr>
        <w:t>11. Frequently Asked Questions</w:t>
      </w:r>
    </w:p>
    <w:p>
      <w:pPr>
        <w:spacing w:after="40"/>
      </w:pPr>
      <w:r>
        <w:rPr>
          <w:b/>
          <w:sz w:val="21"/>
        </w:rPr>
        <w:t>What SAP areas does it support?</w:t>
      </w:r>
    </w:p>
    <w:p>
      <w:pPr>
        <w:spacing w:after="160"/>
      </w:pPr>
      <w:r>
        <w:rPr>
          <w:sz w:val="21"/>
        </w:rPr>
        <w:t>ABAP, ABAP Cloud, CDS, RAP, OData services, Fiori/UI5 integration points, and CAP applications on SAP BTP.</w:t>
      </w:r>
    </w:p>
    <w:p>
      <w:pPr>
        <w:spacing w:after="40"/>
      </w:pPr>
      <w:r>
        <w:rPr>
          <w:b/>
          <w:sz w:val="21"/>
        </w:rPr>
        <w:t>Does it access or change my SAP system directly?</w:t>
      </w:r>
    </w:p>
    <w:p>
      <w:pPr>
        <w:spacing w:after="160"/>
      </w:pPr>
      <w:r>
        <w:rPr>
          <w:sz w:val="21"/>
        </w:rPr>
        <w:t>No. All output is presented for manual review and application — Code Companion never acts on a system directly.</w:t>
      </w:r>
    </w:p>
    <w:p>
      <w:pPr>
        <w:spacing w:after="40"/>
      </w:pPr>
      <w:r>
        <w:rPr>
          <w:b/>
          <w:sz w:val="21"/>
        </w:rPr>
        <w:t>What happens if I want to change something after the code is generated?</w:t>
      </w:r>
    </w:p>
    <w:p>
      <w:pPr>
        <w:spacing w:after="160"/>
      </w:pPr>
      <w:r>
        <w:rPr>
          <w:sz w:val="21"/>
        </w:rPr>
        <w:t>The Validate stage lets you give feedback before the conversation is marked complete.</w:t>
      </w:r>
    </w:p>
    <w:p>
      <w:pPr>
        <w:spacing w:after="40"/>
      </w:pPr>
      <w:r>
        <w:rPr>
          <w:b/>
          <w:sz w:val="21"/>
        </w:rPr>
        <w:t>Can I download the response?</w:t>
      </w:r>
    </w:p>
    <w:p>
      <w:pPr>
        <w:spacing w:after="160"/>
      </w:pPr>
      <w:r>
        <w:rPr>
          <w:sz w:val="21"/>
        </w:rPr>
        <w:t>Yes, as a formatted Word document.</w:t>
      </w:r>
    </w:p>
    <w:p>
      <w:pPr>
        <w:spacing w:after="40"/>
      </w:pPr>
      <w:r>
        <w:rPr>
          <w:b/>
          <w:sz w:val="21"/>
        </w:rPr>
        <w:t>Can it confirm that a CDS view or authorization object I’ve been given actually exists in my system?</w:t>
      </w:r>
    </w:p>
    <w:p>
      <w:pPr>
        <w:spacing w:after="160"/>
      </w:pPr>
      <w:r>
        <w:rPr>
          <w:sz w:val="21"/>
        </w:rPr>
        <w:t>No. It cannot verify object existence or release status in your specific system — it flags these as assumptions and uses clearly marked placeholders where it can’t confirm them.</w:t>
      </w:r>
    </w:p>
    <w:p>
      <w:pPr>
        <w:spacing w:before="280" w:after="120"/>
      </w:pPr>
      <w:r>
        <w:rPr>
          <w:rFonts w:ascii="Times New Roman" w:hAnsi="Times New Roman"/>
          <w:b/>
          <w:color w:val="0072BC"/>
          <w:sz w:val="36"/>
        </w:rPr>
        <w:t>12. Document Owners</w:t>
      </w:r>
    </w:p>
    <w:tbl>
      <w:tblPr>
        <w:tblW w:type="auto" w:w="0"/>
        <w:jc w:val="center"/>
        <w:tblLayout w:type="fixed"/>
        <w:tblLook w:firstColumn="1" w:firstRow="1" w:lastColumn="0" w:lastRow="0" w:noHBand="0" w:noVBand="1" w:val="04A0"/>
      </w:tblPr>
      <w:tblGrid>
        <w:gridCol w:w="4819"/>
        <w:gridCol w:w="4819"/>
      </w:tblGrid>
      <w:tr>
        <w:tc>
          <w:tcPr>
            <w:tcW w:type="dxa" w:w="3402"/>
            <w:shd w:val="clear" w:color="auto" w:fill="1F3864"/>
          </w:tcPr>
          <w:p>
            <w:r/>
            <w:r>
              <w:rPr>
                <w:b/>
                <w:color w:val="FFFFFF"/>
                <w:sz w:val="21"/>
              </w:rPr>
              <w:t>Role</w:t>
            </w:r>
          </w:p>
        </w:tc>
        <w:tc>
          <w:tcPr>
            <w:tcW w:type="dxa" w:w="5669"/>
            <w:shd w:val="clear" w:color="auto" w:fill="1F3864"/>
          </w:tcPr>
          <w:p>
            <w:r/>
            <w:r>
              <w:rPr>
                <w:b/>
                <w:color w:val="FFFFFF"/>
                <w:sz w:val="21"/>
              </w:rPr>
              <w:t>Name</w:t>
            </w:r>
          </w:p>
        </w:tc>
      </w:tr>
      <w:tr>
        <w:tc>
          <w:tcPr>
            <w:tcW w:type="dxa" w:w="3402"/>
          </w:tcPr>
          <w:p>
            <w:r/>
            <w:r>
              <w:rPr>
                <w:b w:val="0"/>
                <w:sz w:val="21"/>
              </w:rPr>
              <w:t>Developed by</w:t>
            </w:r>
          </w:p>
        </w:tc>
        <w:tc>
          <w:tcPr>
            <w:tcW w:type="dxa" w:w="5669"/>
          </w:tcPr>
          <w:p>
            <w:r/>
            <w:r>
              <w:rPr>
                <w:b w:val="0"/>
                <w:sz w:val="21"/>
              </w:rPr>
              <w:t>Hariharan Ummadisetti</w:t>
            </w:r>
          </w:p>
        </w:tc>
      </w:tr>
      <w:tr>
        <w:tc>
          <w:tcPr>
            <w:tcW w:type="dxa" w:w="3402"/>
            <w:shd w:val="clear" w:color="auto" w:fill="F2F6FA"/>
          </w:tcPr>
          <w:p>
            <w:r/>
            <w:r>
              <w:rPr>
                <w:b w:val="0"/>
                <w:sz w:val="21"/>
              </w:rPr>
              <w:t>Product Owner</w:t>
            </w:r>
          </w:p>
        </w:tc>
        <w:tc>
          <w:tcPr>
            <w:tcW w:type="dxa" w:w="5669"/>
            <w:shd w:val="clear" w:color="auto" w:fill="F2F6FA"/>
          </w:tcPr>
          <w:p>
            <w:r/>
            <w:r>
              <w:rPr>
                <w:b w:val="0"/>
                <w:sz w:val="21"/>
              </w:rPr>
              <w:t>Dharmat Rajnesh</w:t>
            </w:r>
          </w:p>
        </w:tc>
      </w:tr>
      <w:tr>
        <w:tc>
          <w:tcPr>
            <w:tcW w:type="dxa" w:w="3402"/>
          </w:tcPr>
          <w:p>
            <w:r/>
            <w:r>
              <w:rPr>
                <w:b w:val="0"/>
                <w:sz w:val="21"/>
              </w:rPr>
              <w:t>Product Manager</w:t>
            </w:r>
          </w:p>
        </w:tc>
        <w:tc>
          <w:tcPr>
            <w:tcW w:type="dxa" w:w="5669"/>
          </w:tcPr>
          <w:p>
            <w:r/>
            <w:r>
              <w:rPr>
                <w:b w:val="0"/>
                <w:sz w:val="21"/>
              </w:rPr>
              <w:t>Aparajita</w:t>
            </w:r>
          </w:p>
        </w:tc>
      </w:tr>
      <w:tr>
        <w:tc>
          <w:tcPr>
            <w:tcW w:type="dxa" w:w="3402"/>
            <w:shd w:val="clear" w:color="auto" w:fill="F2F6FA"/>
          </w:tcPr>
          <w:p>
            <w:r/>
            <w:r>
              <w:rPr>
                <w:b w:val="0"/>
                <w:sz w:val="21"/>
              </w:rPr>
              <w:t>Platform</w:t>
            </w:r>
          </w:p>
        </w:tc>
        <w:tc>
          <w:tcPr>
            <w:tcW w:type="dxa" w:w="5669"/>
            <w:shd w:val="clear" w:color="auto" w:fill="F2F6FA"/>
          </w:tcPr>
          <w:p>
            <w:r/>
            <w:r>
              <w:rPr>
                <w:b w:val="0"/>
                <w:sz w:val="21"/>
              </w:rPr>
              <w:t>aXet.BusinessSolutions (powered by aXet.flows)</w:t>
            </w:r>
          </w:p>
        </w:tc>
      </w:tr>
    </w:tbl>
    <w:p>
      <w:pPr>
        <w:spacing w:after="80"/>
      </w:pPr>
    </w:p>
    <w:sectPr w:rsidR="00B41639" w:rsidRPr="0081680E" w:rsidSect="00021EDF">
      <w:headerReference w:type="even" r:id="rId12"/>
      <w:headerReference w:type="default" r:id="rId13"/>
      <w:footerReference w:type="default" r:id="rId14"/>
      <w:headerReference w:type="first" r:id="rId15"/>
      <w:footerReference w:type="first" r:id="rId16"/>
      <w:pgSz w:w="11906" w:h="16838"/>
      <w:pgMar w:top="1609" w:right="1134" w:bottom="1134" w:left="1134" w:header="709" w:footer="4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3D9EA" w14:textId="77777777" w:rsidR="00D11B5C" w:rsidRDefault="00D11B5C" w:rsidP="004F71FC">
      <w:r>
        <w:separator/>
      </w:r>
    </w:p>
    <w:p w14:paraId="2ADB9956" w14:textId="77777777" w:rsidR="00D11B5C" w:rsidRDefault="00D11B5C"/>
  </w:endnote>
  <w:endnote w:type="continuationSeparator" w:id="0">
    <w:p w14:paraId="2F87C774" w14:textId="77777777" w:rsidR="00D11B5C" w:rsidRDefault="00D11B5C" w:rsidP="004F71FC">
      <w:r>
        <w:continuationSeparator/>
      </w:r>
    </w:p>
    <w:p w14:paraId="06FB7A9F" w14:textId="77777777" w:rsidR="00D11B5C" w:rsidRDefault="00D11B5C"/>
  </w:endnote>
  <w:endnote w:type="continuationNotice" w:id="1">
    <w:p w14:paraId="0CDB96FE" w14:textId="77777777" w:rsidR="00D11B5C" w:rsidRDefault="00D11B5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31C3" w14:textId="5775134C" w:rsidR="00762711" w:rsidRPr="007A03B6" w:rsidRDefault="00762711" w:rsidP="00824EC5">
    <w:pPr>
      <w:pStyle w:val="Footer"/>
      <w:tabs>
        <w:tab w:val="clear" w:pos="9026"/>
        <w:tab w:val="right" w:pos="9575"/>
      </w:tabs>
      <w:rPr>
        <w:bCs/>
      </w:rPr>
    </w:pPr>
    <w:r w:rsidRPr="001C5D50">
      <w:rPr>
        <w:bCs/>
        <w:lang w:val="en-GB"/>
      </w:rPr>
      <w:t>©</w:t>
    </w:r>
    <w:r>
      <w:rPr>
        <w:bCs/>
        <w:lang w:val="en-GB"/>
      </w:rPr>
      <w:t xml:space="preserve"> </w:t>
    </w:r>
    <w:r w:rsidRPr="007A03B6">
      <w:rPr>
        <w:bCs/>
      </w:rPr>
      <w:t>202</w:t>
    </w:r>
    <w:r w:rsidR="00254096">
      <w:rPr>
        <w:bCs/>
      </w:rPr>
      <w:t>6</w:t>
    </w:r>
    <w:r w:rsidRPr="001C5D50">
      <w:rPr>
        <w:bCs/>
        <w:lang w:val="en-GB"/>
      </w:rPr>
      <w:t xml:space="preserve"> </w:t>
    </w:r>
    <w:sdt>
      <w:sdtPr>
        <w:rPr>
          <w:bCs/>
        </w:rPr>
        <w:alias w:val="Company"/>
        <w:tag w:val=""/>
        <w:id w:val="-1607030622"/>
        <w:dataBinding w:prefixMappings="xmlns:ns0='http://schemas.openxmlformats.org/officeDocument/2006/extended-properties' " w:xpath="/ns0:Properties[1]/ns0:Company[1]" w:storeItemID="{6668398D-A668-4E3E-A5EB-62B293D839F1}"/>
        <w:text/>
      </w:sdtPr>
      <w:sdtContent>
        <w:r w:rsidR="00A769FC" w:rsidRPr="007A03B6">
          <w:rPr>
            <w:bCs/>
          </w:rPr>
          <w:t>NTT DATA Business Solutions</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BD49F" w14:textId="77777777" w:rsidR="00C12906" w:rsidRPr="00A769FC" w:rsidRDefault="00762711" w:rsidP="00C12906">
    <w:pPr>
      <w:pStyle w:val="Footer"/>
      <w:tabs>
        <w:tab w:val="clear" w:pos="9026"/>
        <w:tab w:val="right" w:pos="9575"/>
      </w:tabs>
      <w:rPr>
        <w:bCs/>
        <w:lang w:val="en-GB"/>
      </w:rPr>
    </w:pPr>
    <w:r w:rsidRPr="00762711">
      <w:rPr>
        <w:noProof/>
        <w:sz w:val="12"/>
        <w:szCs w:val="12"/>
      </w:rPr>
      <mc:AlternateContent>
        <mc:Choice Requires="wps">
          <w:drawing>
            <wp:anchor distT="45720" distB="45720" distL="114300" distR="114300" simplePos="0" relativeHeight="251658240" behindDoc="0" locked="0" layoutInCell="1" allowOverlap="1" wp14:anchorId="1758EABF" wp14:editId="49324F3E">
              <wp:simplePos x="0" y="0"/>
              <wp:positionH relativeFrom="margin">
                <wp:align>right</wp:align>
              </wp:positionH>
              <wp:positionV relativeFrom="paragraph">
                <wp:posOffset>4445</wp:posOffset>
              </wp:positionV>
              <wp:extent cx="804545" cy="1600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6D410CB5"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758EABF" id="_x0000_t202" coordsize="21600,21600" o:spt="202" path="m,l,21600r21600,l21600,xe">
              <v:stroke joinstyle="miter"/>
              <v:path gradientshapeok="t" o:connecttype="rect"/>
            </v:shapetype>
            <v:shape id="_x0000_s1028" type="#_x0000_t202" style="position:absolute;margin-left:12.15pt;margin-top:.35pt;width:63.35pt;height:12.6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" stroked="f">
              <v:textbox style="mso-fit-shape-to-text:t" inset="0,0,0,0">
                <w:txbxContent>
                  <w:p w14:paraId="6D410CB5"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001C5D50" w:rsidRPr="001C5D50">
      <w:rPr>
        <w:rFonts w:hint="eastAsia"/>
        <w:bCs/>
        <w:lang w:val="en-GB"/>
      </w:rPr>
      <w:t>©</w:t>
    </w:r>
    <w:r w:rsidR="001C5D50">
      <w:rPr>
        <w:bCs/>
        <w:lang w:val="en-GB"/>
      </w:rPr>
      <w:t xml:space="preserve"> 2023</w:t>
    </w:r>
    <w:r w:rsidR="001C5D50" w:rsidRPr="001C5D50">
      <w:rPr>
        <w:bCs/>
        <w:lang w:val="en-GB"/>
      </w:rPr>
      <w:t xml:space="preserve"> </w:t>
    </w:r>
    <w:sdt>
      <w:sdtPr>
        <w:rPr>
          <w:bCs/>
          <w:lang w:val="en-GB"/>
        </w:rPr>
        <w:alias w:val="Company"/>
        <w:tag w:val=""/>
        <w:id w:val="1613089459"/>
        <w:dataBinding w:prefixMappings="xmlns:ns0='http://schemas.openxmlformats.org/officeDocument/2006/extended-properties' " w:xpath="/ns0:Properties[1]/ns0:Company[1]" w:storeItemID="{6668398D-A668-4E3E-A5EB-62B293D839F1}"/>
        <w:text/>
      </w:sdtPr>
      <w:sdtContent>
        <w:r w:rsidR="001C17FF">
          <w:rPr>
            <w:bCs/>
            <w:lang w:val="en-GB"/>
          </w:rPr>
          <w:t>NTT DATA</w:t>
        </w:r>
        <w:r w:rsidR="00A769FC">
          <w:rPr>
            <w:bCs/>
            <w:lang w:val="en-GB"/>
          </w:rPr>
          <w:t xml:space="preserve"> Business Solutions</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0E3A" w14:textId="77777777" w:rsidR="00D11B5C" w:rsidRDefault="00D11B5C" w:rsidP="004F71FC">
      <w:r>
        <w:separator/>
      </w:r>
    </w:p>
    <w:p w14:paraId="1648A3C2" w14:textId="77777777" w:rsidR="00D11B5C" w:rsidRDefault="00D11B5C"/>
  </w:footnote>
  <w:footnote w:type="continuationSeparator" w:id="0">
    <w:p w14:paraId="6CF1A0A8" w14:textId="77777777" w:rsidR="00D11B5C" w:rsidRDefault="00D11B5C" w:rsidP="004F71FC">
      <w:r>
        <w:continuationSeparator/>
      </w:r>
    </w:p>
    <w:p w14:paraId="0CAD4FEF" w14:textId="77777777" w:rsidR="00D11B5C" w:rsidRDefault="00D11B5C"/>
  </w:footnote>
  <w:footnote w:type="continuationNotice" w:id="1">
    <w:p w14:paraId="099940EC" w14:textId="77777777" w:rsidR="00D11B5C" w:rsidRDefault="00D11B5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BD256" w14:textId="0AABE972" w:rsidR="00D323FA" w:rsidRDefault="00D323FA">
    <w:pPr>
      <w:pStyle w:val="Header"/>
    </w:pPr>
    <w:r>
      <w:rPr>
        <w:noProof/>
      </w:rPr>
      <mc:AlternateContent>
        <mc:Choice Requires="wps">
          <w:drawing>
            <wp:anchor distT="0" distB="0" distL="0" distR="0" simplePos="0" relativeHeight="251660291" behindDoc="0" locked="0" layoutInCell="1" allowOverlap="1" wp14:anchorId="00277C94" wp14:editId="19F9B3CA">
              <wp:simplePos x="635" y="635"/>
              <wp:positionH relativeFrom="page">
                <wp:align>center</wp:align>
              </wp:positionH>
              <wp:positionV relativeFrom="page">
                <wp:align>top</wp:align>
              </wp:positionV>
              <wp:extent cx="847725" cy="400050"/>
              <wp:effectExtent l="0" t="0" r="9525" b="0"/>
              <wp:wrapNone/>
              <wp:docPr id="1184606639"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7725" cy="400050"/>
                      </a:xfrm>
                      <a:prstGeom prst="rect">
                        <a:avLst/>
                      </a:prstGeom>
                      <a:noFill/>
                      <a:ln>
                        <a:noFill/>
                      </a:ln>
                    </wps:spPr>
                    <wps:txbx>
                      <w:txbxContent>
                        <w:p w14:paraId="6E25F72A" w14:textId="41880377" w:rsidR="00D323FA" w:rsidRPr="00D323FA" w:rsidRDefault="00D323FA" w:rsidP="00D323FA">
                          <w:pPr>
                            <w:rPr>
                              <w:rFonts w:ascii="Aptos" w:eastAsia="Aptos" w:hAnsi="Aptos" w:cs="Aptos"/>
                              <w:noProof/>
                              <w:color w:val="008000"/>
                              <w:sz w:val="24"/>
                            </w:rPr>
                          </w:pPr>
                          <w:r w:rsidRPr="00D323FA">
                            <w:rPr>
                              <w:rFonts w:ascii="Aptos" w:eastAsia="Aptos" w:hAnsi="Aptos" w:cs="Aptos"/>
                              <w:noProof/>
                              <w:color w:val="008000"/>
                              <w:sz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277C94" id="_x0000_t202" coordsize="21600,21600" o:spt="202" path="m,l,21600r21600,l21600,xe">
              <v:stroke joinstyle="miter"/>
              <v:path gradientshapeok="t" o:connecttype="rect"/>
            </v:shapetype>
            <v:shape id="Text Box 2" o:spid="_x0000_s1026" type="#_x0000_t202" alt="RESTRICTED" style="position:absolute;margin-left:0;margin-top:0;width:66.75pt;height:31.5pt;z-index:25166029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" filled="f" stroked="f">
              <v:textbox style="mso-fit-shape-to-text:t" inset="0,15pt,0,0">
                <w:txbxContent>
                  <w:p w14:paraId="6E25F72A" w14:textId="41880377" w:rsidR="00D323FA" w:rsidRPr="00D323FA" w:rsidRDefault="00D323FA" w:rsidP="00D323FA">
                    <w:pPr>
                      <w:rPr>
                        <w:rFonts w:ascii="Aptos" w:eastAsia="Aptos" w:hAnsi="Aptos" w:cs="Aptos"/>
                        <w:noProof/>
                        <w:color w:val="008000"/>
                        <w:sz w:val="24"/>
                      </w:rPr>
                    </w:pPr>
                    <w:r w:rsidRPr="00D323FA">
                      <w:rPr>
                        <w:rFonts w:ascii="Aptos" w:eastAsia="Aptos" w:hAnsi="Aptos" w:cs="Aptos"/>
                        <w:noProof/>
                        <w:color w:val="008000"/>
                        <w:sz w:val="24"/>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89429" w14:textId="03AF9E12" w:rsidR="00570008" w:rsidRDefault="00570008">
    <w:pPr>
      <w:pStyle w:val="Header"/>
    </w:pPr>
    <w:r w:rsidRPr="0085122C">
      <w:rPr>
        <w:noProof/>
      </w:rPr>
      <w:drawing>
        <wp:anchor distT="0" distB="0" distL="114300" distR="114300" simplePos="0" relativeHeight="251662339" behindDoc="0" locked="0" layoutInCell="1" allowOverlap="1" wp14:anchorId="6FF39F76" wp14:editId="5BB8EBE9">
          <wp:simplePos x="0" y="0"/>
          <wp:positionH relativeFrom="margin">
            <wp:align>right</wp:align>
          </wp:positionH>
          <wp:positionV relativeFrom="paragraph">
            <wp:posOffset>-95885</wp:posOffset>
          </wp:positionV>
          <wp:extent cx="1223645" cy="249555"/>
          <wp:effectExtent l="0" t="0" r="0" b="0"/>
          <wp:wrapNone/>
          <wp:docPr id="2054829698" name="Graphic 2054829698">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p>
  <w:p w14:paraId="25A295E6" w14:textId="4D780C31" w:rsidR="005675A2" w:rsidRDefault="005675A2" w:rsidP="00B35478">
    <w:pPr>
      <w:pStyle w:val="Header"/>
      <w:tabs>
        <w:tab w:val="clear" w:pos="90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6128" w14:textId="69C85C08" w:rsidR="005675A2" w:rsidRPr="00F72BF4" w:rsidRDefault="00D323FA" w:rsidP="000E36F2">
    <w:pPr>
      <w:pStyle w:val="Header"/>
      <w:tabs>
        <w:tab w:val="clear" w:pos="9026"/>
      </w:tabs>
    </w:pPr>
    <w:r>
      <w:rPr>
        <w:noProof/>
      </w:rPr>
      <mc:AlternateContent>
        <mc:Choice Requires="wps">
          <w:drawing>
            <wp:anchor distT="0" distB="0" distL="0" distR="0" simplePos="0" relativeHeight="251659267" behindDoc="0" locked="0" layoutInCell="1" allowOverlap="1" wp14:anchorId="7A436443" wp14:editId="115961A7">
              <wp:simplePos x="635" y="635"/>
              <wp:positionH relativeFrom="page">
                <wp:align>center</wp:align>
              </wp:positionH>
              <wp:positionV relativeFrom="page">
                <wp:align>top</wp:align>
              </wp:positionV>
              <wp:extent cx="847725" cy="400050"/>
              <wp:effectExtent l="0" t="0" r="9525" b="0"/>
              <wp:wrapNone/>
              <wp:docPr id="1616724069"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7725" cy="400050"/>
                      </a:xfrm>
                      <a:prstGeom prst="rect">
                        <a:avLst/>
                      </a:prstGeom>
                      <a:noFill/>
                      <a:ln>
                        <a:noFill/>
                      </a:ln>
                    </wps:spPr>
                    <wps:txbx>
                      <w:txbxContent>
                        <w:p w14:paraId="1C35B449" w14:textId="535224C4" w:rsidR="00D323FA" w:rsidRPr="00D323FA" w:rsidRDefault="00D323FA" w:rsidP="00D323FA">
                          <w:pPr>
                            <w:rPr>
                              <w:rFonts w:ascii="Aptos" w:eastAsia="Aptos" w:hAnsi="Aptos" w:cs="Aptos"/>
                              <w:noProof/>
                              <w:color w:val="008000"/>
                              <w:sz w:val="24"/>
                            </w:rPr>
                          </w:pPr>
                          <w:r w:rsidRPr="00D323FA">
                            <w:rPr>
                              <w:rFonts w:ascii="Aptos" w:eastAsia="Aptos" w:hAnsi="Aptos" w:cs="Aptos"/>
                              <w:noProof/>
                              <w:color w:val="008000"/>
                              <w:sz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A436443" id="_x0000_t202" coordsize="21600,21600" o:spt="202" path="m,l,21600r21600,l21600,xe">
              <v:stroke joinstyle="miter"/>
              <v:path gradientshapeok="t" o:connecttype="rect"/>
            </v:shapetype>
            <v:shape id="Text Box 1" o:spid="_x0000_s1027" type="#_x0000_t202" alt="RESTRICTED" style="position:absolute;margin-left:0;margin-top:0;width:66.75pt;height:31.5pt;z-index:25165926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" filled="f" stroked="f">
              <v:textbox style="mso-fit-shape-to-text:t" inset="0,15pt,0,0">
                <w:txbxContent>
                  <w:p w14:paraId="1C35B449" w14:textId="535224C4" w:rsidR="00D323FA" w:rsidRPr="00D323FA" w:rsidRDefault="00D323FA" w:rsidP="00D323FA">
                    <w:pPr>
                      <w:rPr>
                        <w:rFonts w:ascii="Aptos" w:eastAsia="Aptos" w:hAnsi="Aptos" w:cs="Aptos"/>
                        <w:noProof/>
                        <w:color w:val="008000"/>
                        <w:sz w:val="24"/>
                      </w:rPr>
                    </w:pPr>
                    <w:r w:rsidRPr="00D323FA">
                      <w:rPr>
                        <w:rFonts w:ascii="Aptos" w:eastAsia="Aptos" w:hAnsi="Aptos" w:cs="Aptos"/>
                        <w:noProof/>
                        <w:color w:val="008000"/>
                        <w:sz w:val="24"/>
                      </w:rPr>
                      <w:t>RESTRICTED</w:t>
                    </w:r>
                  </w:p>
                </w:txbxContent>
              </v:textbox>
              <w10:wrap anchorx="page" anchory="page"/>
            </v:shape>
          </w:pict>
        </mc:Fallback>
      </mc:AlternateContent>
    </w:r>
    <w:r w:rsidR="00306407" w:rsidRPr="0085122C">
      <w:rPr>
        <w:noProof/>
      </w:rPr>
      <w:drawing>
        <wp:anchor distT="0" distB="0" distL="114300" distR="114300" simplePos="0" relativeHeight="251658243" behindDoc="0" locked="0" layoutInCell="1" allowOverlap="1" wp14:anchorId="37C13AE1" wp14:editId="0AFC97D1">
          <wp:simplePos x="0" y="0"/>
          <wp:positionH relativeFrom="margin">
            <wp:align>right</wp:align>
          </wp:positionH>
          <wp:positionV relativeFrom="paragraph">
            <wp:posOffset>-635</wp:posOffset>
          </wp:positionV>
          <wp:extent cx="1223645" cy="249555"/>
          <wp:effectExtent l="0" t="0" r="0" b="0"/>
          <wp:wrapNone/>
          <wp:docPr id="1814195643" name="Graphic 1814195643">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sidR="00483546">
      <w:rPr>
        <w:noProof/>
      </w:rPr>
      <w:fldChar w:fldCharType="begin"/>
    </w:r>
    <w:r w:rsidR="00483546">
      <w:rPr>
        <w:noProof/>
      </w:rPr>
      <w:instrText xml:space="preserve"> STYLEREF  "Doc Title"  \* MERGEFORMAT </w:instrText>
    </w:r>
    <w:r w:rsidR="00483546">
      <w:rPr>
        <w:noProof/>
      </w:rPr>
      <w:fldChar w:fldCharType="separate"/>
    </w:r>
    <w:r w:rsidR="0073117B">
      <w:rPr>
        <w:b/>
        <w:bCs/>
        <w:noProof/>
      </w:rPr>
      <w:t>Error! No text of specified style in document.</w:t>
    </w:r>
    <w:r w:rsidR="00483546">
      <w:rPr>
        <w:noProof/>
      </w:rPr>
      <w:fldChar w:fldCharType="end"/>
    </w:r>
    <w:r w:rsidR="000E36F2">
      <w:rPr>
        <w:noProof/>
      </w:rPr>
      <w:tab/>
    </w:r>
    <w:bookmarkStart w:id="0" w:name="x1"/>
    <w:sdt>
      <w:sdtPr>
        <w:rPr>
          <w:rStyle w:val="ClassificationChar"/>
          <w:sz w:val="16"/>
        </w:rPr>
        <w:alias w:val="Classification"/>
        <w:tag w:val="Classification"/>
        <w:id w:val="1396711568"/>
        <w:dropDownList>
          <w:listItem w:displayText="PUBLIC" w:value="PUBLIC"/>
          <w:listItem w:displayText="RESTRICTED" w:value="RESTRICTED"/>
          <w:listItem w:displayText="CONFIDENTIAL" w:value="CONFIDENTIAL"/>
          <w:listItem w:displayText="SECRET" w:value="SECRET"/>
        </w:dropDownList>
      </w:sdtPr>
      <w:sdtContent>
        <w:r w:rsidR="000E36F2" w:rsidRPr="0022254A">
          <w:rPr>
            <w:rStyle w:val="ClassificationChar"/>
            <w:sz w:val="16"/>
          </w:rPr>
          <w:t>PUBLIC</w:t>
        </w:r>
      </w:sdtContent>
    </w:sdt>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226F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611BE"/>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D433F"/>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65667"/>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55906"/>
    <w:multiLevelType w:val="multilevel"/>
    <w:tmpl w:val="C6FAF8C8"/>
    <w:styleLink w:val="NTTHeadingsList"/>
    <w:lvl w:ilvl="0">
      <w:start w:val="1"/>
      <w:numFmt w:val="decimal"/>
      <w:lvlText w:val="%1."/>
      <w:lvlJc w:val="left"/>
      <w:pPr>
        <w:tabs>
          <w:tab w:val="num" w:pos="850"/>
        </w:tabs>
        <w:ind w:left="850" w:hanging="850"/>
      </w:pPr>
      <w:rPr>
        <w:rFonts w:ascii="Arial Bold" w:hAnsi="Arial Bold" w:cs="Arial" w:hint="default"/>
        <w:b/>
        <w:i w:val="0"/>
        <w:caps w:val="0"/>
        <w:strike w:val="0"/>
        <w:dstrike w:val="0"/>
        <w:vanish w:val="0"/>
        <w:color w:val="0072BC"/>
        <w:spacing w:val="10"/>
        <w:kern w:val="32"/>
        <w:sz w:val="32"/>
        <w:u w:val="none"/>
        <w:effect w:val="none"/>
        <w:vertAlign w:val="baseline"/>
      </w:rPr>
    </w:lvl>
    <w:lvl w:ilvl="1">
      <w:start w:val="1"/>
      <w:numFmt w:val="decimal"/>
      <w:lvlText w:val="%1.%2."/>
      <w:lvlJc w:val="left"/>
      <w:pPr>
        <w:tabs>
          <w:tab w:val="num" w:pos="850"/>
        </w:tabs>
        <w:ind w:left="850" w:hanging="850"/>
      </w:pPr>
      <w:rPr>
        <w:rFonts w:ascii="Arial Bold" w:hAnsi="Arial Bold" w:cs="Arial" w:hint="default"/>
        <w:b/>
        <w:i w:val="0"/>
        <w:caps w:val="0"/>
        <w:strike w:val="0"/>
        <w:dstrike w:val="0"/>
        <w:vanish w:val="0"/>
        <w:color w:val="0072BC"/>
        <w:spacing w:val="10"/>
        <w:sz w:val="24"/>
        <w:u w:val="none"/>
        <w:effect w:val="none"/>
        <w:vertAlign w:val="baseline"/>
      </w:rPr>
    </w:lvl>
    <w:lvl w:ilvl="2">
      <w:start w:val="1"/>
      <w:numFmt w:val="decimal"/>
      <w:lvlText w:val="%1.%2.%3"/>
      <w:lvlJc w:val="left"/>
      <w:pPr>
        <w:tabs>
          <w:tab w:val="num" w:pos="850"/>
        </w:tabs>
        <w:ind w:left="850" w:hanging="850"/>
      </w:pPr>
      <w:rPr>
        <w:rFonts w:ascii="Arial Bold" w:hAnsi="Arial Bold" w:cs="Arial" w:hint="default"/>
        <w:b/>
        <w:i w:val="0"/>
        <w:caps w:val="0"/>
        <w:strike w:val="0"/>
        <w:dstrike w:val="0"/>
        <w:vanish w:val="0"/>
        <w:color w:val="000000"/>
        <w:spacing w:val="10"/>
        <w:sz w:val="22"/>
        <w:u w:val="none"/>
        <w:effect w:val="none"/>
        <w:vertAlign w:val="baseline"/>
      </w:r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5" w15:restartNumberingAfterBreak="0">
    <w:nsid w:val="049756F9"/>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0670E"/>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C0333"/>
    <w:multiLevelType w:val="multilevel"/>
    <w:tmpl w:val="DA9E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7C61AA"/>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B6BEE"/>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84937"/>
    <w:multiLevelType w:val="multilevel"/>
    <w:tmpl w:val="169263BC"/>
    <w:styleLink w:val="NTTDATABulletList"/>
    <w:lvl w:ilvl="0">
      <w:start w:val="1"/>
      <w:numFmt w:val="bullet"/>
      <w:pStyle w:val="NTTDATABullet1"/>
      <w:lvlText w:val="●"/>
      <w:lvlJc w:val="left"/>
      <w:pPr>
        <w:tabs>
          <w:tab w:val="num" w:pos="1134"/>
        </w:tabs>
        <w:ind w:left="1134" w:hanging="283"/>
      </w:pPr>
      <w:rPr>
        <w:rFonts w:ascii="Arial" w:hAnsi="Arial" w:hint="default"/>
        <w:b w:val="0"/>
        <w:i w:val="0"/>
        <w:color w:val="000000"/>
        <w:spacing w:val="8"/>
        <w:kern w:val="20"/>
        <w:sz w:val="20"/>
      </w:rPr>
    </w:lvl>
    <w:lvl w:ilvl="1">
      <w:start w:val="1"/>
      <w:numFmt w:val="bullet"/>
      <w:pStyle w:val="NTTDATABullet2"/>
      <w:lvlText w:val="○"/>
      <w:lvlJc w:val="left"/>
      <w:pPr>
        <w:tabs>
          <w:tab w:val="num" w:pos="1418"/>
        </w:tabs>
        <w:ind w:left="1418" w:hanging="284"/>
      </w:pPr>
      <w:rPr>
        <w:rFonts w:ascii="Times New Roman" w:hAnsi="Times New Roman" w:cs="Times New Roman" w:hint="default"/>
        <w:b w:val="0"/>
        <w:i w:val="0"/>
        <w:color w:val="000000"/>
        <w:sz w:val="20"/>
      </w:rPr>
    </w:lvl>
    <w:lvl w:ilvl="2">
      <w:start w:val="1"/>
      <w:numFmt w:val="bullet"/>
      <w:pStyle w:val="NTTDATABullet3"/>
      <w:lvlText w:val="-"/>
      <w:lvlJc w:val="left"/>
      <w:pPr>
        <w:tabs>
          <w:tab w:val="num" w:pos="1701"/>
        </w:tabs>
        <w:ind w:left="1701" w:hanging="283"/>
      </w:pPr>
      <w:rPr>
        <w:rFonts w:ascii="Times New Roman" w:hAnsi="Times New Roman" w:cs="Times New Roman" w:hint="default"/>
        <w:b/>
        <w:i w:val="0"/>
        <w:color w:val="000000"/>
        <w:sz w:val="20"/>
      </w:rPr>
    </w:lvl>
    <w:lvl w:ilvl="3">
      <w:start w:val="1"/>
      <w:numFmt w:val="decimal"/>
      <w:pStyle w:val="NTTDATABullet4"/>
      <w:lvlText w:val="%4."/>
      <w:lvlJc w:val="left"/>
      <w:pPr>
        <w:tabs>
          <w:tab w:val="num" w:pos="1418"/>
        </w:tabs>
        <w:ind w:left="1418" w:hanging="567"/>
      </w:pPr>
      <w:rPr>
        <w:rFonts w:ascii="Arial" w:hAnsi="Arial" w:hint="default"/>
        <w:b w:val="0"/>
        <w:i w:val="0"/>
        <w:color w:val="000000"/>
        <w:spacing w:val="0"/>
        <w:sz w:val="20"/>
        <w:szCs w:val="20"/>
      </w:rPr>
    </w:lvl>
    <w:lvl w:ilvl="4">
      <w:start w:val="1"/>
      <w:numFmt w:val="decimal"/>
      <w:pStyle w:val="NTTDATABullet5"/>
      <w:lvlText w:val="%4.%5."/>
      <w:lvlJc w:val="left"/>
      <w:pPr>
        <w:tabs>
          <w:tab w:val="num" w:pos="1418"/>
        </w:tabs>
        <w:ind w:left="1418" w:hanging="567"/>
      </w:pPr>
      <w:rPr>
        <w:rFonts w:ascii="Arial" w:hAnsi="Arial" w:hint="default"/>
        <w:b w:val="0"/>
        <w:i w:val="0"/>
        <w:color w:val="000000"/>
        <w:spacing w:val="0"/>
        <w:sz w:val="20"/>
        <w:szCs w:val="20"/>
      </w:rPr>
    </w:lvl>
    <w:lvl w:ilvl="5">
      <w:start w:val="1"/>
      <w:numFmt w:val="decimal"/>
      <w:pStyle w:val="NTTDATABullet6"/>
      <w:lvlText w:val="%4.%5.%6."/>
      <w:lvlJc w:val="left"/>
      <w:pPr>
        <w:tabs>
          <w:tab w:val="num" w:pos="1418"/>
        </w:tabs>
        <w:ind w:left="1418" w:hanging="567"/>
      </w:pPr>
      <w:rPr>
        <w:rFonts w:ascii="Arial" w:hAnsi="Arial" w:hint="default"/>
        <w:b w:val="0"/>
        <w:i w:val="0"/>
        <w:color w:val="000000"/>
        <w:spacing w:val="0"/>
        <w:sz w:val="20"/>
        <w:szCs w:val="20"/>
      </w:rPr>
    </w:lvl>
    <w:lvl w:ilvl="6">
      <w:start w:val="1"/>
      <w:numFmt w:val="decimal"/>
      <w:pStyle w:val="NTTDATABullet7"/>
      <w:lvlText w:val="%7."/>
      <w:lvlJc w:val="left"/>
      <w:pPr>
        <w:tabs>
          <w:tab w:val="num" w:pos="1418"/>
        </w:tabs>
        <w:ind w:left="1418" w:hanging="567"/>
      </w:pPr>
      <w:rPr>
        <w:rFonts w:ascii="Arial" w:hAnsi="Arial" w:hint="default"/>
        <w:b w:val="0"/>
        <w:i w:val="0"/>
        <w:color w:val="000000"/>
        <w:sz w:val="20"/>
        <w:szCs w:val="20"/>
      </w:rPr>
    </w:lvl>
    <w:lvl w:ilvl="7">
      <w:start w:val="1"/>
      <w:numFmt w:val="lowerLetter"/>
      <w:pStyle w:val="NTTDATABullet8"/>
      <w:lvlText w:val="%8."/>
      <w:lvlJc w:val="left"/>
      <w:pPr>
        <w:tabs>
          <w:tab w:val="num" w:pos="1985"/>
        </w:tabs>
        <w:ind w:left="1985" w:hanging="567"/>
      </w:pPr>
      <w:rPr>
        <w:rFonts w:ascii="Arial" w:hAnsi="Arial" w:hint="default"/>
        <w:b w:val="0"/>
        <w:i w:val="0"/>
        <w:color w:val="000000"/>
        <w:sz w:val="20"/>
        <w:szCs w:val="20"/>
      </w:rPr>
    </w:lvl>
    <w:lvl w:ilvl="8">
      <w:start w:val="1"/>
      <w:numFmt w:val="lowerRoman"/>
      <w:pStyle w:val="NTTDATABullet9"/>
      <w:lvlText w:val="%9."/>
      <w:lvlJc w:val="left"/>
      <w:pPr>
        <w:tabs>
          <w:tab w:val="num" w:pos="2552"/>
        </w:tabs>
        <w:ind w:left="2552" w:hanging="567"/>
      </w:pPr>
      <w:rPr>
        <w:rFonts w:ascii="Arial" w:hAnsi="Arial" w:hint="default"/>
        <w:b w:val="0"/>
        <w:i w:val="0"/>
        <w:color w:val="000000"/>
        <w:sz w:val="20"/>
        <w:szCs w:val="20"/>
      </w:rPr>
    </w:lvl>
  </w:abstractNum>
  <w:abstractNum w:abstractNumId="11" w15:restartNumberingAfterBreak="0">
    <w:nsid w:val="0AD12B3D"/>
    <w:multiLevelType w:val="multilevel"/>
    <w:tmpl w:val="A32C6D2A"/>
    <w:lvl w:ilvl="0">
      <w:start w:val="1"/>
      <w:numFmt w:val="bullet"/>
      <w:lvlText w:val="●"/>
      <w:lvlJc w:val="left"/>
      <w:pPr>
        <w:ind w:left="284" w:hanging="284"/>
      </w:pPr>
      <w:rPr>
        <w:rFonts w:ascii="Arial Bold" w:hAnsi="Arial Bold" w:hint="default"/>
        <w:b/>
        <w:i w:val="0"/>
        <w:color w:val="0072BC"/>
        <w:sz w:val="18"/>
      </w:rPr>
    </w:lvl>
    <w:lvl w:ilvl="1">
      <w:start w:val="1"/>
      <w:numFmt w:val="bullet"/>
      <w:lvlText w:val="●"/>
      <w:lvlJc w:val="left"/>
      <w:pPr>
        <w:ind w:left="284" w:hanging="284"/>
      </w:pPr>
      <w:rPr>
        <w:rFonts w:ascii="Arial" w:hAnsi="Arial" w:hint="default"/>
        <w:color w:val="000000"/>
      </w:rPr>
    </w:lvl>
    <w:lvl w:ilvl="2">
      <w:start w:val="1"/>
      <w:numFmt w:val="bullet"/>
      <w:lvlText w:val="●"/>
      <w:lvlJc w:val="left"/>
      <w:pPr>
        <w:ind w:left="284" w:hanging="284"/>
      </w:pPr>
      <w:rPr>
        <w:rFonts w:ascii="Arial" w:hAnsi="Arial" w:hint="default"/>
        <w:color w:val="E42600"/>
      </w:rPr>
    </w:lvl>
    <w:lvl w:ilvl="3">
      <w:start w:val="1"/>
      <w:numFmt w:val="bullet"/>
      <w:pStyle w:val="NTTDATATableBoldBullet"/>
      <w:lvlText w:val="●"/>
      <w:lvlJc w:val="left"/>
      <w:pPr>
        <w:ind w:left="284" w:hanging="284"/>
      </w:pPr>
      <w:rPr>
        <w:rFonts w:ascii="Arial" w:hAnsi="Arial" w:hint="default"/>
        <w:color w:val="FFFFFF" w:themeColor="text1"/>
      </w:rPr>
    </w:lvl>
    <w:lvl w:ilvl="4">
      <w:start w:val="1"/>
      <w:numFmt w:val="bullet"/>
      <w:lvlText w:val="●"/>
      <w:lvlJc w:val="left"/>
      <w:pPr>
        <w:ind w:left="284" w:hanging="284"/>
      </w:pPr>
      <w:rPr>
        <w:rFonts w:ascii="Arial" w:hAnsi="Arial" w:hint="default"/>
        <w:color w:val="000000"/>
      </w:rPr>
    </w:lvl>
    <w:lvl w:ilvl="5">
      <w:start w:val="1"/>
      <w:numFmt w:val="bullet"/>
      <w:lvlText w:val="●"/>
      <w:lvlJc w:val="left"/>
      <w:pPr>
        <w:ind w:left="284" w:hanging="284"/>
      </w:pPr>
      <w:rPr>
        <w:rFonts w:ascii="Arial" w:hAnsi="Arial" w:hint="default"/>
        <w:color w:val="000000"/>
      </w:rPr>
    </w:lvl>
    <w:lvl w:ilvl="6">
      <w:start w:val="1"/>
      <w:numFmt w:val="bullet"/>
      <w:lvlText w:val="●"/>
      <w:lvlJc w:val="left"/>
      <w:pPr>
        <w:ind w:left="284" w:hanging="284"/>
      </w:pPr>
      <w:rPr>
        <w:rFonts w:ascii="Arial" w:hAnsi="Arial" w:hint="default"/>
        <w:color w:val="000000"/>
      </w:rPr>
    </w:lvl>
    <w:lvl w:ilvl="7">
      <w:start w:val="1"/>
      <w:numFmt w:val="bullet"/>
      <w:lvlText w:val="●"/>
      <w:lvlJc w:val="left"/>
      <w:pPr>
        <w:ind w:left="284" w:hanging="284"/>
      </w:pPr>
      <w:rPr>
        <w:rFonts w:ascii="Arial" w:hAnsi="Arial" w:hint="default"/>
        <w:color w:val="000000"/>
      </w:rPr>
    </w:lvl>
    <w:lvl w:ilvl="8">
      <w:start w:val="1"/>
      <w:numFmt w:val="bullet"/>
      <w:lvlText w:val="●"/>
      <w:lvlJc w:val="left"/>
      <w:pPr>
        <w:ind w:left="284" w:hanging="284"/>
      </w:pPr>
      <w:rPr>
        <w:rFonts w:ascii="Arial" w:hAnsi="Arial" w:hint="default"/>
        <w:color w:val="000000"/>
      </w:rPr>
    </w:lvl>
  </w:abstractNum>
  <w:abstractNum w:abstractNumId="12" w15:restartNumberingAfterBreak="0">
    <w:nsid w:val="0B31132E"/>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E6EC6"/>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E4AA9"/>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3050B"/>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60329"/>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65A06"/>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E7765"/>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964935"/>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000ABD"/>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331AE"/>
    <w:multiLevelType w:val="hybridMultilevel"/>
    <w:tmpl w:val="76DE99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70B429E"/>
    <w:multiLevelType w:val="multilevel"/>
    <w:tmpl w:val="F664EC86"/>
    <w:styleLink w:val="NTTDATAAppendixList"/>
    <w:lvl w:ilvl="0">
      <w:start w:val="1"/>
      <w:numFmt w:val="upperLetter"/>
      <w:lvlText w:val="Appendix %1"/>
      <w:lvlJc w:val="left"/>
      <w:pPr>
        <w:ind w:left="360" w:hanging="360"/>
      </w:pPr>
      <w:rPr>
        <w:rFonts w:ascii="Georgia" w:hAnsi="Georgia" w:cs="Arial" w:hint="default"/>
        <w:color w:val="00DFED" w:themeColor="accent2"/>
        <w:kern w:val="20"/>
      </w:rPr>
    </w:lvl>
    <w:lvl w:ilvl="1">
      <w:start w:val="1"/>
      <w:numFmt w:val="decimal"/>
      <w:lvlText w:val="Appendix %1.%2"/>
      <w:lvlJc w:val="left"/>
      <w:pPr>
        <w:ind w:left="0" w:firstLine="0"/>
      </w:pPr>
      <w:rPr>
        <w:rFonts w:ascii="Arial" w:hAnsi="Arial" w:hint="default"/>
        <w:color w:val="FFFFFF" w:themeColor="text1"/>
      </w:rPr>
    </w:lvl>
    <w:lvl w:ilvl="2">
      <w:start w:val="1"/>
      <w:numFmt w:val="decimal"/>
      <w:lvlText w:val="Appendix %1.%2.%3"/>
      <w:lvlJc w:val="left"/>
      <w:pPr>
        <w:ind w:left="0" w:firstLine="0"/>
      </w:pPr>
      <w:rPr>
        <w:rFonts w:ascii="Arial" w:hAnsi="Arial" w:hint="default"/>
        <w:color w:val="0000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7AA0992"/>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46889"/>
    <w:multiLevelType w:val="multilevel"/>
    <w:tmpl w:val="0608A8EE"/>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3E4417"/>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AE7715"/>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DC3617"/>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DE00B5"/>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0433EF"/>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0C59F8"/>
    <w:multiLevelType w:val="multilevel"/>
    <w:tmpl w:val="771046AA"/>
    <w:lvl w:ilvl="0">
      <w:numFmt w:val="decimal"/>
      <w:pStyle w:val="NTTDATATableBullet1"/>
      <w:lvlText w:val=""/>
      <w:lvlJc w:val="left"/>
    </w:lvl>
    <w:lvl w:ilvl="1">
      <w:numFmt w:val="decimal"/>
      <w:lvlText w:val=""/>
      <w:lvlJc w:val="left"/>
    </w:lvl>
    <w:lvl w:ilvl="2">
      <w:numFmt w:val="decimal"/>
      <w:lvlText w:val=""/>
      <w:lvlJc w:val="left"/>
    </w:lvl>
    <w:lvl w:ilvl="3">
      <w:numFmt w:val="decimal"/>
      <w:pStyle w:val="NTTDATATableBullet4"/>
      <w:lvlText w:val=""/>
      <w:lvlJc w:val="left"/>
    </w:lvl>
    <w:lvl w:ilvl="4">
      <w:numFmt w:val="decimal"/>
      <w:pStyle w:val="NTTDATATableBullet5"/>
      <w:lvlText w:val=""/>
      <w:lvlJc w:val="left"/>
    </w:lvl>
    <w:lvl w:ilvl="5">
      <w:numFmt w:val="decimal"/>
      <w:pStyle w:val="NTTDATATableBullet6"/>
      <w:lvlText w:val=""/>
      <w:lvlJc w:val="left"/>
    </w:lvl>
    <w:lvl w:ilvl="6">
      <w:numFmt w:val="decimal"/>
      <w:pStyle w:val="NTTDATATableBullet7"/>
      <w:lvlText w:val=""/>
      <w:lvlJc w:val="left"/>
    </w:lvl>
    <w:lvl w:ilvl="7">
      <w:numFmt w:val="decimal"/>
      <w:lvlText w:val=""/>
      <w:lvlJc w:val="left"/>
    </w:lvl>
    <w:lvl w:ilvl="8">
      <w:numFmt w:val="decimal"/>
      <w:lvlText w:val=""/>
      <w:lvlJc w:val="left"/>
    </w:lvl>
  </w:abstractNum>
  <w:abstractNum w:abstractNumId="31" w15:restartNumberingAfterBreak="0">
    <w:nsid w:val="217253A5"/>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83DAD"/>
    <w:multiLevelType w:val="hybridMultilevel"/>
    <w:tmpl w:val="D0CCD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60550CB"/>
    <w:multiLevelType w:val="multilevel"/>
    <w:tmpl w:val="50FEB1C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ED022C"/>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7D2AE3"/>
    <w:multiLevelType w:val="multilevel"/>
    <w:tmpl w:val="39107888"/>
    <w:styleLink w:val="NTTBlueBulletList"/>
    <w:lvl w:ilvl="0">
      <w:start w:val="1"/>
      <w:numFmt w:val="bullet"/>
      <w:lvlText w:val="●"/>
      <w:lvlJc w:val="left"/>
      <w:pPr>
        <w:tabs>
          <w:tab w:val="num" w:pos="1134"/>
        </w:tabs>
        <w:ind w:left="1134" w:hanging="283"/>
      </w:pPr>
      <w:rPr>
        <w:rFonts w:ascii="Arial" w:hAnsi="Arial" w:hint="default"/>
        <w:b w:val="0"/>
        <w:i w:val="0"/>
        <w:color w:val="0072BC"/>
        <w:spacing w:val="8"/>
        <w:kern w:val="20"/>
        <w:sz w:val="20"/>
      </w:rPr>
    </w:lvl>
    <w:lvl w:ilvl="1">
      <w:start w:val="1"/>
      <w:numFmt w:val="bullet"/>
      <w:lvlText w:val="○"/>
      <w:lvlJc w:val="left"/>
      <w:pPr>
        <w:tabs>
          <w:tab w:val="num" w:pos="1418"/>
        </w:tabs>
        <w:ind w:left="1418" w:hanging="284"/>
      </w:pPr>
      <w:rPr>
        <w:rFonts w:ascii="Arial" w:hAnsi="Arial" w:cs="Times New Roman" w:hint="default"/>
        <w:b w:val="0"/>
        <w:i w:val="0"/>
        <w:color w:val="0072BC"/>
        <w:sz w:val="20"/>
      </w:rPr>
    </w:lvl>
    <w:lvl w:ilvl="2">
      <w:start w:val="1"/>
      <w:numFmt w:val="bullet"/>
      <w:lvlText w:val="-"/>
      <w:lvlJc w:val="left"/>
      <w:pPr>
        <w:tabs>
          <w:tab w:val="num" w:pos="1701"/>
        </w:tabs>
        <w:ind w:left="1701" w:hanging="283"/>
      </w:pPr>
      <w:rPr>
        <w:rFonts w:ascii="Arial Bold" w:hAnsi="Arial Bold" w:cs="Times New Roman" w:hint="default"/>
        <w:b/>
        <w:i w:val="0"/>
        <w:color w:val="0072BC"/>
        <w:sz w:val="20"/>
      </w:rPr>
    </w:lvl>
    <w:lvl w:ilvl="3">
      <w:start w:val="1"/>
      <w:numFmt w:val="decimal"/>
      <w:lvlText w:val="%4."/>
      <w:lvlJc w:val="left"/>
      <w:pPr>
        <w:tabs>
          <w:tab w:val="num" w:pos="1418"/>
        </w:tabs>
        <w:ind w:left="1418" w:hanging="567"/>
      </w:pPr>
      <w:rPr>
        <w:rFonts w:ascii="Arial" w:hAnsi="Arial" w:hint="default"/>
        <w:b w:val="0"/>
        <w:i w:val="0"/>
        <w:color w:val="0072BC"/>
        <w:spacing w:val="0"/>
        <w:sz w:val="20"/>
        <w:szCs w:val="20"/>
      </w:rPr>
    </w:lvl>
    <w:lvl w:ilvl="4">
      <w:start w:val="1"/>
      <w:numFmt w:val="decimal"/>
      <w:lvlText w:val="%4.%5."/>
      <w:lvlJc w:val="left"/>
      <w:pPr>
        <w:tabs>
          <w:tab w:val="num" w:pos="1418"/>
        </w:tabs>
        <w:ind w:left="1418" w:hanging="567"/>
      </w:pPr>
      <w:rPr>
        <w:rFonts w:ascii="Arial" w:hAnsi="Arial" w:hint="default"/>
        <w:b w:val="0"/>
        <w:i w:val="0"/>
        <w:color w:val="0072BC"/>
        <w:spacing w:val="0"/>
        <w:sz w:val="20"/>
        <w:szCs w:val="20"/>
      </w:rPr>
    </w:lvl>
    <w:lvl w:ilvl="5">
      <w:start w:val="1"/>
      <w:numFmt w:val="decimal"/>
      <w:lvlText w:val="%4.%5.%6."/>
      <w:lvlJc w:val="left"/>
      <w:pPr>
        <w:tabs>
          <w:tab w:val="num" w:pos="1418"/>
        </w:tabs>
        <w:ind w:left="1418" w:hanging="567"/>
      </w:pPr>
      <w:rPr>
        <w:rFonts w:ascii="Arial" w:hAnsi="Arial" w:hint="default"/>
        <w:b w:val="0"/>
        <w:i w:val="0"/>
        <w:color w:val="0072BC"/>
        <w:spacing w:val="0"/>
        <w:sz w:val="20"/>
        <w:szCs w:val="20"/>
      </w:rPr>
    </w:lvl>
    <w:lvl w:ilvl="6">
      <w:start w:val="1"/>
      <w:numFmt w:val="decimal"/>
      <w:lvlText w:val="%7."/>
      <w:lvlJc w:val="left"/>
      <w:pPr>
        <w:tabs>
          <w:tab w:val="num" w:pos="1418"/>
        </w:tabs>
        <w:ind w:left="1418" w:hanging="567"/>
      </w:pPr>
      <w:rPr>
        <w:rFonts w:ascii="Arial" w:hAnsi="Arial" w:hint="default"/>
        <w:b w:val="0"/>
        <w:i w:val="0"/>
        <w:color w:val="0072BC"/>
        <w:sz w:val="20"/>
        <w:szCs w:val="20"/>
      </w:rPr>
    </w:lvl>
    <w:lvl w:ilvl="7">
      <w:start w:val="1"/>
      <w:numFmt w:val="lowerLetter"/>
      <w:lvlText w:val="%8."/>
      <w:lvlJc w:val="left"/>
      <w:pPr>
        <w:tabs>
          <w:tab w:val="num" w:pos="1985"/>
        </w:tabs>
        <w:ind w:left="1985" w:hanging="567"/>
      </w:pPr>
      <w:rPr>
        <w:rFonts w:ascii="Arial" w:hAnsi="Arial" w:hint="default"/>
        <w:b w:val="0"/>
        <w:i w:val="0"/>
        <w:color w:val="0072BC"/>
        <w:sz w:val="20"/>
        <w:szCs w:val="20"/>
      </w:rPr>
    </w:lvl>
    <w:lvl w:ilvl="8">
      <w:start w:val="1"/>
      <w:numFmt w:val="lowerRoman"/>
      <w:lvlText w:val="%9."/>
      <w:lvlJc w:val="left"/>
      <w:pPr>
        <w:tabs>
          <w:tab w:val="num" w:pos="2552"/>
        </w:tabs>
        <w:ind w:left="2552" w:hanging="567"/>
      </w:pPr>
      <w:rPr>
        <w:rFonts w:ascii="Arial" w:hAnsi="Arial" w:hint="default"/>
        <w:b w:val="0"/>
        <w:i w:val="0"/>
        <w:color w:val="0072BC"/>
        <w:sz w:val="20"/>
        <w:szCs w:val="20"/>
      </w:rPr>
    </w:lvl>
  </w:abstractNum>
  <w:abstractNum w:abstractNumId="36" w15:restartNumberingAfterBreak="0">
    <w:nsid w:val="27EB0B73"/>
    <w:multiLevelType w:val="multilevel"/>
    <w:tmpl w:val="B4F46E06"/>
    <w:lvl w:ilvl="0">
      <w:start w:val="3"/>
      <w:numFmt w:val="decimal"/>
      <w:lvlText w:val="%1"/>
      <w:lvlJc w:val="left"/>
      <w:pPr>
        <w:ind w:left="360" w:hanging="360"/>
      </w:pPr>
      <w:rPr>
        <w:rFonts w:hint="default"/>
        <w:b w:val="0"/>
        <w:bCs w:val="0"/>
        <w:color w:val="0072BC" w:themeColor="background2"/>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A85795F"/>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F81407"/>
    <w:multiLevelType w:val="multilevel"/>
    <w:tmpl w:val="6456C98A"/>
    <w:styleLink w:val="NTTDATAFlushBlueBulletList"/>
    <w:lvl w:ilvl="0">
      <w:start w:val="1"/>
      <w:numFmt w:val="bullet"/>
      <w:lvlText w:val="●"/>
      <w:lvlJc w:val="left"/>
      <w:pPr>
        <w:ind w:left="284" w:hanging="284"/>
      </w:pPr>
      <w:rPr>
        <w:rFonts w:ascii="Arial" w:hAnsi="Arial" w:hint="default"/>
        <w:b w:val="0"/>
        <w:i w:val="0"/>
        <w:color w:val="0072BC"/>
        <w:kern w:val="20"/>
        <w:sz w:val="20"/>
      </w:rPr>
    </w:lvl>
    <w:lvl w:ilvl="1">
      <w:start w:val="1"/>
      <w:numFmt w:val="bullet"/>
      <w:lvlText w:val="○"/>
      <w:lvlJc w:val="left"/>
      <w:pPr>
        <w:ind w:left="567" w:hanging="283"/>
      </w:pPr>
      <w:rPr>
        <w:rFonts w:ascii="Times New Roman" w:hAnsi="Times New Roman" w:cs="Times New Roman" w:hint="default"/>
        <w:color w:val="0072BC"/>
      </w:rPr>
    </w:lvl>
    <w:lvl w:ilvl="2">
      <w:start w:val="1"/>
      <w:numFmt w:val="bullet"/>
      <w:lvlText w:val="-"/>
      <w:lvlJc w:val="left"/>
      <w:pPr>
        <w:ind w:left="851" w:hanging="284"/>
      </w:pPr>
      <w:rPr>
        <w:rFonts w:ascii="Times New Roman" w:hAnsi="Times New Roman" w:cs="Times New Roman" w:hint="default"/>
        <w:color w:val="0072BC"/>
      </w:rPr>
    </w:lvl>
    <w:lvl w:ilvl="3">
      <w:start w:val="1"/>
      <w:numFmt w:val="decimal"/>
      <w:isLgl/>
      <w:lvlText w:val="%4."/>
      <w:lvlJc w:val="left"/>
      <w:pPr>
        <w:ind w:left="567" w:hanging="567"/>
      </w:pPr>
      <w:rPr>
        <w:rFonts w:hint="default"/>
        <w:color w:val="0072BC"/>
      </w:rPr>
    </w:lvl>
    <w:lvl w:ilvl="4">
      <w:start w:val="1"/>
      <w:numFmt w:val="decimal"/>
      <w:isLgl/>
      <w:lvlText w:val="%4.%5"/>
      <w:lvlJc w:val="left"/>
      <w:pPr>
        <w:ind w:left="567" w:hanging="567"/>
      </w:pPr>
      <w:rPr>
        <w:rFonts w:hint="default"/>
        <w:color w:val="0072BC"/>
      </w:rPr>
    </w:lvl>
    <w:lvl w:ilvl="5">
      <w:start w:val="1"/>
      <w:numFmt w:val="decimal"/>
      <w:isLgl/>
      <w:lvlText w:val="%4.%5.%6"/>
      <w:lvlJc w:val="left"/>
      <w:pPr>
        <w:ind w:left="567" w:hanging="567"/>
      </w:pPr>
      <w:rPr>
        <w:rFonts w:hint="default"/>
        <w:color w:val="0072BC"/>
      </w:rPr>
    </w:lvl>
    <w:lvl w:ilvl="6">
      <w:start w:val="1"/>
      <w:numFmt w:val="decimal"/>
      <w:lvlRestart w:val="0"/>
      <w:lvlText w:val="%7."/>
      <w:lvlJc w:val="left"/>
      <w:pPr>
        <w:ind w:left="567" w:hanging="567"/>
      </w:pPr>
      <w:rPr>
        <w:rFonts w:ascii="Arial" w:hAnsi="Arial" w:hint="default"/>
        <w:b w:val="0"/>
        <w:i w:val="0"/>
        <w:color w:val="0072BC"/>
        <w:sz w:val="20"/>
      </w:rPr>
    </w:lvl>
    <w:lvl w:ilvl="7">
      <w:start w:val="1"/>
      <w:numFmt w:val="lowerLetter"/>
      <w:lvlText w:val="%8."/>
      <w:lvlJc w:val="left"/>
      <w:pPr>
        <w:ind w:left="1134" w:hanging="567"/>
      </w:pPr>
      <w:rPr>
        <w:rFonts w:ascii="Arial" w:hAnsi="Arial" w:hint="default"/>
        <w:b w:val="0"/>
        <w:i w:val="0"/>
        <w:color w:val="0072BC"/>
        <w:sz w:val="20"/>
      </w:rPr>
    </w:lvl>
    <w:lvl w:ilvl="8">
      <w:start w:val="1"/>
      <w:numFmt w:val="lowerRoman"/>
      <w:lvlText w:val="%9."/>
      <w:lvlJc w:val="left"/>
      <w:pPr>
        <w:ind w:left="1701" w:hanging="567"/>
      </w:pPr>
      <w:rPr>
        <w:rFonts w:ascii="Arial" w:hAnsi="Arial" w:hint="default"/>
        <w:b w:val="0"/>
        <w:i w:val="0"/>
        <w:color w:val="0072BC"/>
        <w:sz w:val="20"/>
      </w:rPr>
    </w:lvl>
  </w:abstractNum>
  <w:abstractNum w:abstractNumId="39" w15:restartNumberingAfterBreak="0">
    <w:nsid w:val="2B587E8C"/>
    <w:multiLevelType w:val="multilevel"/>
    <w:tmpl w:val="99B4F69E"/>
    <w:lvl w:ilvl="0">
      <w:start w:val="1"/>
      <w:numFmt w:val="decimal"/>
      <w:pStyle w:val="Heading1"/>
      <w:lvlText w:val="%1."/>
      <w:lvlJc w:val="left"/>
      <w:pPr>
        <w:tabs>
          <w:tab w:val="num" w:pos="850"/>
        </w:tabs>
        <w:ind w:left="850" w:hanging="850"/>
      </w:pPr>
      <w:rPr>
        <w:rFonts w:hint="default"/>
      </w:rPr>
    </w:lvl>
    <w:lvl w:ilvl="1">
      <w:start w:val="1"/>
      <w:numFmt w:val="decimal"/>
      <w:pStyle w:val="Heading2"/>
      <w:lvlText w:val="%1.%2."/>
      <w:lvlJc w:val="left"/>
      <w:pPr>
        <w:tabs>
          <w:tab w:val="num" w:pos="1275"/>
        </w:tabs>
        <w:ind w:left="1275" w:hanging="850"/>
      </w:pPr>
      <w:rPr>
        <w:rFonts w:hint="default"/>
      </w:rPr>
    </w:lvl>
    <w:lvl w:ilvl="2">
      <w:start w:val="1"/>
      <w:numFmt w:val="decimal"/>
      <w:pStyle w:val="Heading3"/>
      <w:lvlText w:val="%1.%2.%3"/>
      <w:lvlJc w:val="left"/>
      <w:pPr>
        <w:tabs>
          <w:tab w:val="num" w:pos="850"/>
        </w:tabs>
        <w:ind w:left="850" w:hanging="850"/>
      </w:pPr>
      <w:rPr>
        <w:rFonts w:hint="default"/>
      </w:rPr>
    </w:lvl>
    <w:lvl w:ilvl="3">
      <w:start w:val="1"/>
      <w:numFmt w:val="decimal"/>
      <w:pStyle w:val="Heading4"/>
      <w:lvlText w:val="%1.%2.%3.%4"/>
      <w:lvlJc w:val="left"/>
      <w:pPr>
        <w:tabs>
          <w:tab w:val="num" w:pos="850"/>
        </w:tabs>
        <w:ind w:left="850" w:hanging="850"/>
      </w:pPr>
      <w:rPr>
        <w:rFonts w:ascii="Arial" w:hAnsi="Arial" w:cs="Arial" w:hint="default"/>
        <w:b w:val="0"/>
        <w:bCs/>
        <w:i w:val="0"/>
        <w:caps w:val="0"/>
        <w:strike w:val="0"/>
        <w:dstrike w:val="0"/>
        <w:vanish w:val="0"/>
        <w:color w:val="2E404D" w:themeColor="text2"/>
        <w:spacing w:val="10"/>
        <w:sz w:val="20"/>
        <w:u w:val="none"/>
        <w:effect w:val="none"/>
        <w:vertAlign w:val="baseline"/>
      </w:rPr>
    </w:lvl>
    <w:lvl w:ilvl="4">
      <w:start w:val="1"/>
      <w:numFmt w:val="decimal"/>
      <w:pStyle w:val="Heading5"/>
      <w:lvlText w:val="%1.%2.%3.%4.%5"/>
      <w:lvlJc w:val="left"/>
      <w:pPr>
        <w:tabs>
          <w:tab w:val="num" w:pos="850"/>
        </w:tabs>
        <w:ind w:left="850" w:hanging="850"/>
      </w:pPr>
      <w:rPr>
        <w:rFonts w:ascii="Arial" w:hAnsi="Arial" w:cs="Arial" w:hint="default"/>
        <w:b w:val="0"/>
        <w:i w:val="0"/>
        <w:caps w:val="0"/>
        <w:strike w:val="0"/>
        <w:dstrike w:val="0"/>
        <w:vanish w:val="0"/>
        <w:color w:val="2E404D" w:themeColor="text2"/>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40" w15:restartNumberingAfterBreak="0">
    <w:nsid w:val="2BB02EF5"/>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73770D"/>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A321D2"/>
    <w:multiLevelType w:val="hybridMultilevel"/>
    <w:tmpl w:val="617EA372"/>
    <w:lvl w:ilvl="0" w:tplc="EB164E74">
      <w:start w:val="1"/>
      <w:numFmt w:val="decimal"/>
      <w:lvlText w:val="%1."/>
      <w:lvlJc w:val="left"/>
      <w:pPr>
        <w:ind w:left="460" w:hanging="260"/>
      </w:pPr>
    </w:lvl>
    <w:lvl w:ilvl="1" w:tplc="2DF21BB6">
      <w:numFmt w:val="decimal"/>
      <w:lvlText w:val=""/>
      <w:lvlJc w:val="left"/>
    </w:lvl>
    <w:lvl w:ilvl="2" w:tplc="94FE52A0">
      <w:numFmt w:val="decimal"/>
      <w:lvlText w:val=""/>
      <w:lvlJc w:val="left"/>
    </w:lvl>
    <w:lvl w:ilvl="3" w:tplc="4052189A">
      <w:numFmt w:val="decimal"/>
      <w:lvlText w:val=""/>
      <w:lvlJc w:val="left"/>
    </w:lvl>
    <w:lvl w:ilvl="4" w:tplc="14403028">
      <w:numFmt w:val="decimal"/>
      <w:lvlText w:val=""/>
      <w:lvlJc w:val="left"/>
    </w:lvl>
    <w:lvl w:ilvl="5" w:tplc="BF8A967A">
      <w:numFmt w:val="decimal"/>
      <w:lvlText w:val=""/>
      <w:lvlJc w:val="left"/>
    </w:lvl>
    <w:lvl w:ilvl="6" w:tplc="5C7ED4E4">
      <w:numFmt w:val="decimal"/>
      <w:lvlText w:val=""/>
      <w:lvlJc w:val="left"/>
    </w:lvl>
    <w:lvl w:ilvl="7" w:tplc="E954CCC0">
      <w:numFmt w:val="decimal"/>
      <w:lvlText w:val=""/>
      <w:lvlJc w:val="left"/>
    </w:lvl>
    <w:lvl w:ilvl="8" w:tplc="80F4B13A">
      <w:numFmt w:val="decimal"/>
      <w:lvlText w:val=""/>
      <w:lvlJc w:val="left"/>
    </w:lvl>
  </w:abstractNum>
  <w:abstractNum w:abstractNumId="43" w15:restartNumberingAfterBreak="0">
    <w:nsid w:val="30F84F14"/>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2165AD"/>
    <w:multiLevelType w:val="multilevel"/>
    <w:tmpl w:val="DF08BF3C"/>
    <w:lvl w:ilvl="0">
      <w:start w:val="1"/>
      <w:numFmt w:val="upperLetter"/>
      <w:pStyle w:val="AppendixHeading1"/>
      <w:lvlText w:val="Appendix %1"/>
      <w:lvlJc w:val="left"/>
      <w:pPr>
        <w:ind w:left="360" w:hanging="360"/>
      </w:pPr>
      <w:rPr>
        <w:rFonts w:ascii="Georgia" w:hAnsi="Georgia" w:cs="Arial" w:hint="default"/>
        <w:color w:val="00DFED" w:themeColor="accent2"/>
        <w:kern w:val="20"/>
      </w:rPr>
    </w:lvl>
    <w:lvl w:ilvl="1">
      <w:start w:val="1"/>
      <w:numFmt w:val="decimal"/>
      <w:pStyle w:val="AppendixHeading2"/>
      <w:lvlText w:val="Appendix %1.%2"/>
      <w:lvlJc w:val="left"/>
      <w:pPr>
        <w:ind w:left="0" w:firstLine="0"/>
      </w:pPr>
      <w:rPr>
        <w:rFonts w:ascii="Arial" w:hAnsi="Arial" w:hint="default"/>
        <w:color w:val="FFFFFF" w:themeColor="text1"/>
      </w:rPr>
    </w:lvl>
    <w:lvl w:ilvl="2">
      <w:start w:val="1"/>
      <w:numFmt w:val="decimal"/>
      <w:pStyle w:val="AppendixHeading3"/>
      <w:lvlText w:val="Appendix %1.%2.%3"/>
      <w:lvlJc w:val="left"/>
      <w:pPr>
        <w:ind w:left="0" w:firstLine="0"/>
      </w:pPr>
      <w:rPr>
        <w:rFonts w:ascii="Arial" w:hAnsi="Arial" w:hint="default"/>
        <w:color w:val="0000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32E11E9C"/>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D06EE3"/>
    <w:multiLevelType w:val="multilevel"/>
    <w:tmpl w:val="645444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073819"/>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E765D4"/>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ED1F0C"/>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F226B3"/>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2077EA"/>
    <w:multiLevelType w:val="multilevel"/>
    <w:tmpl w:val="112628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6B6B28"/>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4169F7"/>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4F044E"/>
    <w:multiLevelType w:val="multilevel"/>
    <w:tmpl w:val="9A18053A"/>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445B28EB"/>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6803F0"/>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C32657"/>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0E3F69"/>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184FB6"/>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5E379B"/>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98001C"/>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B13771"/>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CB67F4"/>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325DB3"/>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295B2F"/>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D647E3"/>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194436"/>
    <w:multiLevelType w:val="multilevel"/>
    <w:tmpl w:val="E9EA4532"/>
    <w:lvl w:ilvl="0">
      <w:start w:val="1"/>
      <w:numFmt w:val="decimal"/>
      <w:pStyle w:val="Legalnumbering1"/>
      <w:lvlText w:val="%1."/>
      <w:lvlJc w:val="left"/>
      <w:pPr>
        <w:ind w:left="851" w:hanging="851"/>
      </w:pPr>
      <w:rPr>
        <w:rFonts w:hint="default"/>
      </w:rPr>
    </w:lvl>
    <w:lvl w:ilvl="1">
      <w:start w:val="1"/>
      <w:numFmt w:val="decimal"/>
      <w:pStyle w:val="Legalnumbering2"/>
      <w:lvlText w:val="%1.%2."/>
      <w:lvlJc w:val="left"/>
      <w:pPr>
        <w:ind w:left="851" w:hanging="851"/>
      </w:pPr>
      <w:rPr>
        <w:rFonts w:hint="default"/>
      </w:rPr>
    </w:lvl>
    <w:lvl w:ilvl="2">
      <w:start w:val="1"/>
      <w:numFmt w:val="decimal"/>
      <w:pStyle w:val="Legalnumbering3"/>
      <w:lvlText w:val="%1.%2.%3."/>
      <w:lvlJc w:val="left"/>
      <w:pPr>
        <w:ind w:left="851" w:hanging="851"/>
      </w:pPr>
      <w:rPr>
        <w:rFonts w:hint="default"/>
      </w:rPr>
    </w:lvl>
    <w:lvl w:ilvl="3">
      <w:start w:val="1"/>
      <w:numFmt w:val="decimal"/>
      <w:pStyle w:val="Legalnumbering4"/>
      <w:lvlText w:val="%1.%2.%3.%4"/>
      <w:lvlJc w:val="left"/>
      <w:pPr>
        <w:ind w:left="851" w:hanging="851"/>
      </w:pPr>
      <w:rPr>
        <w:rFonts w:hint="default"/>
      </w:rPr>
    </w:lvl>
    <w:lvl w:ilvl="4">
      <w:start w:val="1"/>
      <w:numFmt w:val="decimal"/>
      <w:pStyle w:val="Legalnumbering5"/>
      <w:lvlText w:val="%1.%2.%3.%4.%5"/>
      <w:lvlJc w:val="left"/>
      <w:pPr>
        <w:ind w:left="851" w:hanging="851"/>
      </w:pPr>
      <w:rPr>
        <w:rFonts w:hint="default"/>
      </w:rPr>
    </w:lvl>
    <w:lvl w:ilvl="5">
      <w:start w:val="1"/>
      <w:numFmt w:val="decimal"/>
      <w:pStyle w:val="Legalnumbering6"/>
      <w:lvlText w:val="%1.%2.%3.%4.%5.%6"/>
      <w:lvlJc w:val="left"/>
      <w:pPr>
        <w:ind w:left="851" w:hanging="851"/>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8" w15:restartNumberingAfterBreak="0">
    <w:nsid w:val="4F24633D"/>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164D1E"/>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404C03"/>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107363"/>
    <w:multiLevelType w:val="multilevel"/>
    <w:tmpl w:val="1C9288EE"/>
    <w:lvl w:ilvl="0">
      <w:start w:val="1"/>
      <w:numFmt w:val="bullet"/>
      <w:lvlText w:val="●"/>
      <w:lvlJc w:val="left"/>
      <w:pPr>
        <w:tabs>
          <w:tab w:val="num" w:pos="851"/>
        </w:tabs>
        <w:ind w:left="1134" w:hanging="283"/>
      </w:pPr>
      <w:rPr>
        <w:rFonts w:ascii="Arial" w:hAnsi="Arial" w:hint="default"/>
        <w:b w:val="0"/>
        <w:i w:val="0"/>
        <w:color w:val="000000"/>
        <w:spacing w:val="8"/>
        <w:kern w:val="20"/>
        <w:sz w:val="20"/>
      </w:rPr>
    </w:lvl>
    <w:lvl w:ilvl="1">
      <w:start w:val="1"/>
      <w:numFmt w:val="bullet"/>
      <w:lvlText w:val="●"/>
      <w:lvlJc w:val="left"/>
      <w:pPr>
        <w:tabs>
          <w:tab w:val="num" w:pos="851"/>
        </w:tabs>
        <w:ind w:left="1134" w:hanging="283"/>
      </w:pPr>
      <w:rPr>
        <w:rFonts w:ascii="Arial" w:hAnsi="Arial" w:hint="default"/>
        <w:color w:val="0072BC"/>
        <w:sz w:val="18"/>
      </w:rPr>
    </w:lvl>
    <w:lvl w:ilvl="2">
      <w:start w:val="1"/>
      <w:numFmt w:val="bullet"/>
      <w:pStyle w:val="NTTDATABoldBullet"/>
      <w:lvlText w:val="●"/>
      <w:lvlJc w:val="left"/>
      <w:pPr>
        <w:tabs>
          <w:tab w:val="num" w:pos="851"/>
        </w:tabs>
        <w:ind w:left="1134" w:hanging="283"/>
      </w:pPr>
      <w:rPr>
        <w:rFonts w:ascii="Arial" w:hAnsi="Arial" w:hint="default"/>
        <w:color w:val="000000"/>
        <w:sz w:val="20"/>
      </w:rPr>
    </w:lvl>
    <w:lvl w:ilvl="3">
      <w:start w:val="1"/>
      <w:numFmt w:val="bullet"/>
      <w:lvlText w:val="●"/>
      <w:lvlJc w:val="left"/>
      <w:pPr>
        <w:ind w:left="1134" w:hanging="283"/>
      </w:pPr>
      <w:rPr>
        <w:rFonts w:ascii="Arial" w:hAnsi="Arial" w:hint="default"/>
        <w:color w:val="FF0000"/>
        <w:sz w:val="18"/>
      </w:rPr>
    </w:lvl>
    <w:lvl w:ilvl="4">
      <w:start w:val="1"/>
      <w:numFmt w:val="bullet"/>
      <w:lvlText w:val="●"/>
      <w:lvlJc w:val="left"/>
      <w:pPr>
        <w:ind w:left="284" w:hanging="284"/>
      </w:pPr>
      <w:rPr>
        <w:rFonts w:ascii="Arial" w:hAnsi="Arial" w:hint="default"/>
        <w:color w:val="000000"/>
        <w:sz w:val="20"/>
      </w:rPr>
    </w:lvl>
    <w:lvl w:ilvl="5">
      <w:start w:val="1"/>
      <w:numFmt w:val="bullet"/>
      <w:lvlText w:val="●"/>
      <w:lvlJc w:val="left"/>
      <w:pPr>
        <w:ind w:left="284" w:hanging="284"/>
      </w:pPr>
      <w:rPr>
        <w:rFonts w:ascii="Arial" w:hAnsi="Arial" w:hint="default"/>
        <w:color w:val="0072BC"/>
        <w:sz w:val="18"/>
      </w:rPr>
    </w:lvl>
    <w:lvl w:ilvl="6">
      <w:start w:val="1"/>
      <w:numFmt w:val="bullet"/>
      <w:lvlRestart w:val="0"/>
      <w:pStyle w:val="NTTDATAFlushBoldBullet"/>
      <w:lvlText w:val="●"/>
      <w:lvlJc w:val="left"/>
      <w:pPr>
        <w:ind w:left="284" w:hanging="284"/>
      </w:pPr>
      <w:rPr>
        <w:rFonts w:ascii="Arial" w:hAnsi="Arial" w:hint="default"/>
        <w:color w:val="000000"/>
        <w:sz w:val="20"/>
      </w:rPr>
    </w:lvl>
    <w:lvl w:ilvl="7">
      <w:start w:val="1"/>
      <w:numFmt w:val="bullet"/>
      <w:lvlText w:val="●"/>
      <w:lvlJc w:val="left"/>
      <w:pPr>
        <w:ind w:left="284" w:hanging="284"/>
      </w:pPr>
      <w:rPr>
        <w:rFonts w:ascii="Arial" w:hAnsi="Arial" w:hint="default"/>
        <w:color w:val="auto"/>
        <w:sz w:val="20"/>
      </w:rPr>
    </w:lvl>
    <w:lvl w:ilvl="8">
      <w:start w:val="1"/>
      <w:numFmt w:val="bullet"/>
      <w:lvlText w:val="●"/>
      <w:lvlJc w:val="left"/>
      <w:pPr>
        <w:ind w:left="284" w:hanging="284"/>
      </w:pPr>
      <w:rPr>
        <w:rFonts w:ascii="Arial" w:hAnsi="Arial" w:hint="default"/>
        <w:color w:val="auto"/>
        <w:sz w:val="18"/>
      </w:rPr>
    </w:lvl>
  </w:abstractNum>
  <w:abstractNum w:abstractNumId="72" w15:restartNumberingAfterBreak="0">
    <w:nsid w:val="56B63CC3"/>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3B1F87"/>
    <w:multiLevelType w:val="multilevel"/>
    <w:tmpl w:val="57C221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4" w15:restartNumberingAfterBreak="0">
    <w:nsid w:val="58672866"/>
    <w:multiLevelType w:val="multilevel"/>
    <w:tmpl w:val="6D02664C"/>
    <w:lvl w:ilvl="0">
      <w:start w:val="1"/>
      <w:numFmt w:val="bullet"/>
      <w:lvlText w:val="●"/>
      <w:lvlJc w:val="left"/>
      <w:pPr>
        <w:tabs>
          <w:tab w:val="num" w:pos="284"/>
        </w:tabs>
        <w:ind w:left="284" w:hanging="284"/>
      </w:pPr>
      <w:rPr>
        <w:rFonts w:ascii="Arial" w:hAnsi="Arial" w:hint="default"/>
        <w:color w:val="000000"/>
        <w:spacing w:val="8"/>
        <w:kern w:val="18"/>
        <w:sz w:val="18"/>
        <w:szCs w:val="20"/>
      </w:rPr>
    </w:lvl>
    <w:lvl w:ilvl="1">
      <w:start w:val="1"/>
      <w:numFmt w:val="bullet"/>
      <w:pStyle w:val="NTTDATATableBullet2"/>
      <w:lvlText w:val="○"/>
      <w:lvlJc w:val="left"/>
      <w:pPr>
        <w:tabs>
          <w:tab w:val="num" w:pos="567"/>
        </w:tabs>
        <w:ind w:left="567" w:hanging="283"/>
      </w:pPr>
      <w:rPr>
        <w:rFonts w:ascii="Arial" w:hAnsi="Arial" w:cs="Times New Roman" w:hint="default"/>
        <w:b w:val="0"/>
        <w:i w:val="0"/>
        <w:color w:val="000000"/>
        <w:sz w:val="18"/>
      </w:rPr>
    </w:lvl>
    <w:lvl w:ilvl="2">
      <w:start w:val="1"/>
      <w:numFmt w:val="bullet"/>
      <w:pStyle w:val="NTTDATATableBullet3"/>
      <w:lvlText w:val="-"/>
      <w:lvlJc w:val="left"/>
      <w:pPr>
        <w:tabs>
          <w:tab w:val="num" w:pos="851"/>
        </w:tabs>
        <w:ind w:left="851" w:hanging="284"/>
      </w:pPr>
      <w:rPr>
        <w:rFonts w:ascii="Arial" w:hAnsi="Arial" w:cs="Times New Roman" w:hint="default"/>
        <w:b w:val="0"/>
        <w:i w:val="0"/>
        <w:color w:val="000000"/>
        <w:sz w:val="18"/>
      </w:rPr>
    </w:lvl>
    <w:lvl w:ilvl="3">
      <w:start w:val="1"/>
      <w:numFmt w:val="decimal"/>
      <w:lvlText w:val="%4."/>
      <w:lvlJc w:val="left"/>
      <w:pPr>
        <w:tabs>
          <w:tab w:val="num" w:pos="567"/>
        </w:tabs>
        <w:ind w:left="567" w:hanging="567"/>
      </w:pPr>
      <w:rPr>
        <w:rFonts w:ascii="Arial" w:hAnsi="Arial" w:hint="default"/>
        <w:b w:val="0"/>
        <w:i w:val="0"/>
        <w:color w:val="000000"/>
        <w:spacing w:val="-20"/>
        <w:sz w:val="18"/>
        <w:szCs w:val="18"/>
      </w:rPr>
    </w:lvl>
    <w:lvl w:ilvl="4">
      <w:start w:val="1"/>
      <w:numFmt w:val="decimal"/>
      <w:lvlText w:val="%4.%5."/>
      <w:lvlJc w:val="left"/>
      <w:pPr>
        <w:tabs>
          <w:tab w:val="num" w:pos="567"/>
        </w:tabs>
        <w:ind w:left="567" w:hanging="567"/>
      </w:pPr>
      <w:rPr>
        <w:rFonts w:ascii="Arial" w:hAnsi="Arial" w:hint="default"/>
        <w:b w:val="0"/>
        <w:i w:val="0"/>
        <w:color w:val="000000"/>
        <w:spacing w:val="-20"/>
        <w:sz w:val="18"/>
        <w:szCs w:val="18"/>
      </w:rPr>
    </w:lvl>
    <w:lvl w:ilvl="5">
      <w:start w:val="1"/>
      <w:numFmt w:val="decimal"/>
      <w:lvlText w:val="%4.%5.%6."/>
      <w:lvlJc w:val="left"/>
      <w:pPr>
        <w:tabs>
          <w:tab w:val="num" w:pos="567"/>
        </w:tabs>
        <w:ind w:left="567" w:hanging="567"/>
      </w:pPr>
      <w:rPr>
        <w:rFonts w:ascii="Arial" w:hAnsi="Arial" w:hint="default"/>
        <w:b w:val="0"/>
        <w:i w:val="0"/>
        <w:color w:val="000000"/>
        <w:spacing w:val="-20"/>
        <w:sz w:val="18"/>
        <w:szCs w:val="18"/>
      </w:rPr>
    </w:lvl>
    <w:lvl w:ilvl="6">
      <w:start w:val="1"/>
      <w:numFmt w:val="decimal"/>
      <w:lvlText w:val="%7."/>
      <w:lvlJc w:val="left"/>
      <w:pPr>
        <w:tabs>
          <w:tab w:val="num" w:pos="567"/>
        </w:tabs>
        <w:ind w:left="567" w:hanging="567"/>
      </w:pPr>
      <w:rPr>
        <w:rFonts w:ascii="Arial" w:hAnsi="Arial" w:hint="default"/>
        <w:b w:val="0"/>
        <w:i w:val="0"/>
        <w:color w:val="000000"/>
        <w:sz w:val="18"/>
        <w:szCs w:val="18"/>
      </w:rPr>
    </w:lvl>
    <w:lvl w:ilvl="7">
      <w:start w:val="1"/>
      <w:numFmt w:val="lowerLetter"/>
      <w:pStyle w:val="NTTDATATableBullet8"/>
      <w:lvlText w:val="%8."/>
      <w:lvlJc w:val="left"/>
      <w:pPr>
        <w:tabs>
          <w:tab w:val="num" w:pos="1134"/>
        </w:tabs>
        <w:ind w:left="1134" w:hanging="567"/>
      </w:pPr>
      <w:rPr>
        <w:rFonts w:ascii="Arial" w:hAnsi="Arial" w:hint="default"/>
        <w:b w:val="0"/>
        <w:i w:val="0"/>
        <w:color w:val="000000"/>
        <w:sz w:val="18"/>
        <w:szCs w:val="18"/>
      </w:rPr>
    </w:lvl>
    <w:lvl w:ilvl="8">
      <w:start w:val="1"/>
      <w:numFmt w:val="lowerRoman"/>
      <w:pStyle w:val="NTTDATATableBullet9"/>
      <w:lvlText w:val="%9."/>
      <w:lvlJc w:val="left"/>
      <w:pPr>
        <w:tabs>
          <w:tab w:val="num" w:pos="1701"/>
        </w:tabs>
        <w:ind w:left="1701" w:hanging="567"/>
      </w:pPr>
      <w:rPr>
        <w:rFonts w:ascii="Arial" w:hAnsi="Arial" w:hint="default"/>
        <w:b w:val="0"/>
        <w:i w:val="0"/>
        <w:color w:val="000000"/>
        <w:sz w:val="18"/>
        <w:szCs w:val="18"/>
      </w:rPr>
    </w:lvl>
  </w:abstractNum>
  <w:abstractNum w:abstractNumId="75" w15:restartNumberingAfterBreak="0">
    <w:nsid w:val="5AA363ED"/>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002866"/>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672395"/>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8E63ED"/>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5B016E"/>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760E80"/>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60332C"/>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FF2624"/>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974095"/>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42472E"/>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1C5C65"/>
    <w:multiLevelType w:val="hybridMultilevel"/>
    <w:tmpl w:val="B32E75E8"/>
    <w:lvl w:ilvl="0" w:tplc="C870EB20">
      <w:start w:val="1"/>
      <w:numFmt w:val="bullet"/>
      <w:lvlText w:val="•"/>
      <w:lvlJc w:val="left"/>
      <w:pPr>
        <w:ind w:left="460" w:hanging="260"/>
      </w:pPr>
    </w:lvl>
    <w:lvl w:ilvl="1" w:tplc="C70A6C88">
      <w:start w:val="1"/>
      <w:numFmt w:val="bullet"/>
      <w:lvlText w:val="◦"/>
      <w:lvlJc w:val="left"/>
      <w:pPr>
        <w:ind w:left="820" w:hanging="260"/>
      </w:pPr>
    </w:lvl>
    <w:lvl w:ilvl="2" w:tplc="245407D8">
      <w:numFmt w:val="decimal"/>
      <w:lvlText w:val=""/>
      <w:lvlJc w:val="left"/>
    </w:lvl>
    <w:lvl w:ilvl="3" w:tplc="6736E146">
      <w:numFmt w:val="decimal"/>
      <w:lvlText w:val=""/>
      <w:lvlJc w:val="left"/>
    </w:lvl>
    <w:lvl w:ilvl="4" w:tplc="F2D20E8C">
      <w:numFmt w:val="decimal"/>
      <w:lvlText w:val=""/>
      <w:lvlJc w:val="left"/>
    </w:lvl>
    <w:lvl w:ilvl="5" w:tplc="7954EA08">
      <w:numFmt w:val="decimal"/>
      <w:lvlText w:val=""/>
      <w:lvlJc w:val="left"/>
    </w:lvl>
    <w:lvl w:ilvl="6" w:tplc="EE549F6E">
      <w:numFmt w:val="decimal"/>
      <w:lvlText w:val=""/>
      <w:lvlJc w:val="left"/>
    </w:lvl>
    <w:lvl w:ilvl="7" w:tplc="E9AA9B1C">
      <w:numFmt w:val="decimal"/>
      <w:lvlText w:val=""/>
      <w:lvlJc w:val="left"/>
    </w:lvl>
    <w:lvl w:ilvl="8" w:tplc="F4D2E83C">
      <w:numFmt w:val="decimal"/>
      <w:lvlText w:val=""/>
      <w:lvlJc w:val="left"/>
    </w:lvl>
  </w:abstractNum>
  <w:abstractNum w:abstractNumId="86" w15:restartNumberingAfterBreak="0">
    <w:nsid w:val="73990175"/>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1D3D8A"/>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2757C8"/>
    <w:multiLevelType w:val="multilevel"/>
    <w:tmpl w:val="BC7EAE9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76C40D78"/>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6E0015"/>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6730CA"/>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351E7C"/>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B71DF9"/>
    <w:multiLevelType w:val="multilevel"/>
    <w:tmpl w:val="2EF6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B2F0ABB"/>
    <w:multiLevelType w:val="multilevel"/>
    <w:tmpl w:val="DA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7C3026"/>
    <w:multiLevelType w:val="multilevel"/>
    <w:tmpl w:val="D0B092CC"/>
    <w:lvl w:ilvl="0">
      <w:start w:val="1"/>
      <w:numFmt w:val="bullet"/>
      <w:pStyle w:val="Bullet"/>
      <w:lvlText w:val="●"/>
      <w:lvlJc w:val="left"/>
      <w:pPr>
        <w:ind w:left="284" w:hanging="284"/>
      </w:pPr>
      <w:rPr>
        <w:rFonts w:ascii="Arial" w:hAnsi="Arial" w:hint="default"/>
        <w:b w:val="0"/>
        <w:i w:val="0"/>
        <w:color w:val="000000"/>
        <w:kern w:val="20"/>
        <w:sz w:val="20"/>
      </w:rPr>
    </w:lvl>
    <w:lvl w:ilvl="1">
      <w:start w:val="1"/>
      <w:numFmt w:val="bullet"/>
      <w:pStyle w:val="BulletLevel2"/>
      <w:lvlText w:val="○"/>
      <w:lvlJc w:val="left"/>
      <w:pPr>
        <w:ind w:left="567" w:hanging="283"/>
      </w:pPr>
      <w:rPr>
        <w:rFonts w:ascii="Arial" w:hAnsi="Arial" w:cs="Times New Roman" w:hint="default"/>
        <w:b w:val="0"/>
        <w:i w:val="0"/>
        <w:color w:val="000000"/>
        <w:sz w:val="20"/>
      </w:rPr>
    </w:lvl>
    <w:lvl w:ilvl="2">
      <w:start w:val="1"/>
      <w:numFmt w:val="bullet"/>
      <w:pStyle w:val="BulletLevel3"/>
      <w:lvlText w:val="-"/>
      <w:lvlJc w:val="left"/>
      <w:pPr>
        <w:ind w:left="851" w:hanging="284"/>
      </w:pPr>
      <w:rPr>
        <w:rFonts w:ascii="Arial" w:hAnsi="Arial" w:cs="Times New Roman" w:hint="default"/>
        <w:b w:val="0"/>
        <w:i w:val="0"/>
        <w:color w:val="000000"/>
        <w:sz w:val="20"/>
      </w:rPr>
    </w:lvl>
    <w:lvl w:ilvl="3">
      <w:start w:val="1"/>
      <w:numFmt w:val="decimal"/>
      <w:isLgl/>
      <w:lvlText w:val="%4."/>
      <w:lvlJc w:val="left"/>
      <w:pPr>
        <w:ind w:left="567" w:hanging="567"/>
      </w:pPr>
      <w:rPr>
        <w:rFonts w:hint="default"/>
        <w:color w:val="000000"/>
      </w:rPr>
    </w:lvl>
    <w:lvl w:ilvl="4">
      <w:start w:val="1"/>
      <w:numFmt w:val="decimal"/>
      <w:isLgl/>
      <w:lvlText w:val="%4.%5"/>
      <w:lvlJc w:val="left"/>
      <w:pPr>
        <w:ind w:left="567" w:hanging="567"/>
      </w:pPr>
      <w:rPr>
        <w:rFonts w:hint="default"/>
        <w:color w:val="000000"/>
      </w:rPr>
    </w:lvl>
    <w:lvl w:ilvl="5">
      <w:start w:val="1"/>
      <w:numFmt w:val="decimal"/>
      <w:isLgl/>
      <w:lvlText w:val="%4.%5.%6"/>
      <w:lvlJc w:val="left"/>
      <w:pPr>
        <w:ind w:left="567" w:hanging="567"/>
      </w:pPr>
      <w:rPr>
        <w:rFonts w:hint="default"/>
        <w:color w:val="000000"/>
      </w:rPr>
    </w:lvl>
    <w:lvl w:ilvl="6">
      <w:start w:val="1"/>
      <w:numFmt w:val="decimal"/>
      <w:lvlText w:val="%7."/>
      <w:lvlJc w:val="left"/>
      <w:pPr>
        <w:ind w:left="567" w:hanging="567"/>
      </w:pPr>
      <w:rPr>
        <w:rFonts w:hint="default"/>
        <w:color w:val="000000"/>
      </w:rPr>
    </w:lvl>
    <w:lvl w:ilvl="7">
      <w:start w:val="1"/>
      <w:numFmt w:val="lowerLetter"/>
      <w:lvlText w:val="%8."/>
      <w:lvlJc w:val="left"/>
      <w:pPr>
        <w:ind w:left="1134" w:hanging="567"/>
      </w:pPr>
      <w:rPr>
        <w:rFonts w:hint="default"/>
        <w:color w:val="000000"/>
      </w:rPr>
    </w:lvl>
    <w:lvl w:ilvl="8">
      <w:start w:val="1"/>
      <w:numFmt w:val="lowerRoman"/>
      <w:lvlText w:val="%9."/>
      <w:lvlJc w:val="left"/>
      <w:pPr>
        <w:ind w:left="1701" w:hanging="567"/>
      </w:pPr>
      <w:rPr>
        <w:rFonts w:hint="default"/>
        <w:color w:val="000000"/>
      </w:rPr>
    </w:lvl>
  </w:abstractNum>
  <w:num w:numId="1" w16cid:durableId="902790624">
    <w:abstractNumId w:val="22"/>
  </w:num>
  <w:num w:numId="2" w16cid:durableId="775369593">
    <w:abstractNumId w:val="30"/>
    <w:lvlOverride w:ilvl="0">
      <w:lvl w:ilvl="0">
        <w:start w:val="1"/>
        <w:numFmt w:val="bullet"/>
        <w:pStyle w:val="NTTDATATableBullet1"/>
        <w:lvlText w:val="●"/>
        <w:lvlJc w:val="left"/>
        <w:pPr>
          <w:tabs>
            <w:tab w:val="num" w:pos="283"/>
          </w:tabs>
          <w:ind w:left="283" w:hanging="283"/>
        </w:pPr>
      </w:lvl>
    </w:lvlOverride>
    <w:lvlOverride w:ilvl="1">
      <w:lvl w:ilvl="1">
        <w:start w:val="1"/>
        <w:numFmt w:val="bullet"/>
        <w:lvlText w:val="○"/>
        <w:lvlJc w:val="left"/>
        <w:pPr>
          <w:tabs>
            <w:tab w:val="num" w:pos="1134"/>
          </w:tabs>
          <w:ind w:left="1134" w:hanging="284"/>
        </w:pPr>
      </w:lvl>
    </w:lvlOverride>
    <w:lvlOverride w:ilvl="2">
      <w:lvl w:ilvl="2">
        <w:start w:val="1"/>
        <w:numFmt w:val="bullet"/>
        <w:lvlText w:val="-"/>
        <w:lvlJc w:val="left"/>
        <w:pPr>
          <w:tabs>
            <w:tab w:val="num" w:pos="850"/>
          </w:tabs>
          <w:ind w:left="850" w:hanging="283"/>
        </w:pPr>
      </w:lvl>
    </w:lvlOverride>
    <w:lvlOverride w:ilvl="3">
      <w:lvl w:ilvl="3">
        <w:start w:val="1"/>
        <w:numFmt w:val="decimal"/>
        <w:pStyle w:val="NTTDATATableBullet4"/>
        <w:lvlText w:val="%4."/>
        <w:lvlJc w:val="left"/>
        <w:pPr>
          <w:tabs>
            <w:tab w:val="num" w:pos="567"/>
          </w:tabs>
          <w:ind w:left="567" w:hanging="567"/>
        </w:pPr>
      </w:lvl>
    </w:lvlOverride>
    <w:lvlOverride w:ilvl="4">
      <w:lvl w:ilvl="4">
        <w:start w:val="1"/>
        <w:numFmt w:val="decimal"/>
        <w:pStyle w:val="NTTDATATableBullet5"/>
        <w:lvlText w:val="%4.%5."/>
        <w:lvlJc w:val="left"/>
        <w:pPr>
          <w:tabs>
            <w:tab w:val="num" w:pos="567"/>
          </w:tabs>
          <w:ind w:left="567" w:hanging="567"/>
        </w:pPr>
      </w:lvl>
    </w:lvlOverride>
    <w:lvlOverride w:ilvl="5">
      <w:lvl w:ilvl="5">
        <w:start w:val="1"/>
        <w:numFmt w:val="decimal"/>
        <w:pStyle w:val="NTTDATATableBullet6"/>
        <w:lvlText w:val="%4.%5.%6."/>
        <w:lvlJc w:val="left"/>
        <w:pPr>
          <w:tabs>
            <w:tab w:val="num" w:pos="567"/>
          </w:tabs>
          <w:ind w:left="567" w:hanging="567"/>
        </w:pPr>
      </w:lvl>
    </w:lvlOverride>
    <w:lvlOverride w:ilvl="6">
      <w:lvl w:ilvl="6">
        <w:start w:val="1"/>
        <w:numFmt w:val="decimal"/>
        <w:pStyle w:val="NTTDATATableBullet7"/>
        <w:lvlText w:val="%7."/>
        <w:lvlJc w:val="left"/>
        <w:pPr>
          <w:tabs>
            <w:tab w:val="num" w:pos="567"/>
          </w:tabs>
          <w:ind w:left="567" w:hanging="567"/>
        </w:pPr>
      </w:lvl>
    </w:lvlOverride>
    <w:lvlOverride w:ilvl="7">
      <w:lvl w:ilvl="7">
        <w:start w:val="1"/>
        <w:numFmt w:val="lowerLetter"/>
        <w:lvlText w:val="%8."/>
        <w:lvlJc w:val="left"/>
        <w:pPr>
          <w:tabs>
            <w:tab w:val="num" w:pos="1134"/>
          </w:tabs>
          <w:ind w:left="1134" w:hanging="567"/>
        </w:pPr>
      </w:lvl>
    </w:lvlOverride>
    <w:lvlOverride w:ilvl="8">
      <w:lvl w:ilvl="8">
        <w:start w:val="1"/>
        <w:numFmt w:val="lowerRoman"/>
        <w:lvlText w:val="%9."/>
        <w:lvlJc w:val="left"/>
        <w:pPr>
          <w:tabs>
            <w:tab w:val="num" w:pos="1701"/>
          </w:tabs>
          <w:ind w:left="1701" w:hanging="567"/>
        </w:pPr>
      </w:lvl>
    </w:lvlOverride>
  </w:num>
  <w:num w:numId="3" w16cid:durableId="1049841814">
    <w:abstractNumId w:val="10"/>
  </w:num>
  <w:num w:numId="4" w16cid:durableId="1218661965">
    <w:abstractNumId w:val="38"/>
  </w:num>
  <w:num w:numId="5" w16cid:durableId="1882672173">
    <w:abstractNumId w:val="10"/>
    <w:lvlOverride w:ilvl="0">
      <w:lvl w:ilvl="0">
        <w:start w:val="1"/>
        <w:numFmt w:val="bullet"/>
        <w:pStyle w:val="NTTDATABullet1"/>
        <w:lvlText w:val="●"/>
        <w:lvlJc w:val="left"/>
        <w:pPr>
          <w:tabs>
            <w:tab w:val="num" w:pos="1134"/>
          </w:tabs>
          <w:ind w:left="1134" w:hanging="283"/>
        </w:pPr>
      </w:lvl>
    </w:lvlOverride>
  </w:num>
  <w:num w:numId="6" w16cid:durableId="89932287">
    <w:abstractNumId w:val="74"/>
    <w:lvlOverride w:ilvl="0">
      <w:lvl w:ilvl="0">
        <w:numFmt w:val="decimal"/>
        <w:lvlText w:val=""/>
        <w:lvlJc w:val="left"/>
      </w:lvl>
    </w:lvlOverride>
    <w:lvlOverride w:ilvl="1">
      <w:lvl w:ilvl="1">
        <w:start w:val="1"/>
        <w:numFmt w:val="bullet"/>
        <w:pStyle w:val="NTTDATATableBullet2"/>
        <w:lvlText w:val="○"/>
        <w:lvlJc w:val="left"/>
        <w:pPr>
          <w:tabs>
            <w:tab w:val="num" w:pos="567"/>
          </w:tabs>
          <w:ind w:left="567" w:hanging="283"/>
        </w:pPr>
      </w:lvl>
    </w:lvlOverride>
    <w:lvlOverride w:ilvl="2">
      <w:lvl w:ilvl="2">
        <w:start w:val="1"/>
        <w:numFmt w:val="bullet"/>
        <w:pStyle w:val="NTTDATATableBullet3"/>
        <w:lvlText w:val="-"/>
        <w:lvlJc w:val="left"/>
        <w:pPr>
          <w:tabs>
            <w:tab w:val="num" w:pos="851"/>
          </w:tabs>
          <w:ind w:left="851" w:hanging="284"/>
        </w:pPr>
      </w:lvl>
    </w:lvlOverride>
  </w:num>
  <w:num w:numId="7" w16cid:durableId="277639401">
    <w:abstractNumId w:val="71"/>
    <w:lvlOverride w:ilvl="0">
      <w:lvl w:ilvl="0">
        <w:numFmt w:val="decimal"/>
        <w:lvlText w:val=""/>
        <w:lvlJc w:val="left"/>
      </w:lvl>
    </w:lvlOverride>
    <w:lvlOverride w:ilvl="1">
      <w:lvl w:ilvl="1">
        <w:start w:val="1"/>
        <w:numFmt w:val="bullet"/>
        <w:lvlText w:val="●"/>
        <w:lvlJc w:val="left"/>
        <w:pPr>
          <w:tabs>
            <w:tab w:val="num" w:pos="851"/>
          </w:tabs>
          <w:ind w:left="1134" w:hanging="283"/>
        </w:pPr>
      </w:lvl>
    </w:lvlOverride>
    <w:lvlOverride w:ilvl="2">
      <w:lvl w:ilvl="2">
        <w:start w:val="1"/>
        <w:numFmt w:val="bullet"/>
        <w:pStyle w:val="NTTDATABoldBullet"/>
        <w:lvlText w:val="●"/>
        <w:lvlJc w:val="left"/>
        <w:pPr>
          <w:tabs>
            <w:tab w:val="num" w:pos="851"/>
          </w:tabs>
          <w:ind w:left="1134" w:hanging="283"/>
        </w:pPr>
        <w:rPr>
          <w:rFonts w:ascii="Arial" w:hAnsi="Arial" w:hint="default"/>
          <w:color w:val="000000"/>
          <w:sz w:val="20"/>
        </w:rPr>
      </w:lvl>
    </w:lvlOverride>
    <w:lvlOverride w:ilvl="3">
      <w:lvl w:ilvl="3">
        <w:start w:val="1"/>
        <w:numFmt w:val="bullet"/>
        <w:lvlText w:val="●"/>
        <w:lvlJc w:val="left"/>
        <w:pPr>
          <w:ind w:left="1134" w:hanging="283"/>
        </w:pPr>
      </w:lvl>
    </w:lvlOverride>
  </w:num>
  <w:num w:numId="8" w16cid:durableId="729184350">
    <w:abstractNumId w:val="35"/>
  </w:num>
  <w:num w:numId="9" w16cid:durableId="844054351">
    <w:abstractNumId w:val="4"/>
  </w:num>
  <w:num w:numId="10" w16cid:durableId="1632633936">
    <w:abstractNumId w:val="39"/>
  </w:num>
  <w:num w:numId="11" w16cid:durableId="513769008">
    <w:abstractNumId w:val="44"/>
    <w:lvlOverride w:ilvl="0">
      <w:lvl w:ilvl="0">
        <w:start w:val="1"/>
        <w:numFmt w:val="upperLetter"/>
        <w:pStyle w:val="AppendixHeading1"/>
        <w:lvlText w:val="Appendix %1"/>
        <w:lvlJc w:val="left"/>
        <w:pPr>
          <w:ind w:left="360" w:hanging="360"/>
        </w:pPr>
        <w:rPr>
          <w:rFonts w:ascii="Georgia" w:hAnsi="Georgia" w:cs="Arial" w:hint="default"/>
          <w:color w:val="0072BC"/>
          <w:kern w:val="20"/>
          <w:sz w:val="28"/>
          <w:szCs w:val="28"/>
        </w:rPr>
      </w:lvl>
    </w:lvlOverride>
    <w:lvlOverride w:ilvl="1">
      <w:lvl w:ilvl="1">
        <w:start w:val="1"/>
        <w:numFmt w:val="decimal"/>
        <w:pStyle w:val="AppendixHeading2"/>
        <w:lvlText w:val="Appendix %1.%2"/>
        <w:lvlJc w:val="left"/>
        <w:pPr>
          <w:ind w:left="0" w:firstLine="0"/>
        </w:pPr>
        <w:rPr>
          <w:rFonts w:hint="default"/>
          <w:color w:val="2E404D" w:themeColor="text2"/>
          <w:sz w:val="22"/>
          <w:szCs w:val="22"/>
        </w:rPr>
      </w:lvl>
    </w:lvlOverride>
    <w:lvlOverride w:ilvl="2">
      <w:lvl w:ilvl="2">
        <w:start w:val="1"/>
        <w:numFmt w:val="decimal"/>
        <w:pStyle w:val="AppendixHeading3"/>
        <w:lvlText w:val="Appendix %1.%2.%3"/>
        <w:lvlJc w:val="left"/>
        <w:pPr>
          <w:ind w:left="0" w:firstLine="0"/>
        </w:pPr>
        <w:rPr>
          <w:rFonts w:ascii="Arial" w:hAnsi="Arial" w:hint="default"/>
          <w:color w:val="000000"/>
          <w:sz w:val="22"/>
          <w:szCs w:val="22"/>
        </w:rPr>
      </w:lvl>
    </w:lvlOverride>
  </w:num>
  <w:num w:numId="12" w16cid:durableId="1224296146">
    <w:abstractNumId w:val="95"/>
    <w:lvlOverride w:ilvl="0">
      <w:lvl w:ilvl="0">
        <w:start w:val="1"/>
        <w:numFmt w:val="bullet"/>
        <w:pStyle w:val="Bullet"/>
        <w:lvlText w:val="●"/>
        <w:lvlJc w:val="left"/>
        <w:pPr>
          <w:ind w:left="284" w:hanging="284"/>
        </w:pPr>
        <w:rPr>
          <w:rFonts w:ascii="Arial" w:hAnsi="Arial" w:hint="default"/>
          <w:b w:val="0"/>
          <w:i w:val="0"/>
          <w:color w:val="000000"/>
          <w:kern w:val="20"/>
          <w:sz w:val="20"/>
        </w:rPr>
      </w:lvl>
    </w:lvlOverride>
    <w:lvlOverride w:ilvl="1">
      <w:lvl w:ilvl="1">
        <w:start w:val="1"/>
        <w:numFmt w:val="bullet"/>
        <w:pStyle w:val="BulletLevel2"/>
        <w:lvlText w:val="○"/>
        <w:lvlJc w:val="left"/>
        <w:pPr>
          <w:ind w:left="567" w:hanging="283"/>
        </w:pPr>
        <w:rPr>
          <w:rFonts w:ascii="Arial" w:hAnsi="Arial" w:cs="Times New Roman" w:hint="default"/>
          <w:b w:val="0"/>
          <w:i w:val="0"/>
          <w:color w:val="000000"/>
          <w:sz w:val="20"/>
        </w:rPr>
      </w:lvl>
    </w:lvlOverride>
    <w:lvlOverride w:ilvl="2">
      <w:lvl w:ilvl="2">
        <w:start w:val="1"/>
        <w:numFmt w:val="bullet"/>
        <w:pStyle w:val="BulletLevel3"/>
        <w:lvlText w:val="-"/>
        <w:lvlJc w:val="left"/>
        <w:pPr>
          <w:ind w:left="851" w:hanging="284"/>
        </w:pPr>
        <w:rPr>
          <w:rFonts w:ascii="Arial" w:hAnsi="Arial" w:cs="Times New Roman" w:hint="default"/>
          <w:b w:val="0"/>
          <w:i w:val="0"/>
          <w:color w:val="000000"/>
          <w:sz w:val="20"/>
        </w:rPr>
      </w:lvl>
    </w:lvlOverride>
    <w:lvlOverride w:ilvl="3">
      <w:lvl w:ilvl="3">
        <w:start w:val="1"/>
        <w:numFmt w:val="decimal"/>
        <w:isLgl/>
        <w:lvlText w:val="%4."/>
        <w:lvlJc w:val="left"/>
        <w:pPr>
          <w:ind w:left="567" w:hanging="567"/>
        </w:pPr>
      </w:lvl>
    </w:lvlOverride>
    <w:lvlOverride w:ilvl="4">
      <w:lvl w:ilvl="4">
        <w:start w:val="1"/>
        <w:numFmt w:val="decimal"/>
        <w:isLgl/>
        <w:lvlText w:val="%4.%5"/>
        <w:lvlJc w:val="left"/>
        <w:pPr>
          <w:ind w:left="567" w:hanging="567"/>
        </w:pPr>
      </w:lvl>
    </w:lvlOverride>
    <w:lvlOverride w:ilvl="5">
      <w:lvl w:ilvl="5">
        <w:start w:val="1"/>
        <w:numFmt w:val="decimal"/>
        <w:isLgl/>
        <w:lvlText w:val="%4.%5.%6"/>
        <w:lvlJc w:val="left"/>
        <w:pPr>
          <w:ind w:left="567" w:hanging="567"/>
        </w:pPr>
      </w:lvl>
    </w:lvlOverride>
    <w:lvlOverride w:ilvl="6">
      <w:lvl w:ilvl="6">
        <w:start w:val="1"/>
        <w:numFmt w:val="decimal"/>
        <w:lvlText w:val="%7."/>
        <w:lvlJc w:val="left"/>
        <w:pPr>
          <w:ind w:left="567" w:hanging="567"/>
        </w:pPr>
        <w:rPr>
          <w:rFonts w:hint="default"/>
          <w:color w:val="000000"/>
        </w:rPr>
      </w:lvl>
    </w:lvlOverride>
    <w:lvlOverride w:ilvl="7">
      <w:lvl w:ilvl="7">
        <w:start w:val="1"/>
        <w:numFmt w:val="lowerLetter"/>
        <w:lvlText w:val="%8."/>
        <w:lvlJc w:val="left"/>
        <w:pPr>
          <w:ind w:left="1134" w:hanging="567"/>
        </w:pPr>
        <w:rPr>
          <w:rFonts w:hint="default"/>
          <w:color w:val="000000"/>
        </w:rPr>
      </w:lvl>
    </w:lvlOverride>
    <w:lvlOverride w:ilvl="8">
      <w:lvl w:ilvl="8">
        <w:start w:val="1"/>
        <w:numFmt w:val="lowerRoman"/>
        <w:lvlText w:val="%9."/>
        <w:lvlJc w:val="left"/>
        <w:pPr>
          <w:ind w:left="1701" w:hanging="567"/>
        </w:pPr>
        <w:rPr>
          <w:rFonts w:hint="default"/>
          <w:color w:val="000000"/>
        </w:rPr>
      </w:lvl>
    </w:lvlOverride>
  </w:num>
  <w:num w:numId="13" w16cid:durableId="1449355948">
    <w:abstractNumId w:val="67"/>
  </w:num>
  <w:num w:numId="14" w16cid:durableId="1112625131">
    <w:abstractNumId w:val="11"/>
  </w:num>
  <w:num w:numId="15" w16cid:durableId="2012680376">
    <w:abstractNumId w:val="0"/>
  </w:num>
  <w:num w:numId="16" w16cid:durableId="1241795248">
    <w:abstractNumId w:val="85"/>
    <w:lvlOverride w:ilvl="0">
      <w:startOverride w:val="1"/>
    </w:lvlOverride>
  </w:num>
  <w:num w:numId="17" w16cid:durableId="2022118436">
    <w:abstractNumId w:val="42"/>
    <w:lvlOverride w:ilvl="0">
      <w:startOverride w:val="1"/>
    </w:lvlOverride>
  </w:num>
  <w:num w:numId="18" w16cid:durableId="914054596">
    <w:abstractNumId w:val="56"/>
  </w:num>
  <w:num w:numId="19" w16cid:durableId="723526886">
    <w:abstractNumId w:val="92"/>
  </w:num>
  <w:num w:numId="20" w16cid:durableId="878007047">
    <w:abstractNumId w:val="59"/>
  </w:num>
  <w:num w:numId="21" w16cid:durableId="231737405">
    <w:abstractNumId w:val="87"/>
  </w:num>
  <w:num w:numId="22" w16cid:durableId="1996957215">
    <w:abstractNumId w:val="55"/>
  </w:num>
  <w:num w:numId="23" w16cid:durableId="991368743">
    <w:abstractNumId w:val="49"/>
  </w:num>
  <w:num w:numId="24" w16cid:durableId="1844124478">
    <w:abstractNumId w:val="14"/>
  </w:num>
  <w:num w:numId="25" w16cid:durableId="847402310">
    <w:abstractNumId w:val="62"/>
  </w:num>
  <w:num w:numId="26" w16cid:durableId="1556962291">
    <w:abstractNumId w:val="28"/>
  </w:num>
  <w:num w:numId="27" w16cid:durableId="1826975138">
    <w:abstractNumId w:val="43"/>
  </w:num>
  <w:num w:numId="28" w16cid:durableId="1813860990">
    <w:abstractNumId w:val="50"/>
  </w:num>
  <w:num w:numId="29" w16cid:durableId="877276589">
    <w:abstractNumId w:val="93"/>
  </w:num>
  <w:num w:numId="30" w16cid:durableId="1816139608">
    <w:abstractNumId w:val="91"/>
  </w:num>
  <w:num w:numId="31" w16cid:durableId="1891726639">
    <w:abstractNumId w:val="61"/>
  </w:num>
  <w:num w:numId="32" w16cid:durableId="1054962475">
    <w:abstractNumId w:val="78"/>
  </w:num>
  <w:num w:numId="33" w16cid:durableId="1393116753">
    <w:abstractNumId w:val="17"/>
  </w:num>
  <w:num w:numId="34" w16cid:durableId="1104887118">
    <w:abstractNumId w:val="77"/>
  </w:num>
  <w:num w:numId="35" w16cid:durableId="1584290538">
    <w:abstractNumId w:val="16"/>
  </w:num>
  <w:num w:numId="36" w16cid:durableId="1311012713">
    <w:abstractNumId w:val="1"/>
  </w:num>
  <w:num w:numId="37" w16cid:durableId="2015646580">
    <w:abstractNumId w:val="60"/>
  </w:num>
  <w:num w:numId="38" w16cid:durableId="1143623082">
    <w:abstractNumId w:val="63"/>
  </w:num>
  <w:num w:numId="39" w16cid:durableId="1427534392">
    <w:abstractNumId w:val="46"/>
  </w:num>
  <w:num w:numId="40" w16cid:durableId="1513491230">
    <w:abstractNumId w:val="27"/>
  </w:num>
  <w:num w:numId="41" w16cid:durableId="248193454">
    <w:abstractNumId w:val="29"/>
  </w:num>
  <w:num w:numId="42" w16cid:durableId="1202551612">
    <w:abstractNumId w:val="48"/>
  </w:num>
  <w:num w:numId="43" w16cid:durableId="2006589532">
    <w:abstractNumId w:val="3"/>
  </w:num>
  <w:num w:numId="44" w16cid:durableId="715859193">
    <w:abstractNumId w:val="40"/>
  </w:num>
  <w:num w:numId="45" w16cid:durableId="98960068">
    <w:abstractNumId w:val="34"/>
  </w:num>
  <w:num w:numId="46" w16cid:durableId="934097942">
    <w:abstractNumId w:val="75"/>
  </w:num>
  <w:num w:numId="47" w16cid:durableId="1996689752">
    <w:abstractNumId w:val="82"/>
  </w:num>
  <w:num w:numId="48" w16cid:durableId="461846992">
    <w:abstractNumId w:val="2"/>
  </w:num>
  <w:num w:numId="49" w16cid:durableId="1546600533">
    <w:abstractNumId w:val="23"/>
  </w:num>
  <w:num w:numId="50" w16cid:durableId="584610763">
    <w:abstractNumId w:val="66"/>
  </w:num>
  <w:num w:numId="51" w16cid:durableId="1437216001">
    <w:abstractNumId w:val="94"/>
  </w:num>
  <w:num w:numId="52" w16cid:durableId="1937247056">
    <w:abstractNumId w:val="37"/>
  </w:num>
  <w:num w:numId="53" w16cid:durableId="746615188">
    <w:abstractNumId w:val="26"/>
  </w:num>
  <w:num w:numId="54" w16cid:durableId="1725105981">
    <w:abstractNumId w:val="13"/>
  </w:num>
  <w:num w:numId="55" w16cid:durableId="89670047">
    <w:abstractNumId w:val="84"/>
  </w:num>
  <w:num w:numId="56" w16cid:durableId="2017341448">
    <w:abstractNumId w:val="53"/>
  </w:num>
  <w:num w:numId="57" w16cid:durableId="1619217768">
    <w:abstractNumId w:val="81"/>
  </w:num>
  <w:num w:numId="58" w16cid:durableId="617491473">
    <w:abstractNumId w:val="52"/>
  </w:num>
  <w:num w:numId="59" w16cid:durableId="1772628704">
    <w:abstractNumId w:val="58"/>
  </w:num>
  <w:num w:numId="60" w16cid:durableId="1330720229">
    <w:abstractNumId w:val="6"/>
  </w:num>
  <w:num w:numId="61" w16cid:durableId="2031713638">
    <w:abstractNumId w:val="76"/>
  </w:num>
  <w:num w:numId="62" w16cid:durableId="227307311">
    <w:abstractNumId w:val="8"/>
  </w:num>
  <w:num w:numId="63" w16cid:durableId="1867785941">
    <w:abstractNumId w:val="25"/>
  </w:num>
  <w:num w:numId="64" w16cid:durableId="1960260548">
    <w:abstractNumId w:val="89"/>
  </w:num>
  <w:num w:numId="65" w16cid:durableId="1185945201">
    <w:abstractNumId w:val="33"/>
  </w:num>
  <w:num w:numId="66" w16cid:durableId="2100560412">
    <w:abstractNumId w:val="45"/>
  </w:num>
  <w:num w:numId="67" w16cid:durableId="440223690">
    <w:abstractNumId w:val="31"/>
  </w:num>
  <w:num w:numId="68" w16cid:durableId="1290354771">
    <w:abstractNumId w:val="70"/>
  </w:num>
  <w:num w:numId="69" w16cid:durableId="78260828">
    <w:abstractNumId w:val="79"/>
  </w:num>
  <w:num w:numId="70" w16cid:durableId="1468624990">
    <w:abstractNumId w:val="68"/>
  </w:num>
  <w:num w:numId="71" w16cid:durableId="887497743">
    <w:abstractNumId w:val="18"/>
  </w:num>
  <w:num w:numId="72" w16cid:durableId="872619052">
    <w:abstractNumId w:val="15"/>
  </w:num>
  <w:num w:numId="73" w16cid:durableId="1593276203">
    <w:abstractNumId w:val="9"/>
  </w:num>
  <w:num w:numId="74" w16cid:durableId="1033729069">
    <w:abstractNumId w:val="19"/>
  </w:num>
  <w:num w:numId="75" w16cid:durableId="1446656276">
    <w:abstractNumId w:val="47"/>
  </w:num>
  <w:num w:numId="76" w16cid:durableId="492332761">
    <w:abstractNumId w:val="7"/>
  </w:num>
  <w:num w:numId="77" w16cid:durableId="150410678">
    <w:abstractNumId w:val="80"/>
  </w:num>
  <w:num w:numId="78" w16cid:durableId="365372776">
    <w:abstractNumId w:val="20"/>
  </w:num>
  <w:num w:numId="79" w16cid:durableId="1646230110">
    <w:abstractNumId w:val="64"/>
  </w:num>
  <w:num w:numId="80" w16cid:durableId="1745452652">
    <w:abstractNumId w:val="65"/>
  </w:num>
  <w:num w:numId="81" w16cid:durableId="358580089">
    <w:abstractNumId w:val="51"/>
  </w:num>
  <w:num w:numId="82" w16cid:durableId="357510083">
    <w:abstractNumId w:val="24"/>
  </w:num>
  <w:num w:numId="83" w16cid:durableId="1176073252">
    <w:abstractNumId w:val="5"/>
  </w:num>
  <w:num w:numId="84" w16cid:durableId="890507023">
    <w:abstractNumId w:val="69"/>
  </w:num>
  <w:num w:numId="85" w16cid:durableId="1429734312">
    <w:abstractNumId w:val="83"/>
  </w:num>
  <w:num w:numId="86" w16cid:durableId="234051905">
    <w:abstractNumId w:val="36"/>
  </w:num>
  <w:num w:numId="87" w16cid:durableId="1115832915">
    <w:abstractNumId w:val="21"/>
  </w:num>
  <w:num w:numId="88" w16cid:durableId="1315257902">
    <w:abstractNumId w:val="32"/>
  </w:num>
  <w:num w:numId="89" w16cid:durableId="644163372">
    <w:abstractNumId w:val="86"/>
  </w:num>
  <w:num w:numId="90" w16cid:durableId="1668822964">
    <w:abstractNumId w:val="90"/>
  </w:num>
  <w:num w:numId="91" w16cid:durableId="33578744">
    <w:abstractNumId w:val="41"/>
  </w:num>
  <w:num w:numId="92" w16cid:durableId="67386086">
    <w:abstractNumId w:val="12"/>
  </w:num>
  <w:num w:numId="93" w16cid:durableId="1300457293">
    <w:abstractNumId w:val="72"/>
  </w:num>
  <w:num w:numId="94" w16cid:durableId="14894132">
    <w:abstractNumId w:val="57"/>
  </w:num>
  <w:num w:numId="95" w16cid:durableId="2069843722">
    <w:abstractNumId w:val="73"/>
  </w:num>
  <w:num w:numId="96" w16cid:durableId="1798063756">
    <w:abstractNumId w:val="54"/>
  </w:num>
  <w:num w:numId="97" w16cid:durableId="1174490967">
    <w:abstractNumId w:val="88"/>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C2F"/>
    <w:rsid w:val="00000290"/>
    <w:rsid w:val="00003961"/>
    <w:rsid w:val="00004D42"/>
    <w:rsid w:val="0000536D"/>
    <w:rsid w:val="00005B85"/>
    <w:rsid w:val="000069B2"/>
    <w:rsid w:val="00007E75"/>
    <w:rsid w:val="000115AE"/>
    <w:rsid w:val="00015970"/>
    <w:rsid w:val="0001714E"/>
    <w:rsid w:val="00017FEE"/>
    <w:rsid w:val="00021EDF"/>
    <w:rsid w:val="0002263F"/>
    <w:rsid w:val="0002407A"/>
    <w:rsid w:val="00024F12"/>
    <w:rsid w:val="0002555B"/>
    <w:rsid w:val="000274F2"/>
    <w:rsid w:val="000323BE"/>
    <w:rsid w:val="0003430F"/>
    <w:rsid w:val="00034CD3"/>
    <w:rsid w:val="00035DE0"/>
    <w:rsid w:val="00036220"/>
    <w:rsid w:val="00040430"/>
    <w:rsid w:val="0004099E"/>
    <w:rsid w:val="00041570"/>
    <w:rsid w:val="00041D81"/>
    <w:rsid w:val="0004242C"/>
    <w:rsid w:val="000433E6"/>
    <w:rsid w:val="00043EE8"/>
    <w:rsid w:val="00045EA2"/>
    <w:rsid w:val="000468DB"/>
    <w:rsid w:val="00047DF0"/>
    <w:rsid w:val="0005039A"/>
    <w:rsid w:val="000517EA"/>
    <w:rsid w:val="000527C0"/>
    <w:rsid w:val="0005313C"/>
    <w:rsid w:val="00055607"/>
    <w:rsid w:val="0006047F"/>
    <w:rsid w:val="000609A4"/>
    <w:rsid w:val="0006107A"/>
    <w:rsid w:val="000620E0"/>
    <w:rsid w:val="0006332B"/>
    <w:rsid w:val="00063492"/>
    <w:rsid w:val="00063F40"/>
    <w:rsid w:val="00065506"/>
    <w:rsid w:val="000665F4"/>
    <w:rsid w:val="00067CC4"/>
    <w:rsid w:val="000700D5"/>
    <w:rsid w:val="000737B3"/>
    <w:rsid w:val="000744E6"/>
    <w:rsid w:val="00074E27"/>
    <w:rsid w:val="00077906"/>
    <w:rsid w:val="00080405"/>
    <w:rsid w:val="0008094F"/>
    <w:rsid w:val="00081C51"/>
    <w:rsid w:val="000838A6"/>
    <w:rsid w:val="000844A8"/>
    <w:rsid w:val="00087AB0"/>
    <w:rsid w:val="00087B72"/>
    <w:rsid w:val="00090CD0"/>
    <w:rsid w:val="00092FAB"/>
    <w:rsid w:val="0009728F"/>
    <w:rsid w:val="00097EDC"/>
    <w:rsid w:val="000A40F9"/>
    <w:rsid w:val="000A6681"/>
    <w:rsid w:val="000A6B60"/>
    <w:rsid w:val="000B08B9"/>
    <w:rsid w:val="000B1D87"/>
    <w:rsid w:val="000B2C67"/>
    <w:rsid w:val="000C4CE6"/>
    <w:rsid w:val="000C5455"/>
    <w:rsid w:val="000C717C"/>
    <w:rsid w:val="000D0D7C"/>
    <w:rsid w:val="000D1E19"/>
    <w:rsid w:val="000D1E53"/>
    <w:rsid w:val="000D39CF"/>
    <w:rsid w:val="000D64A5"/>
    <w:rsid w:val="000D694E"/>
    <w:rsid w:val="000D6C31"/>
    <w:rsid w:val="000D7652"/>
    <w:rsid w:val="000E07D6"/>
    <w:rsid w:val="000E36F2"/>
    <w:rsid w:val="000E57E3"/>
    <w:rsid w:val="000E5BF0"/>
    <w:rsid w:val="000E79C2"/>
    <w:rsid w:val="000F26E1"/>
    <w:rsid w:val="000F2BF8"/>
    <w:rsid w:val="000F4E55"/>
    <w:rsid w:val="000F61DC"/>
    <w:rsid w:val="001029AB"/>
    <w:rsid w:val="00105F87"/>
    <w:rsid w:val="00107C4C"/>
    <w:rsid w:val="00110207"/>
    <w:rsid w:val="001120D8"/>
    <w:rsid w:val="00116365"/>
    <w:rsid w:val="001177DE"/>
    <w:rsid w:val="001207B6"/>
    <w:rsid w:val="001217E2"/>
    <w:rsid w:val="00121AA7"/>
    <w:rsid w:val="0013313B"/>
    <w:rsid w:val="00133826"/>
    <w:rsid w:val="0013667F"/>
    <w:rsid w:val="00136AF0"/>
    <w:rsid w:val="00140E34"/>
    <w:rsid w:val="0015224D"/>
    <w:rsid w:val="001528EA"/>
    <w:rsid w:val="0015524B"/>
    <w:rsid w:val="00155DCD"/>
    <w:rsid w:val="00156261"/>
    <w:rsid w:val="00162A35"/>
    <w:rsid w:val="00163C9F"/>
    <w:rsid w:val="0016524F"/>
    <w:rsid w:val="00165557"/>
    <w:rsid w:val="00166358"/>
    <w:rsid w:val="00166A8F"/>
    <w:rsid w:val="00171227"/>
    <w:rsid w:val="00171FB4"/>
    <w:rsid w:val="00173802"/>
    <w:rsid w:val="0017441E"/>
    <w:rsid w:val="001839DC"/>
    <w:rsid w:val="00183ABC"/>
    <w:rsid w:val="0019223B"/>
    <w:rsid w:val="0019364C"/>
    <w:rsid w:val="00196899"/>
    <w:rsid w:val="001971DF"/>
    <w:rsid w:val="001B1898"/>
    <w:rsid w:val="001B2526"/>
    <w:rsid w:val="001B2722"/>
    <w:rsid w:val="001B3325"/>
    <w:rsid w:val="001B4701"/>
    <w:rsid w:val="001B6B73"/>
    <w:rsid w:val="001B6FA1"/>
    <w:rsid w:val="001B7269"/>
    <w:rsid w:val="001B78DD"/>
    <w:rsid w:val="001C17FF"/>
    <w:rsid w:val="001C5D50"/>
    <w:rsid w:val="001C7579"/>
    <w:rsid w:val="001C7DE4"/>
    <w:rsid w:val="001D03AE"/>
    <w:rsid w:val="001D44F0"/>
    <w:rsid w:val="001D5785"/>
    <w:rsid w:val="001D6BFC"/>
    <w:rsid w:val="001D7AD8"/>
    <w:rsid w:val="001E1DD0"/>
    <w:rsid w:val="001E26AF"/>
    <w:rsid w:val="001E26B9"/>
    <w:rsid w:val="001E6B53"/>
    <w:rsid w:val="001E6B54"/>
    <w:rsid w:val="001F056E"/>
    <w:rsid w:val="001F16B4"/>
    <w:rsid w:val="001F3950"/>
    <w:rsid w:val="001F5D40"/>
    <w:rsid w:val="001F5EF7"/>
    <w:rsid w:val="00200761"/>
    <w:rsid w:val="00200851"/>
    <w:rsid w:val="00203E74"/>
    <w:rsid w:val="00206D5F"/>
    <w:rsid w:val="002073A5"/>
    <w:rsid w:val="00210EE1"/>
    <w:rsid w:val="00211F59"/>
    <w:rsid w:val="00213358"/>
    <w:rsid w:val="00214403"/>
    <w:rsid w:val="0021493D"/>
    <w:rsid w:val="00220352"/>
    <w:rsid w:val="00221D2A"/>
    <w:rsid w:val="002245D3"/>
    <w:rsid w:val="0022573F"/>
    <w:rsid w:val="00226D33"/>
    <w:rsid w:val="00231A2A"/>
    <w:rsid w:val="00232666"/>
    <w:rsid w:val="00233A93"/>
    <w:rsid w:val="00233C77"/>
    <w:rsid w:val="00234E0F"/>
    <w:rsid w:val="0024001C"/>
    <w:rsid w:val="002405C3"/>
    <w:rsid w:val="00241C99"/>
    <w:rsid w:val="00241D70"/>
    <w:rsid w:val="00242B6D"/>
    <w:rsid w:val="00242E88"/>
    <w:rsid w:val="00244B69"/>
    <w:rsid w:val="002452FF"/>
    <w:rsid w:val="0024613E"/>
    <w:rsid w:val="002474C0"/>
    <w:rsid w:val="00251212"/>
    <w:rsid w:val="002516BE"/>
    <w:rsid w:val="00252A11"/>
    <w:rsid w:val="00254096"/>
    <w:rsid w:val="002566F1"/>
    <w:rsid w:val="00257804"/>
    <w:rsid w:val="002601CE"/>
    <w:rsid w:val="00261F41"/>
    <w:rsid w:val="0026256E"/>
    <w:rsid w:val="00263EBA"/>
    <w:rsid w:val="00263F18"/>
    <w:rsid w:val="00264A0B"/>
    <w:rsid w:val="00267ED2"/>
    <w:rsid w:val="00273C5F"/>
    <w:rsid w:val="00276838"/>
    <w:rsid w:val="002768E9"/>
    <w:rsid w:val="00276902"/>
    <w:rsid w:val="00280A06"/>
    <w:rsid w:val="002818CC"/>
    <w:rsid w:val="002833B9"/>
    <w:rsid w:val="00286EE7"/>
    <w:rsid w:val="0029164D"/>
    <w:rsid w:val="00291D84"/>
    <w:rsid w:val="002921D0"/>
    <w:rsid w:val="00294C7A"/>
    <w:rsid w:val="002951FF"/>
    <w:rsid w:val="002A1E58"/>
    <w:rsid w:val="002A3108"/>
    <w:rsid w:val="002A6839"/>
    <w:rsid w:val="002A75B5"/>
    <w:rsid w:val="002B0604"/>
    <w:rsid w:val="002B063F"/>
    <w:rsid w:val="002B2736"/>
    <w:rsid w:val="002B2E8E"/>
    <w:rsid w:val="002B41C2"/>
    <w:rsid w:val="002B50B4"/>
    <w:rsid w:val="002B5AE3"/>
    <w:rsid w:val="002C14FA"/>
    <w:rsid w:val="002C5DD3"/>
    <w:rsid w:val="002C5E24"/>
    <w:rsid w:val="002D46BF"/>
    <w:rsid w:val="002D4950"/>
    <w:rsid w:val="002D5C94"/>
    <w:rsid w:val="002D788B"/>
    <w:rsid w:val="002E0609"/>
    <w:rsid w:val="002E0FC8"/>
    <w:rsid w:val="002E3B14"/>
    <w:rsid w:val="002E42B0"/>
    <w:rsid w:val="002E5F86"/>
    <w:rsid w:val="002E660A"/>
    <w:rsid w:val="002E6DF2"/>
    <w:rsid w:val="002E7929"/>
    <w:rsid w:val="002F04C0"/>
    <w:rsid w:val="002F0C0F"/>
    <w:rsid w:val="002F63B9"/>
    <w:rsid w:val="002F6FAB"/>
    <w:rsid w:val="00300C38"/>
    <w:rsid w:val="00301F42"/>
    <w:rsid w:val="0030224B"/>
    <w:rsid w:val="00303899"/>
    <w:rsid w:val="00304762"/>
    <w:rsid w:val="0030602F"/>
    <w:rsid w:val="00306407"/>
    <w:rsid w:val="00306744"/>
    <w:rsid w:val="00307329"/>
    <w:rsid w:val="00310587"/>
    <w:rsid w:val="0031207A"/>
    <w:rsid w:val="00313222"/>
    <w:rsid w:val="0031324D"/>
    <w:rsid w:val="003144A7"/>
    <w:rsid w:val="00314CC2"/>
    <w:rsid w:val="00317EB1"/>
    <w:rsid w:val="003225B7"/>
    <w:rsid w:val="00322BA7"/>
    <w:rsid w:val="00322E2B"/>
    <w:rsid w:val="003240E1"/>
    <w:rsid w:val="00325166"/>
    <w:rsid w:val="00325782"/>
    <w:rsid w:val="00325B43"/>
    <w:rsid w:val="0032700D"/>
    <w:rsid w:val="00327041"/>
    <w:rsid w:val="003327C8"/>
    <w:rsid w:val="0033601E"/>
    <w:rsid w:val="00336231"/>
    <w:rsid w:val="00336372"/>
    <w:rsid w:val="003364A4"/>
    <w:rsid w:val="00336C2F"/>
    <w:rsid w:val="003402D3"/>
    <w:rsid w:val="003429F2"/>
    <w:rsid w:val="00342EFC"/>
    <w:rsid w:val="00343651"/>
    <w:rsid w:val="0034463E"/>
    <w:rsid w:val="00345E55"/>
    <w:rsid w:val="00346ABA"/>
    <w:rsid w:val="00347BA4"/>
    <w:rsid w:val="00352134"/>
    <w:rsid w:val="003528AD"/>
    <w:rsid w:val="00353C88"/>
    <w:rsid w:val="0035680A"/>
    <w:rsid w:val="003573A5"/>
    <w:rsid w:val="00357C5C"/>
    <w:rsid w:val="00360B00"/>
    <w:rsid w:val="00362133"/>
    <w:rsid w:val="00375183"/>
    <w:rsid w:val="003768F0"/>
    <w:rsid w:val="00380132"/>
    <w:rsid w:val="00382304"/>
    <w:rsid w:val="003856B2"/>
    <w:rsid w:val="00387D80"/>
    <w:rsid w:val="00390681"/>
    <w:rsid w:val="00392431"/>
    <w:rsid w:val="00394D3B"/>
    <w:rsid w:val="003960E4"/>
    <w:rsid w:val="00396107"/>
    <w:rsid w:val="003A35DF"/>
    <w:rsid w:val="003A4083"/>
    <w:rsid w:val="003A5AEB"/>
    <w:rsid w:val="003A672B"/>
    <w:rsid w:val="003A6929"/>
    <w:rsid w:val="003B0323"/>
    <w:rsid w:val="003B189A"/>
    <w:rsid w:val="003B36EE"/>
    <w:rsid w:val="003B5259"/>
    <w:rsid w:val="003B60E3"/>
    <w:rsid w:val="003B6C7A"/>
    <w:rsid w:val="003B751A"/>
    <w:rsid w:val="003C0892"/>
    <w:rsid w:val="003C2784"/>
    <w:rsid w:val="003C2A95"/>
    <w:rsid w:val="003C5FC5"/>
    <w:rsid w:val="003C605F"/>
    <w:rsid w:val="003C70F5"/>
    <w:rsid w:val="003C7AD3"/>
    <w:rsid w:val="003D071A"/>
    <w:rsid w:val="003D12EC"/>
    <w:rsid w:val="003D136D"/>
    <w:rsid w:val="003D3683"/>
    <w:rsid w:val="003D3A54"/>
    <w:rsid w:val="003D4072"/>
    <w:rsid w:val="003D475D"/>
    <w:rsid w:val="003D517A"/>
    <w:rsid w:val="003D63E9"/>
    <w:rsid w:val="003E0376"/>
    <w:rsid w:val="003E0A16"/>
    <w:rsid w:val="003E17A8"/>
    <w:rsid w:val="003E307D"/>
    <w:rsid w:val="003E3C2F"/>
    <w:rsid w:val="003E488D"/>
    <w:rsid w:val="003E4A69"/>
    <w:rsid w:val="003E4F03"/>
    <w:rsid w:val="003F0900"/>
    <w:rsid w:val="003F50F5"/>
    <w:rsid w:val="003F66EC"/>
    <w:rsid w:val="004004D9"/>
    <w:rsid w:val="00401C1A"/>
    <w:rsid w:val="00403817"/>
    <w:rsid w:val="004038EF"/>
    <w:rsid w:val="00404002"/>
    <w:rsid w:val="0040405A"/>
    <w:rsid w:val="004053F9"/>
    <w:rsid w:val="0040580E"/>
    <w:rsid w:val="00406CEA"/>
    <w:rsid w:val="00407F62"/>
    <w:rsid w:val="004102DE"/>
    <w:rsid w:val="00410AF0"/>
    <w:rsid w:val="00410AF3"/>
    <w:rsid w:val="0041140F"/>
    <w:rsid w:val="004125F9"/>
    <w:rsid w:val="00412CB2"/>
    <w:rsid w:val="00413529"/>
    <w:rsid w:val="00413A77"/>
    <w:rsid w:val="004150D4"/>
    <w:rsid w:val="004177A0"/>
    <w:rsid w:val="00420B06"/>
    <w:rsid w:val="004214D7"/>
    <w:rsid w:val="0042210E"/>
    <w:rsid w:val="0042286E"/>
    <w:rsid w:val="0042322D"/>
    <w:rsid w:val="0042400E"/>
    <w:rsid w:val="00424D85"/>
    <w:rsid w:val="00426C37"/>
    <w:rsid w:val="0042781D"/>
    <w:rsid w:val="00430BB1"/>
    <w:rsid w:val="004312B5"/>
    <w:rsid w:val="00431624"/>
    <w:rsid w:val="00432C25"/>
    <w:rsid w:val="0043434E"/>
    <w:rsid w:val="00435CAE"/>
    <w:rsid w:val="0043634A"/>
    <w:rsid w:val="00436FDB"/>
    <w:rsid w:val="00437584"/>
    <w:rsid w:val="004401BB"/>
    <w:rsid w:val="0044104B"/>
    <w:rsid w:val="00443962"/>
    <w:rsid w:val="00445ACB"/>
    <w:rsid w:val="004467A5"/>
    <w:rsid w:val="00447E0E"/>
    <w:rsid w:val="00450273"/>
    <w:rsid w:val="00454206"/>
    <w:rsid w:val="004554EA"/>
    <w:rsid w:val="004611C6"/>
    <w:rsid w:val="00462F14"/>
    <w:rsid w:val="004703D8"/>
    <w:rsid w:val="0047118C"/>
    <w:rsid w:val="00472877"/>
    <w:rsid w:val="00474489"/>
    <w:rsid w:val="004768B7"/>
    <w:rsid w:val="004777A3"/>
    <w:rsid w:val="00480584"/>
    <w:rsid w:val="00481F7D"/>
    <w:rsid w:val="0048331F"/>
    <w:rsid w:val="00483398"/>
    <w:rsid w:val="00483546"/>
    <w:rsid w:val="0048541E"/>
    <w:rsid w:val="00485DB8"/>
    <w:rsid w:val="00486632"/>
    <w:rsid w:val="0049045D"/>
    <w:rsid w:val="004905CA"/>
    <w:rsid w:val="00490E0D"/>
    <w:rsid w:val="00490E94"/>
    <w:rsid w:val="0049361E"/>
    <w:rsid w:val="0049383B"/>
    <w:rsid w:val="00493EA0"/>
    <w:rsid w:val="00496202"/>
    <w:rsid w:val="0049741E"/>
    <w:rsid w:val="00497794"/>
    <w:rsid w:val="004A2853"/>
    <w:rsid w:val="004A331C"/>
    <w:rsid w:val="004A3327"/>
    <w:rsid w:val="004A41AB"/>
    <w:rsid w:val="004A4263"/>
    <w:rsid w:val="004A5653"/>
    <w:rsid w:val="004A5DFC"/>
    <w:rsid w:val="004A7EE5"/>
    <w:rsid w:val="004B143A"/>
    <w:rsid w:val="004B277B"/>
    <w:rsid w:val="004B53D9"/>
    <w:rsid w:val="004B549F"/>
    <w:rsid w:val="004B7585"/>
    <w:rsid w:val="004C2406"/>
    <w:rsid w:val="004C51F1"/>
    <w:rsid w:val="004C6CA4"/>
    <w:rsid w:val="004D0BBC"/>
    <w:rsid w:val="004D35A5"/>
    <w:rsid w:val="004D6BFC"/>
    <w:rsid w:val="004D7011"/>
    <w:rsid w:val="004E08F3"/>
    <w:rsid w:val="004E0A87"/>
    <w:rsid w:val="004E11FE"/>
    <w:rsid w:val="004E3244"/>
    <w:rsid w:val="004F0362"/>
    <w:rsid w:val="004F11DE"/>
    <w:rsid w:val="004F3A83"/>
    <w:rsid w:val="004F499A"/>
    <w:rsid w:val="004F6B57"/>
    <w:rsid w:val="004F71FC"/>
    <w:rsid w:val="00500E20"/>
    <w:rsid w:val="0050327D"/>
    <w:rsid w:val="00504D0A"/>
    <w:rsid w:val="00507AF6"/>
    <w:rsid w:val="005118B0"/>
    <w:rsid w:val="005127EF"/>
    <w:rsid w:val="0051300F"/>
    <w:rsid w:val="005133D4"/>
    <w:rsid w:val="00514BCF"/>
    <w:rsid w:val="00516DCF"/>
    <w:rsid w:val="00520C6D"/>
    <w:rsid w:val="0052102E"/>
    <w:rsid w:val="00522EE4"/>
    <w:rsid w:val="00522EF9"/>
    <w:rsid w:val="00523382"/>
    <w:rsid w:val="00524470"/>
    <w:rsid w:val="00524F9E"/>
    <w:rsid w:val="00526F58"/>
    <w:rsid w:val="005315DC"/>
    <w:rsid w:val="005339F1"/>
    <w:rsid w:val="00534DF6"/>
    <w:rsid w:val="00535D4E"/>
    <w:rsid w:val="00537467"/>
    <w:rsid w:val="00543BD3"/>
    <w:rsid w:val="00546641"/>
    <w:rsid w:val="005475C3"/>
    <w:rsid w:val="00551003"/>
    <w:rsid w:val="0055448E"/>
    <w:rsid w:val="00555AF1"/>
    <w:rsid w:val="0055698C"/>
    <w:rsid w:val="0055756A"/>
    <w:rsid w:val="00560771"/>
    <w:rsid w:val="00561FB3"/>
    <w:rsid w:val="0056321F"/>
    <w:rsid w:val="00565C58"/>
    <w:rsid w:val="00567026"/>
    <w:rsid w:val="005675A2"/>
    <w:rsid w:val="00570008"/>
    <w:rsid w:val="0057139C"/>
    <w:rsid w:val="00573BFC"/>
    <w:rsid w:val="00576D16"/>
    <w:rsid w:val="005779A2"/>
    <w:rsid w:val="005818F5"/>
    <w:rsid w:val="00583426"/>
    <w:rsid w:val="00584C42"/>
    <w:rsid w:val="00586880"/>
    <w:rsid w:val="005872FC"/>
    <w:rsid w:val="00587448"/>
    <w:rsid w:val="00590EDD"/>
    <w:rsid w:val="0059200F"/>
    <w:rsid w:val="00594A58"/>
    <w:rsid w:val="005969B0"/>
    <w:rsid w:val="00597312"/>
    <w:rsid w:val="005A01F7"/>
    <w:rsid w:val="005A037F"/>
    <w:rsid w:val="005A39EB"/>
    <w:rsid w:val="005A4D21"/>
    <w:rsid w:val="005A5C02"/>
    <w:rsid w:val="005A6B61"/>
    <w:rsid w:val="005A7749"/>
    <w:rsid w:val="005A7F6B"/>
    <w:rsid w:val="005B08A2"/>
    <w:rsid w:val="005B131E"/>
    <w:rsid w:val="005B22B8"/>
    <w:rsid w:val="005B3B1D"/>
    <w:rsid w:val="005B3CAF"/>
    <w:rsid w:val="005B4891"/>
    <w:rsid w:val="005B6A44"/>
    <w:rsid w:val="005B7EFE"/>
    <w:rsid w:val="005C21AB"/>
    <w:rsid w:val="005C231A"/>
    <w:rsid w:val="005C44CC"/>
    <w:rsid w:val="005C4D0B"/>
    <w:rsid w:val="005C4DCB"/>
    <w:rsid w:val="005D025B"/>
    <w:rsid w:val="005D096C"/>
    <w:rsid w:val="005D11F5"/>
    <w:rsid w:val="005D315C"/>
    <w:rsid w:val="005D6334"/>
    <w:rsid w:val="005D7DA1"/>
    <w:rsid w:val="005E5458"/>
    <w:rsid w:val="005E77FB"/>
    <w:rsid w:val="005F1395"/>
    <w:rsid w:val="005F1C66"/>
    <w:rsid w:val="005F1CC3"/>
    <w:rsid w:val="005F2C84"/>
    <w:rsid w:val="005F40FB"/>
    <w:rsid w:val="005F599A"/>
    <w:rsid w:val="005F7B55"/>
    <w:rsid w:val="00600AD5"/>
    <w:rsid w:val="00600C59"/>
    <w:rsid w:val="0060194C"/>
    <w:rsid w:val="00607063"/>
    <w:rsid w:val="00607E4C"/>
    <w:rsid w:val="00611FF2"/>
    <w:rsid w:val="006126B0"/>
    <w:rsid w:val="0061372D"/>
    <w:rsid w:val="00613F7C"/>
    <w:rsid w:val="00613FF7"/>
    <w:rsid w:val="00614FC5"/>
    <w:rsid w:val="00616D5D"/>
    <w:rsid w:val="0062106E"/>
    <w:rsid w:val="00621924"/>
    <w:rsid w:val="00622969"/>
    <w:rsid w:val="00622A39"/>
    <w:rsid w:val="00623527"/>
    <w:rsid w:val="00625733"/>
    <w:rsid w:val="00625ABF"/>
    <w:rsid w:val="00626BD7"/>
    <w:rsid w:val="00627B2B"/>
    <w:rsid w:val="00627CC5"/>
    <w:rsid w:val="006313A9"/>
    <w:rsid w:val="00631CB0"/>
    <w:rsid w:val="00632966"/>
    <w:rsid w:val="006337FE"/>
    <w:rsid w:val="0063383A"/>
    <w:rsid w:val="00633F70"/>
    <w:rsid w:val="0063599F"/>
    <w:rsid w:val="0063798D"/>
    <w:rsid w:val="006407B3"/>
    <w:rsid w:val="00643C09"/>
    <w:rsid w:val="00644E2C"/>
    <w:rsid w:val="006475BC"/>
    <w:rsid w:val="0065542B"/>
    <w:rsid w:val="006569FC"/>
    <w:rsid w:val="0065762F"/>
    <w:rsid w:val="00660369"/>
    <w:rsid w:val="00660373"/>
    <w:rsid w:val="006618C0"/>
    <w:rsid w:val="00663BF4"/>
    <w:rsid w:val="00665D0B"/>
    <w:rsid w:val="00665E46"/>
    <w:rsid w:val="0067089A"/>
    <w:rsid w:val="00670FAA"/>
    <w:rsid w:val="00671CFC"/>
    <w:rsid w:val="00673906"/>
    <w:rsid w:val="006743CB"/>
    <w:rsid w:val="00676140"/>
    <w:rsid w:val="0067722D"/>
    <w:rsid w:val="006818A3"/>
    <w:rsid w:val="00684474"/>
    <w:rsid w:val="00684BE6"/>
    <w:rsid w:val="00686B1F"/>
    <w:rsid w:val="0068750F"/>
    <w:rsid w:val="00690222"/>
    <w:rsid w:val="00690285"/>
    <w:rsid w:val="0069242B"/>
    <w:rsid w:val="00693CDD"/>
    <w:rsid w:val="006947F9"/>
    <w:rsid w:val="006A1592"/>
    <w:rsid w:val="006A31D2"/>
    <w:rsid w:val="006A44C8"/>
    <w:rsid w:val="006A7D56"/>
    <w:rsid w:val="006B0F6B"/>
    <w:rsid w:val="006B2905"/>
    <w:rsid w:val="006B7921"/>
    <w:rsid w:val="006C0EED"/>
    <w:rsid w:val="006C165B"/>
    <w:rsid w:val="006C232E"/>
    <w:rsid w:val="006C2ECB"/>
    <w:rsid w:val="006C3AA2"/>
    <w:rsid w:val="006C3ED2"/>
    <w:rsid w:val="006C5617"/>
    <w:rsid w:val="006C620E"/>
    <w:rsid w:val="006D04E8"/>
    <w:rsid w:val="006D1BC8"/>
    <w:rsid w:val="006D33F0"/>
    <w:rsid w:val="006D4EEA"/>
    <w:rsid w:val="006D7EB2"/>
    <w:rsid w:val="006E0B02"/>
    <w:rsid w:val="006E1223"/>
    <w:rsid w:val="006E1606"/>
    <w:rsid w:val="006E76BD"/>
    <w:rsid w:val="006F1BB3"/>
    <w:rsid w:val="006F1DA4"/>
    <w:rsid w:val="006F3B68"/>
    <w:rsid w:val="006F4F2D"/>
    <w:rsid w:val="006F66C6"/>
    <w:rsid w:val="006F7A72"/>
    <w:rsid w:val="0070045C"/>
    <w:rsid w:val="007023E3"/>
    <w:rsid w:val="00702A7E"/>
    <w:rsid w:val="00704A52"/>
    <w:rsid w:val="00705AEC"/>
    <w:rsid w:val="00707C1C"/>
    <w:rsid w:val="00707C74"/>
    <w:rsid w:val="007150E8"/>
    <w:rsid w:val="00715E84"/>
    <w:rsid w:val="00721DCE"/>
    <w:rsid w:val="007239DA"/>
    <w:rsid w:val="00723D3D"/>
    <w:rsid w:val="0072402E"/>
    <w:rsid w:val="00726F53"/>
    <w:rsid w:val="00727CF4"/>
    <w:rsid w:val="0073117B"/>
    <w:rsid w:val="007318BA"/>
    <w:rsid w:val="007354F3"/>
    <w:rsid w:val="0073692F"/>
    <w:rsid w:val="00736D01"/>
    <w:rsid w:val="00742376"/>
    <w:rsid w:val="00744F63"/>
    <w:rsid w:val="00746BE1"/>
    <w:rsid w:val="0074771F"/>
    <w:rsid w:val="007524CE"/>
    <w:rsid w:val="00755038"/>
    <w:rsid w:val="0075623F"/>
    <w:rsid w:val="00761414"/>
    <w:rsid w:val="0076141E"/>
    <w:rsid w:val="00762711"/>
    <w:rsid w:val="00764200"/>
    <w:rsid w:val="007645CA"/>
    <w:rsid w:val="00765C83"/>
    <w:rsid w:val="0076790C"/>
    <w:rsid w:val="00767AAD"/>
    <w:rsid w:val="00767F75"/>
    <w:rsid w:val="0077073C"/>
    <w:rsid w:val="00773B76"/>
    <w:rsid w:val="0078116D"/>
    <w:rsid w:val="00781F5F"/>
    <w:rsid w:val="0078242D"/>
    <w:rsid w:val="007836BA"/>
    <w:rsid w:val="007852AB"/>
    <w:rsid w:val="00786EEE"/>
    <w:rsid w:val="00787083"/>
    <w:rsid w:val="007919B8"/>
    <w:rsid w:val="007931F0"/>
    <w:rsid w:val="00793ABF"/>
    <w:rsid w:val="00793C20"/>
    <w:rsid w:val="00795560"/>
    <w:rsid w:val="0079747F"/>
    <w:rsid w:val="007A03B6"/>
    <w:rsid w:val="007A130A"/>
    <w:rsid w:val="007A1A1C"/>
    <w:rsid w:val="007A3A85"/>
    <w:rsid w:val="007A5A9D"/>
    <w:rsid w:val="007B0476"/>
    <w:rsid w:val="007B1435"/>
    <w:rsid w:val="007B32F8"/>
    <w:rsid w:val="007B37AB"/>
    <w:rsid w:val="007B5C66"/>
    <w:rsid w:val="007B69B1"/>
    <w:rsid w:val="007B6B17"/>
    <w:rsid w:val="007B7428"/>
    <w:rsid w:val="007C092D"/>
    <w:rsid w:val="007C09A5"/>
    <w:rsid w:val="007C26AD"/>
    <w:rsid w:val="007C39FA"/>
    <w:rsid w:val="007C6646"/>
    <w:rsid w:val="007C6B4F"/>
    <w:rsid w:val="007C6EA0"/>
    <w:rsid w:val="007C70A3"/>
    <w:rsid w:val="007D2D21"/>
    <w:rsid w:val="007D3224"/>
    <w:rsid w:val="007D3C36"/>
    <w:rsid w:val="007D3CAB"/>
    <w:rsid w:val="007D419D"/>
    <w:rsid w:val="007D4B16"/>
    <w:rsid w:val="007D4D3B"/>
    <w:rsid w:val="007D62E6"/>
    <w:rsid w:val="007D70D4"/>
    <w:rsid w:val="007E2F2C"/>
    <w:rsid w:val="007E4818"/>
    <w:rsid w:val="007E519A"/>
    <w:rsid w:val="007E5DDB"/>
    <w:rsid w:val="007E6721"/>
    <w:rsid w:val="007F133E"/>
    <w:rsid w:val="007F1DAB"/>
    <w:rsid w:val="007F1E32"/>
    <w:rsid w:val="007F2A36"/>
    <w:rsid w:val="007F3427"/>
    <w:rsid w:val="007F37BC"/>
    <w:rsid w:val="00803A20"/>
    <w:rsid w:val="00805860"/>
    <w:rsid w:val="00806B27"/>
    <w:rsid w:val="008076C4"/>
    <w:rsid w:val="00812AF6"/>
    <w:rsid w:val="00816432"/>
    <w:rsid w:val="0081678E"/>
    <w:rsid w:val="0081680E"/>
    <w:rsid w:val="00817385"/>
    <w:rsid w:val="00817DE7"/>
    <w:rsid w:val="00821393"/>
    <w:rsid w:val="00824EC5"/>
    <w:rsid w:val="0083153F"/>
    <w:rsid w:val="00831DCF"/>
    <w:rsid w:val="00831FD5"/>
    <w:rsid w:val="0083260D"/>
    <w:rsid w:val="00833F02"/>
    <w:rsid w:val="00837BA6"/>
    <w:rsid w:val="00850EDB"/>
    <w:rsid w:val="0085122C"/>
    <w:rsid w:val="00852F60"/>
    <w:rsid w:val="00855269"/>
    <w:rsid w:val="0086473A"/>
    <w:rsid w:val="008649DB"/>
    <w:rsid w:val="00867274"/>
    <w:rsid w:val="008720A6"/>
    <w:rsid w:val="00872939"/>
    <w:rsid w:val="0087425A"/>
    <w:rsid w:val="0087580E"/>
    <w:rsid w:val="00875973"/>
    <w:rsid w:val="0088012B"/>
    <w:rsid w:val="0088421F"/>
    <w:rsid w:val="00884E1B"/>
    <w:rsid w:val="0088676D"/>
    <w:rsid w:val="008867F4"/>
    <w:rsid w:val="008870B1"/>
    <w:rsid w:val="008903BE"/>
    <w:rsid w:val="008923D1"/>
    <w:rsid w:val="008926C3"/>
    <w:rsid w:val="00892C6B"/>
    <w:rsid w:val="00893996"/>
    <w:rsid w:val="008939C6"/>
    <w:rsid w:val="008939F8"/>
    <w:rsid w:val="00894FC9"/>
    <w:rsid w:val="0089768F"/>
    <w:rsid w:val="008A1196"/>
    <w:rsid w:val="008A1C37"/>
    <w:rsid w:val="008A6327"/>
    <w:rsid w:val="008A7C7F"/>
    <w:rsid w:val="008B02C6"/>
    <w:rsid w:val="008B09D3"/>
    <w:rsid w:val="008B6C77"/>
    <w:rsid w:val="008B6D34"/>
    <w:rsid w:val="008C0602"/>
    <w:rsid w:val="008C1208"/>
    <w:rsid w:val="008C3F17"/>
    <w:rsid w:val="008C5569"/>
    <w:rsid w:val="008C7C4B"/>
    <w:rsid w:val="008D0D2D"/>
    <w:rsid w:val="008D1492"/>
    <w:rsid w:val="008D191F"/>
    <w:rsid w:val="008D2AA9"/>
    <w:rsid w:val="008D311C"/>
    <w:rsid w:val="008D6B82"/>
    <w:rsid w:val="008D7768"/>
    <w:rsid w:val="008D783B"/>
    <w:rsid w:val="008D7880"/>
    <w:rsid w:val="008E069D"/>
    <w:rsid w:val="008E0881"/>
    <w:rsid w:val="008E0C06"/>
    <w:rsid w:val="008E1313"/>
    <w:rsid w:val="008F0578"/>
    <w:rsid w:val="008F269D"/>
    <w:rsid w:val="008F4C7B"/>
    <w:rsid w:val="009005C9"/>
    <w:rsid w:val="00905D8A"/>
    <w:rsid w:val="00906AC5"/>
    <w:rsid w:val="00907F64"/>
    <w:rsid w:val="00911702"/>
    <w:rsid w:val="0091187F"/>
    <w:rsid w:val="00911985"/>
    <w:rsid w:val="009122E0"/>
    <w:rsid w:val="009168DE"/>
    <w:rsid w:val="00923D91"/>
    <w:rsid w:val="00924873"/>
    <w:rsid w:val="00924ED3"/>
    <w:rsid w:val="0092589C"/>
    <w:rsid w:val="00926311"/>
    <w:rsid w:val="009267CC"/>
    <w:rsid w:val="00931AE0"/>
    <w:rsid w:val="0093724C"/>
    <w:rsid w:val="00937670"/>
    <w:rsid w:val="0094215A"/>
    <w:rsid w:val="00943289"/>
    <w:rsid w:val="0094360D"/>
    <w:rsid w:val="00944D57"/>
    <w:rsid w:val="009465C3"/>
    <w:rsid w:val="00950119"/>
    <w:rsid w:val="00952235"/>
    <w:rsid w:val="00953BE6"/>
    <w:rsid w:val="009546E8"/>
    <w:rsid w:val="009560A1"/>
    <w:rsid w:val="009569F0"/>
    <w:rsid w:val="009571B2"/>
    <w:rsid w:val="0096516C"/>
    <w:rsid w:val="00972F90"/>
    <w:rsid w:val="00973478"/>
    <w:rsid w:val="00973883"/>
    <w:rsid w:val="009758AA"/>
    <w:rsid w:val="00977104"/>
    <w:rsid w:val="00977705"/>
    <w:rsid w:val="00980C67"/>
    <w:rsid w:val="00980DF9"/>
    <w:rsid w:val="0098226F"/>
    <w:rsid w:val="00983C7D"/>
    <w:rsid w:val="00984AF2"/>
    <w:rsid w:val="00984B86"/>
    <w:rsid w:val="00987A48"/>
    <w:rsid w:val="009917C6"/>
    <w:rsid w:val="00992C24"/>
    <w:rsid w:val="009945A1"/>
    <w:rsid w:val="00997F3C"/>
    <w:rsid w:val="009A0E88"/>
    <w:rsid w:val="009A1D0F"/>
    <w:rsid w:val="009A3D22"/>
    <w:rsid w:val="009A6A2B"/>
    <w:rsid w:val="009A76B5"/>
    <w:rsid w:val="009B01ED"/>
    <w:rsid w:val="009B07A9"/>
    <w:rsid w:val="009B3A2C"/>
    <w:rsid w:val="009B5D63"/>
    <w:rsid w:val="009B65FD"/>
    <w:rsid w:val="009B6799"/>
    <w:rsid w:val="009B7770"/>
    <w:rsid w:val="009C31AA"/>
    <w:rsid w:val="009C5837"/>
    <w:rsid w:val="009D0390"/>
    <w:rsid w:val="009D16E4"/>
    <w:rsid w:val="009D180C"/>
    <w:rsid w:val="009D1F1E"/>
    <w:rsid w:val="009D3BEB"/>
    <w:rsid w:val="009D63A6"/>
    <w:rsid w:val="009D63FA"/>
    <w:rsid w:val="009D6471"/>
    <w:rsid w:val="009D6CFA"/>
    <w:rsid w:val="009D726B"/>
    <w:rsid w:val="009E02A4"/>
    <w:rsid w:val="009E11B7"/>
    <w:rsid w:val="009E4AB1"/>
    <w:rsid w:val="009E644E"/>
    <w:rsid w:val="009E6816"/>
    <w:rsid w:val="009E7140"/>
    <w:rsid w:val="009E7929"/>
    <w:rsid w:val="009E7CD9"/>
    <w:rsid w:val="009F1A55"/>
    <w:rsid w:val="009F2C23"/>
    <w:rsid w:val="009F2EBA"/>
    <w:rsid w:val="009F42E7"/>
    <w:rsid w:val="00A00C08"/>
    <w:rsid w:val="00A01ABF"/>
    <w:rsid w:val="00A03D0B"/>
    <w:rsid w:val="00A05091"/>
    <w:rsid w:val="00A05B16"/>
    <w:rsid w:val="00A074C9"/>
    <w:rsid w:val="00A10493"/>
    <w:rsid w:val="00A12EDA"/>
    <w:rsid w:val="00A132D6"/>
    <w:rsid w:val="00A1413C"/>
    <w:rsid w:val="00A1508A"/>
    <w:rsid w:val="00A16672"/>
    <w:rsid w:val="00A16A85"/>
    <w:rsid w:val="00A16D71"/>
    <w:rsid w:val="00A17104"/>
    <w:rsid w:val="00A20C28"/>
    <w:rsid w:val="00A22801"/>
    <w:rsid w:val="00A24E3D"/>
    <w:rsid w:val="00A32348"/>
    <w:rsid w:val="00A33EAD"/>
    <w:rsid w:val="00A353F5"/>
    <w:rsid w:val="00A36543"/>
    <w:rsid w:val="00A40FAF"/>
    <w:rsid w:val="00A420BE"/>
    <w:rsid w:val="00A4325A"/>
    <w:rsid w:val="00A43977"/>
    <w:rsid w:val="00A43A63"/>
    <w:rsid w:val="00A43CFD"/>
    <w:rsid w:val="00A43D19"/>
    <w:rsid w:val="00A515C0"/>
    <w:rsid w:val="00A52D05"/>
    <w:rsid w:val="00A61308"/>
    <w:rsid w:val="00A6142F"/>
    <w:rsid w:val="00A63F82"/>
    <w:rsid w:val="00A6405E"/>
    <w:rsid w:val="00A64A80"/>
    <w:rsid w:val="00A651FB"/>
    <w:rsid w:val="00A701B2"/>
    <w:rsid w:val="00A70B50"/>
    <w:rsid w:val="00A70D9D"/>
    <w:rsid w:val="00A70EF9"/>
    <w:rsid w:val="00A712C9"/>
    <w:rsid w:val="00A71A02"/>
    <w:rsid w:val="00A73BF4"/>
    <w:rsid w:val="00A7631D"/>
    <w:rsid w:val="00A769FC"/>
    <w:rsid w:val="00A8049D"/>
    <w:rsid w:val="00A810A9"/>
    <w:rsid w:val="00A829C9"/>
    <w:rsid w:val="00A8512B"/>
    <w:rsid w:val="00A948C4"/>
    <w:rsid w:val="00A97E47"/>
    <w:rsid w:val="00A97E95"/>
    <w:rsid w:val="00AA1FEA"/>
    <w:rsid w:val="00AA3647"/>
    <w:rsid w:val="00AA550C"/>
    <w:rsid w:val="00AB0CEA"/>
    <w:rsid w:val="00AB21A2"/>
    <w:rsid w:val="00AB27FF"/>
    <w:rsid w:val="00AB3080"/>
    <w:rsid w:val="00AB30BF"/>
    <w:rsid w:val="00AB5773"/>
    <w:rsid w:val="00AB7488"/>
    <w:rsid w:val="00AC0AD2"/>
    <w:rsid w:val="00AC0EAA"/>
    <w:rsid w:val="00AC2178"/>
    <w:rsid w:val="00AC3043"/>
    <w:rsid w:val="00AD2E63"/>
    <w:rsid w:val="00AD303E"/>
    <w:rsid w:val="00AE3C79"/>
    <w:rsid w:val="00AE42AC"/>
    <w:rsid w:val="00AE516C"/>
    <w:rsid w:val="00AE5238"/>
    <w:rsid w:val="00AE7193"/>
    <w:rsid w:val="00AF011C"/>
    <w:rsid w:val="00AF14D5"/>
    <w:rsid w:val="00AF3DA0"/>
    <w:rsid w:val="00AF5443"/>
    <w:rsid w:val="00AF6D34"/>
    <w:rsid w:val="00AF7886"/>
    <w:rsid w:val="00B00A12"/>
    <w:rsid w:val="00B022B7"/>
    <w:rsid w:val="00B03B5B"/>
    <w:rsid w:val="00B04811"/>
    <w:rsid w:val="00B10354"/>
    <w:rsid w:val="00B121E4"/>
    <w:rsid w:val="00B13BF6"/>
    <w:rsid w:val="00B23563"/>
    <w:rsid w:val="00B24EB4"/>
    <w:rsid w:val="00B25268"/>
    <w:rsid w:val="00B311DE"/>
    <w:rsid w:val="00B3236F"/>
    <w:rsid w:val="00B32E73"/>
    <w:rsid w:val="00B347D7"/>
    <w:rsid w:val="00B35478"/>
    <w:rsid w:val="00B35A8D"/>
    <w:rsid w:val="00B35E95"/>
    <w:rsid w:val="00B37A0A"/>
    <w:rsid w:val="00B37AC5"/>
    <w:rsid w:val="00B41639"/>
    <w:rsid w:val="00B449AE"/>
    <w:rsid w:val="00B50DCB"/>
    <w:rsid w:val="00B52EA2"/>
    <w:rsid w:val="00B5469B"/>
    <w:rsid w:val="00B55ED6"/>
    <w:rsid w:val="00B5609C"/>
    <w:rsid w:val="00B602A4"/>
    <w:rsid w:val="00B62D7D"/>
    <w:rsid w:val="00B6564C"/>
    <w:rsid w:val="00B70ED1"/>
    <w:rsid w:val="00B72F23"/>
    <w:rsid w:val="00B730A0"/>
    <w:rsid w:val="00B745F5"/>
    <w:rsid w:val="00B76B09"/>
    <w:rsid w:val="00B80658"/>
    <w:rsid w:val="00B8253C"/>
    <w:rsid w:val="00B8279F"/>
    <w:rsid w:val="00B83853"/>
    <w:rsid w:val="00B84ED5"/>
    <w:rsid w:val="00B85593"/>
    <w:rsid w:val="00B86F31"/>
    <w:rsid w:val="00B906C5"/>
    <w:rsid w:val="00B91768"/>
    <w:rsid w:val="00B92C79"/>
    <w:rsid w:val="00B92E75"/>
    <w:rsid w:val="00B9421C"/>
    <w:rsid w:val="00B94AAE"/>
    <w:rsid w:val="00B94F5E"/>
    <w:rsid w:val="00B977B1"/>
    <w:rsid w:val="00BA0E50"/>
    <w:rsid w:val="00BA3006"/>
    <w:rsid w:val="00BA3208"/>
    <w:rsid w:val="00BA43E5"/>
    <w:rsid w:val="00BA5274"/>
    <w:rsid w:val="00BA6F96"/>
    <w:rsid w:val="00BA6FD2"/>
    <w:rsid w:val="00BA7C14"/>
    <w:rsid w:val="00BB0488"/>
    <w:rsid w:val="00BB5C58"/>
    <w:rsid w:val="00BC0D82"/>
    <w:rsid w:val="00BC4F9D"/>
    <w:rsid w:val="00BD1D2C"/>
    <w:rsid w:val="00BD2506"/>
    <w:rsid w:val="00BD280A"/>
    <w:rsid w:val="00BD32C9"/>
    <w:rsid w:val="00BD5522"/>
    <w:rsid w:val="00BD75D6"/>
    <w:rsid w:val="00BE1BD1"/>
    <w:rsid w:val="00BE203E"/>
    <w:rsid w:val="00BE551C"/>
    <w:rsid w:val="00BE6E5C"/>
    <w:rsid w:val="00BF2B9F"/>
    <w:rsid w:val="00BF7B63"/>
    <w:rsid w:val="00C0053E"/>
    <w:rsid w:val="00C02524"/>
    <w:rsid w:val="00C045C3"/>
    <w:rsid w:val="00C04D54"/>
    <w:rsid w:val="00C0573C"/>
    <w:rsid w:val="00C05861"/>
    <w:rsid w:val="00C06595"/>
    <w:rsid w:val="00C1010B"/>
    <w:rsid w:val="00C12906"/>
    <w:rsid w:val="00C13FB1"/>
    <w:rsid w:val="00C14A14"/>
    <w:rsid w:val="00C20784"/>
    <w:rsid w:val="00C24255"/>
    <w:rsid w:val="00C24781"/>
    <w:rsid w:val="00C25C27"/>
    <w:rsid w:val="00C275C3"/>
    <w:rsid w:val="00C31F31"/>
    <w:rsid w:val="00C320AC"/>
    <w:rsid w:val="00C33FA2"/>
    <w:rsid w:val="00C361DA"/>
    <w:rsid w:val="00C36BC8"/>
    <w:rsid w:val="00C40984"/>
    <w:rsid w:val="00C41441"/>
    <w:rsid w:val="00C41CE0"/>
    <w:rsid w:val="00C42417"/>
    <w:rsid w:val="00C424C1"/>
    <w:rsid w:val="00C429B7"/>
    <w:rsid w:val="00C4365F"/>
    <w:rsid w:val="00C44B14"/>
    <w:rsid w:val="00C50729"/>
    <w:rsid w:val="00C507A6"/>
    <w:rsid w:val="00C5101C"/>
    <w:rsid w:val="00C516FE"/>
    <w:rsid w:val="00C529A7"/>
    <w:rsid w:val="00C5744F"/>
    <w:rsid w:val="00C57CAF"/>
    <w:rsid w:val="00C60EF9"/>
    <w:rsid w:val="00C63500"/>
    <w:rsid w:val="00C66E7A"/>
    <w:rsid w:val="00C71C39"/>
    <w:rsid w:val="00C7293D"/>
    <w:rsid w:val="00C7363A"/>
    <w:rsid w:val="00C762A2"/>
    <w:rsid w:val="00C77381"/>
    <w:rsid w:val="00C81CD6"/>
    <w:rsid w:val="00C82659"/>
    <w:rsid w:val="00C86A87"/>
    <w:rsid w:val="00C86DC8"/>
    <w:rsid w:val="00C86DF6"/>
    <w:rsid w:val="00C8788E"/>
    <w:rsid w:val="00C93F0A"/>
    <w:rsid w:val="00C94697"/>
    <w:rsid w:val="00C95D4F"/>
    <w:rsid w:val="00C97195"/>
    <w:rsid w:val="00C9739E"/>
    <w:rsid w:val="00C97EC9"/>
    <w:rsid w:val="00CA33F5"/>
    <w:rsid w:val="00CA4070"/>
    <w:rsid w:val="00CA4A5C"/>
    <w:rsid w:val="00CA5EDD"/>
    <w:rsid w:val="00CA6621"/>
    <w:rsid w:val="00CA666C"/>
    <w:rsid w:val="00CB0E0D"/>
    <w:rsid w:val="00CB284F"/>
    <w:rsid w:val="00CB44E6"/>
    <w:rsid w:val="00CB71FE"/>
    <w:rsid w:val="00CB78DF"/>
    <w:rsid w:val="00CB7AE6"/>
    <w:rsid w:val="00CC5914"/>
    <w:rsid w:val="00CC5E98"/>
    <w:rsid w:val="00CC6757"/>
    <w:rsid w:val="00CC7C63"/>
    <w:rsid w:val="00CD049D"/>
    <w:rsid w:val="00CD0525"/>
    <w:rsid w:val="00CD3667"/>
    <w:rsid w:val="00CD37F0"/>
    <w:rsid w:val="00CE49D1"/>
    <w:rsid w:val="00CE57C1"/>
    <w:rsid w:val="00CE58AB"/>
    <w:rsid w:val="00CE5D04"/>
    <w:rsid w:val="00CF00FC"/>
    <w:rsid w:val="00CF4756"/>
    <w:rsid w:val="00CF492A"/>
    <w:rsid w:val="00CF4B68"/>
    <w:rsid w:val="00CF79A0"/>
    <w:rsid w:val="00D03EB2"/>
    <w:rsid w:val="00D05F77"/>
    <w:rsid w:val="00D0681E"/>
    <w:rsid w:val="00D07882"/>
    <w:rsid w:val="00D07B19"/>
    <w:rsid w:val="00D11B5C"/>
    <w:rsid w:val="00D12B0D"/>
    <w:rsid w:val="00D13EDA"/>
    <w:rsid w:val="00D14F05"/>
    <w:rsid w:val="00D24630"/>
    <w:rsid w:val="00D3127D"/>
    <w:rsid w:val="00D31309"/>
    <w:rsid w:val="00D31D54"/>
    <w:rsid w:val="00D323FA"/>
    <w:rsid w:val="00D34194"/>
    <w:rsid w:val="00D36943"/>
    <w:rsid w:val="00D47E8A"/>
    <w:rsid w:val="00D5003E"/>
    <w:rsid w:val="00D500EA"/>
    <w:rsid w:val="00D5042F"/>
    <w:rsid w:val="00D5114D"/>
    <w:rsid w:val="00D511DB"/>
    <w:rsid w:val="00D51BD6"/>
    <w:rsid w:val="00D54A1C"/>
    <w:rsid w:val="00D62467"/>
    <w:rsid w:val="00D63047"/>
    <w:rsid w:val="00D63759"/>
    <w:rsid w:val="00D64354"/>
    <w:rsid w:val="00D64BE7"/>
    <w:rsid w:val="00D6530A"/>
    <w:rsid w:val="00D6657A"/>
    <w:rsid w:val="00D67F49"/>
    <w:rsid w:val="00D70A42"/>
    <w:rsid w:val="00D71178"/>
    <w:rsid w:val="00D75846"/>
    <w:rsid w:val="00D75F4E"/>
    <w:rsid w:val="00D76B69"/>
    <w:rsid w:val="00D77A0C"/>
    <w:rsid w:val="00D81886"/>
    <w:rsid w:val="00D829BB"/>
    <w:rsid w:val="00D82BE9"/>
    <w:rsid w:val="00D83914"/>
    <w:rsid w:val="00D842CE"/>
    <w:rsid w:val="00D84763"/>
    <w:rsid w:val="00D85283"/>
    <w:rsid w:val="00D865A2"/>
    <w:rsid w:val="00D871E5"/>
    <w:rsid w:val="00D87AB2"/>
    <w:rsid w:val="00D87C58"/>
    <w:rsid w:val="00D939AB"/>
    <w:rsid w:val="00D941E1"/>
    <w:rsid w:val="00D95890"/>
    <w:rsid w:val="00DA0FE5"/>
    <w:rsid w:val="00DA2BF3"/>
    <w:rsid w:val="00DA378E"/>
    <w:rsid w:val="00DA3B67"/>
    <w:rsid w:val="00DA42A8"/>
    <w:rsid w:val="00DA60AC"/>
    <w:rsid w:val="00DA64B9"/>
    <w:rsid w:val="00DB0016"/>
    <w:rsid w:val="00DB06BF"/>
    <w:rsid w:val="00DB1290"/>
    <w:rsid w:val="00DB1861"/>
    <w:rsid w:val="00DB223F"/>
    <w:rsid w:val="00DB25E6"/>
    <w:rsid w:val="00DB2CB9"/>
    <w:rsid w:val="00DB49AB"/>
    <w:rsid w:val="00DB7A52"/>
    <w:rsid w:val="00DC39B8"/>
    <w:rsid w:val="00DC4552"/>
    <w:rsid w:val="00DC601F"/>
    <w:rsid w:val="00DC6E8D"/>
    <w:rsid w:val="00DD1DB4"/>
    <w:rsid w:val="00DD4045"/>
    <w:rsid w:val="00DD5864"/>
    <w:rsid w:val="00DD7859"/>
    <w:rsid w:val="00DD7861"/>
    <w:rsid w:val="00DD7D71"/>
    <w:rsid w:val="00DD7E57"/>
    <w:rsid w:val="00DE066F"/>
    <w:rsid w:val="00DE4D13"/>
    <w:rsid w:val="00DE60DE"/>
    <w:rsid w:val="00DE6A78"/>
    <w:rsid w:val="00DF0DF3"/>
    <w:rsid w:val="00DF1203"/>
    <w:rsid w:val="00DF3947"/>
    <w:rsid w:val="00DF4625"/>
    <w:rsid w:val="00DF6813"/>
    <w:rsid w:val="00DF6A36"/>
    <w:rsid w:val="00E0287C"/>
    <w:rsid w:val="00E02B8D"/>
    <w:rsid w:val="00E03CAF"/>
    <w:rsid w:val="00E067AF"/>
    <w:rsid w:val="00E07DE4"/>
    <w:rsid w:val="00E128C8"/>
    <w:rsid w:val="00E14695"/>
    <w:rsid w:val="00E157BD"/>
    <w:rsid w:val="00E17608"/>
    <w:rsid w:val="00E24786"/>
    <w:rsid w:val="00E25B5E"/>
    <w:rsid w:val="00E27127"/>
    <w:rsid w:val="00E27D9B"/>
    <w:rsid w:val="00E30119"/>
    <w:rsid w:val="00E32017"/>
    <w:rsid w:val="00E33816"/>
    <w:rsid w:val="00E34C69"/>
    <w:rsid w:val="00E36CB9"/>
    <w:rsid w:val="00E3776F"/>
    <w:rsid w:val="00E4531A"/>
    <w:rsid w:val="00E464FB"/>
    <w:rsid w:val="00E465EF"/>
    <w:rsid w:val="00E516CE"/>
    <w:rsid w:val="00E53C73"/>
    <w:rsid w:val="00E53DBC"/>
    <w:rsid w:val="00E5597E"/>
    <w:rsid w:val="00E55EA1"/>
    <w:rsid w:val="00E6199B"/>
    <w:rsid w:val="00E63379"/>
    <w:rsid w:val="00E65576"/>
    <w:rsid w:val="00E66CDA"/>
    <w:rsid w:val="00E70875"/>
    <w:rsid w:val="00E711AA"/>
    <w:rsid w:val="00E71885"/>
    <w:rsid w:val="00E728B1"/>
    <w:rsid w:val="00E73431"/>
    <w:rsid w:val="00E75186"/>
    <w:rsid w:val="00E752D6"/>
    <w:rsid w:val="00E75FD0"/>
    <w:rsid w:val="00E76201"/>
    <w:rsid w:val="00E7631B"/>
    <w:rsid w:val="00E76945"/>
    <w:rsid w:val="00E76C19"/>
    <w:rsid w:val="00E80DDA"/>
    <w:rsid w:val="00E82092"/>
    <w:rsid w:val="00E82352"/>
    <w:rsid w:val="00E83154"/>
    <w:rsid w:val="00E83C71"/>
    <w:rsid w:val="00E84A59"/>
    <w:rsid w:val="00E9008F"/>
    <w:rsid w:val="00E910F9"/>
    <w:rsid w:val="00E92B5A"/>
    <w:rsid w:val="00E97431"/>
    <w:rsid w:val="00EA0FF4"/>
    <w:rsid w:val="00EA1EBB"/>
    <w:rsid w:val="00EA6007"/>
    <w:rsid w:val="00EA6354"/>
    <w:rsid w:val="00EB20F4"/>
    <w:rsid w:val="00EB4A97"/>
    <w:rsid w:val="00EB616E"/>
    <w:rsid w:val="00EB6C7E"/>
    <w:rsid w:val="00EC17EC"/>
    <w:rsid w:val="00EC1D40"/>
    <w:rsid w:val="00EC55C2"/>
    <w:rsid w:val="00EC67E4"/>
    <w:rsid w:val="00EC722E"/>
    <w:rsid w:val="00ED04AC"/>
    <w:rsid w:val="00ED179B"/>
    <w:rsid w:val="00ED31CC"/>
    <w:rsid w:val="00ED3743"/>
    <w:rsid w:val="00ED3870"/>
    <w:rsid w:val="00EE21E5"/>
    <w:rsid w:val="00EE2BEA"/>
    <w:rsid w:val="00EE3535"/>
    <w:rsid w:val="00EE4B18"/>
    <w:rsid w:val="00EE4E40"/>
    <w:rsid w:val="00EE599D"/>
    <w:rsid w:val="00EE622B"/>
    <w:rsid w:val="00EF1034"/>
    <w:rsid w:val="00EF14DF"/>
    <w:rsid w:val="00EF42BF"/>
    <w:rsid w:val="00EF514D"/>
    <w:rsid w:val="00F0046C"/>
    <w:rsid w:val="00F0113B"/>
    <w:rsid w:val="00F0197B"/>
    <w:rsid w:val="00F03EEB"/>
    <w:rsid w:val="00F05320"/>
    <w:rsid w:val="00F056BF"/>
    <w:rsid w:val="00F069A3"/>
    <w:rsid w:val="00F077FB"/>
    <w:rsid w:val="00F07C14"/>
    <w:rsid w:val="00F106AA"/>
    <w:rsid w:val="00F12A5C"/>
    <w:rsid w:val="00F14082"/>
    <w:rsid w:val="00F14B08"/>
    <w:rsid w:val="00F16089"/>
    <w:rsid w:val="00F215E8"/>
    <w:rsid w:val="00F22CF8"/>
    <w:rsid w:val="00F249CD"/>
    <w:rsid w:val="00F24B0C"/>
    <w:rsid w:val="00F24F96"/>
    <w:rsid w:val="00F24FFD"/>
    <w:rsid w:val="00F259D9"/>
    <w:rsid w:val="00F263DA"/>
    <w:rsid w:val="00F3005D"/>
    <w:rsid w:val="00F30B8A"/>
    <w:rsid w:val="00F31CD6"/>
    <w:rsid w:val="00F320EB"/>
    <w:rsid w:val="00F33334"/>
    <w:rsid w:val="00F33805"/>
    <w:rsid w:val="00F33F32"/>
    <w:rsid w:val="00F36260"/>
    <w:rsid w:val="00F36462"/>
    <w:rsid w:val="00F40BEB"/>
    <w:rsid w:val="00F42F0F"/>
    <w:rsid w:val="00F43ADA"/>
    <w:rsid w:val="00F444A1"/>
    <w:rsid w:val="00F44701"/>
    <w:rsid w:val="00F45075"/>
    <w:rsid w:val="00F4559C"/>
    <w:rsid w:val="00F4573F"/>
    <w:rsid w:val="00F47CF9"/>
    <w:rsid w:val="00F516F9"/>
    <w:rsid w:val="00F51842"/>
    <w:rsid w:val="00F540DE"/>
    <w:rsid w:val="00F573BB"/>
    <w:rsid w:val="00F6029E"/>
    <w:rsid w:val="00F607F6"/>
    <w:rsid w:val="00F62388"/>
    <w:rsid w:val="00F62545"/>
    <w:rsid w:val="00F63948"/>
    <w:rsid w:val="00F63DAA"/>
    <w:rsid w:val="00F6462C"/>
    <w:rsid w:val="00F64A84"/>
    <w:rsid w:val="00F6782E"/>
    <w:rsid w:val="00F67CAC"/>
    <w:rsid w:val="00F71158"/>
    <w:rsid w:val="00F72BF4"/>
    <w:rsid w:val="00F742B4"/>
    <w:rsid w:val="00F760C1"/>
    <w:rsid w:val="00F76C24"/>
    <w:rsid w:val="00F83302"/>
    <w:rsid w:val="00F86504"/>
    <w:rsid w:val="00F902A0"/>
    <w:rsid w:val="00F918A3"/>
    <w:rsid w:val="00F936F1"/>
    <w:rsid w:val="00F93B13"/>
    <w:rsid w:val="00F93DAA"/>
    <w:rsid w:val="00F94F0C"/>
    <w:rsid w:val="00F95D05"/>
    <w:rsid w:val="00F966FB"/>
    <w:rsid w:val="00F977F6"/>
    <w:rsid w:val="00F97A39"/>
    <w:rsid w:val="00FA04B8"/>
    <w:rsid w:val="00FA3D7E"/>
    <w:rsid w:val="00FA64D7"/>
    <w:rsid w:val="00FA6BFF"/>
    <w:rsid w:val="00FA7838"/>
    <w:rsid w:val="00FB2FD0"/>
    <w:rsid w:val="00FB328D"/>
    <w:rsid w:val="00FB353C"/>
    <w:rsid w:val="00FB4F06"/>
    <w:rsid w:val="00FB53AA"/>
    <w:rsid w:val="00FB54D5"/>
    <w:rsid w:val="00FC053D"/>
    <w:rsid w:val="00FC0B23"/>
    <w:rsid w:val="00FC1C5B"/>
    <w:rsid w:val="00FC48E2"/>
    <w:rsid w:val="00FC4AAB"/>
    <w:rsid w:val="00FC4AFB"/>
    <w:rsid w:val="00FC5CD8"/>
    <w:rsid w:val="00FC5E53"/>
    <w:rsid w:val="00FC6C9B"/>
    <w:rsid w:val="00FC7B7F"/>
    <w:rsid w:val="00FD0150"/>
    <w:rsid w:val="00FD04E3"/>
    <w:rsid w:val="00FD2F8C"/>
    <w:rsid w:val="00FD54FD"/>
    <w:rsid w:val="00FD6F74"/>
    <w:rsid w:val="00FD7AA4"/>
    <w:rsid w:val="00FE01BC"/>
    <w:rsid w:val="00FE03EC"/>
    <w:rsid w:val="00FE3032"/>
    <w:rsid w:val="00FE3ED1"/>
    <w:rsid w:val="00FE77FD"/>
    <w:rsid w:val="00FF1DCC"/>
    <w:rsid w:val="00FF35F2"/>
    <w:rsid w:val="00FF5874"/>
    <w:rsid w:val="00FF625A"/>
    <w:rsid w:val="034468BB"/>
    <w:rsid w:val="0A01A8B1"/>
    <w:rsid w:val="1304D656"/>
    <w:rsid w:val="17E502C6"/>
    <w:rsid w:val="18C18A23"/>
    <w:rsid w:val="2502D03D"/>
    <w:rsid w:val="2A224E29"/>
    <w:rsid w:val="2F9AE1EB"/>
    <w:rsid w:val="380D90F3"/>
    <w:rsid w:val="38DC186D"/>
    <w:rsid w:val="3A48FE55"/>
    <w:rsid w:val="3AAE1C78"/>
    <w:rsid w:val="3E189ECE"/>
    <w:rsid w:val="4ACCC132"/>
    <w:rsid w:val="5205CD75"/>
    <w:rsid w:val="589E36A5"/>
    <w:rsid w:val="5F7D1084"/>
    <w:rsid w:val="68FD3CBF"/>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C8D2C"/>
  <w15:chartTrackingRefBased/>
  <w15:docId w15:val="{E6EF7FFB-5F7D-4FE2-8468-501913001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3A9"/>
    <w:pPr>
      <w:spacing w:line="264" w:lineRule="auto"/>
    </w:pPr>
    <w:rPr>
      <w:rFonts w:ascii="Arial" w:hAnsi="Arial"/>
      <w:sz w:val="20"/>
      <w:lang w:val="en-US"/>
    </w:rPr>
  </w:style>
  <w:style w:type="paragraph" w:styleId="Heading1">
    <w:name w:val="heading 1"/>
    <w:next w:val="Normal"/>
    <w:link w:val="Heading1Char"/>
    <w:qFormat/>
    <w:rsid w:val="00D31D54"/>
    <w:pPr>
      <w:keepNext/>
      <w:pageBreakBefore/>
      <w:numPr>
        <w:numId w:val="10"/>
      </w:numPr>
      <w:spacing w:before="480" w:after="360" w:line="264" w:lineRule="auto"/>
      <w:outlineLvl w:val="0"/>
    </w:pPr>
    <w:rPr>
      <w:rFonts w:ascii="Georgia" w:eastAsia="Times New Roman" w:hAnsi="Georgia" w:cs="Arial"/>
      <w:bCs/>
      <w:color w:val="0072BC"/>
      <w:kern w:val="32"/>
      <w:sz w:val="40"/>
      <w:szCs w:val="40"/>
      <w:lang w:val="en-US"/>
      <w14:ligatures w14:val="none"/>
    </w:rPr>
  </w:style>
  <w:style w:type="paragraph" w:styleId="Heading2">
    <w:name w:val="heading 2"/>
    <w:basedOn w:val="Heading1"/>
    <w:next w:val="Normal"/>
    <w:link w:val="Heading2Char"/>
    <w:unhideWhenUsed/>
    <w:qFormat/>
    <w:rsid w:val="008923D1"/>
    <w:pPr>
      <w:pageBreakBefore w:val="0"/>
      <w:numPr>
        <w:ilvl w:val="1"/>
      </w:numPr>
      <w:tabs>
        <w:tab w:val="clear" w:pos="1275"/>
        <w:tab w:val="num" w:pos="850"/>
      </w:tabs>
      <w:spacing w:before="360" w:after="120"/>
      <w:ind w:left="850"/>
      <w:outlineLvl w:val="1"/>
    </w:pPr>
    <w:rPr>
      <w:rFonts w:asciiTheme="majorHAnsi" w:hAnsiTheme="majorHAnsi"/>
      <w:b/>
      <w:iCs/>
      <w:color w:val="2E404D" w:themeColor="text2"/>
      <w:kern w:val="24"/>
      <w:sz w:val="28"/>
      <w:szCs w:val="22"/>
    </w:rPr>
  </w:style>
  <w:style w:type="paragraph" w:styleId="Heading3">
    <w:name w:val="heading 3"/>
    <w:basedOn w:val="Heading2"/>
    <w:next w:val="Normal"/>
    <w:link w:val="Heading3Char"/>
    <w:unhideWhenUsed/>
    <w:qFormat/>
    <w:rsid w:val="00D31D54"/>
    <w:pPr>
      <w:numPr>
        <w:ilvl w:val="2"/>
      </w:numPr>
      <w:outlineLvl w:val="2"/>
    </w:pPr>
    <w:rPr>
      <w:b w:val="0"/>
      <w:bCs w:val="0"/>
      <w:iCs w:val="0"/>
      <w:kern w:val="22"/>
    </w:rPr>
  </w:style>
  <w:style w:type="paragraph" w:styleId="Heading4">
    <w:name w:val="heading 4"/>
    <w:basedOn w:val="Heading3"/>
    <w:next w:val="Normal"/>
    <w:link w:val="Heading4Char"/>
    <w:unhideWhenUsed/>
    <w:qFormat/>
    <w:rsid w:val="00DB7A52"/>
    <w:pPr>
      <w:numPr>
        <w:ilvl w:val="3"/>
      </w:numPr>
      <w:spacing w:before="240"/>
      <w:outlineLvl w:val="3"/>
    </w:pPr>
    <w:rPr>
      <w:iCs/>
      <w:kern w:val="20"/>
      <w:sz w:val="24"/>
    </w:rPr>
  </w:style>
  <w:style w:type="paragraph" w:styleId="Heading5">
    <w:name w:val="heading 5"/>
    <w:basedOn w:val="Heading4"/>
    <w:next w:val="Normal"/>
    <w:link w:val="Heading5Char"/>
    <w:unhideWhenUsed/>
    <w:qFormat/>
    <w:rsid w:val="00DB7A52"/>
    <w:pPr>
      <w:numPr>
        <w:ilvl w:val="4"/>
      </w:numPr>
      <w:tabs>
        <w:tab w:val="clear" w:pos="850"/>
      </w:tabs>
      <w:ind w:left="990" w:hanging="990"/>
      <w:outlineLvl w:val="4"/>
    </w:pPr>
    <w:rPr>
      <w:bCs/>
      <w:iCs w:val="0"/>
    </w:rPr>
  </w:style>
  <w:style w:type="paragraph" w:styleId="Heading6">
    <w:name w:val="heading 6"/>
    <w:basedOn w:val="Heading5"/>
    <w:next w:val="Normal"/>
    <w:link w:val="Heading6Char"/>
    <w:uiPriority w:val="99"/>
    <w:unhideWhenUsed/>
    <w:qFormat/>
    <w:rsid w:val="00AE3C79"/>
    <w:pPr>
      <w:numPr>
        <w:ilvl w:val="5"/>
        <w:numId w:val="0"/>
      </w:numPr>
      <w:outlineLvl w:val="5"/>
    </w:pPr>
    <w:rPr>
      <w:b/>
      <w:bCs w:val="0"/>
      <w:sz w:val="22"/>
    </w:rPr>
  </w:style>
  <w:style w:type="paragraph" w:styleId="Heading7">
    <w:name w:val="heading 7"/>
    <w:basedOn w:val="Heading6"/>
    <w:next w:val="Normal"/>
    <w:link w:val="Heading7Char"/>
    <w:uiPriority w:val="99"/>
    <w:unhideWhenUsed/>
    <w:rsid w:val="00AE3C79"/>
    <w:pPr>
      <w:numPr>
        <w:ilvl w:val="6"/>
      </w:numPr>
      <w:outlineLvl w:val="6"/>
    </w:pPr>
    <w:rPr>
      <w:b w:val="0"/>
    </w:rPr>
  </w:style>
  <w:style w:type="paragraph" w:styleId="Heading8">
    <w:name w:val="heading 8"/>
    <w:basedOn w:val="Heading7"/>
    <w:next w:val="Normal"/>
    <w:link w:val="Heading8Char"/>
    <w:uiPriority w:val="99"/>
    <w:unhideWhenUsed/>
    <w:rsid w:val="00AE3C79"/>
    <w:pPr>
      <w:numPr>
        <w:ilvl w:val="7"/>
      </w:numPr>
      <w:outlineLvl w:val="7"/>
    </w:pPr>
    <w:rPr>
      <w:b/>
      <w:iCs/>
      <w:sz w:val="21"/>
    </w:rPr>
  </w:style>
  <w:style w:type="paragraph" w:styleId="Heading9">
    <w:name w:val="heading 9"/>
    <w:basedOn w:val="Heading8"/>
    <w:next w:val="Normal"/>
    <w:link w:val="Heading9Char"/>
    <w:uiPriority w:val="99"/>
    <w:unhideWhenUsed/>
    <w:rsid w:val="00AE3C79"/>
    <w:pPr>
      <w:numPr>
        <w:ilvl w:val="8"/>
      </w:numPr>
      <w:outlineLvl w:val="8"/>
    </w:pPr>
    <w:rPr>
      <w:b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F66EC"/>
    <w:pPr>
      <w:contextualSpacing/>
    </w:pPr>
    <w:rPr>
      <w:color w:val="070F26" w:themeColor="background1"/>
    </w:rPr>
  </w:style>
  <w:style w:type="character" w:customStyle="1" w:styleId="Heading1Char">
    <w:name w:val="Heading 1 Char"/>
    <w:basedOn w:val="DefaultParagraphFont"/>
    <w:link w:val="Heading1"/>
    <w:rsid w:val="00D31D54"/>
    <w:rPr>
      <w:rFonts w:ascii="Georgia" w:eastAsia="Times New Roman" w:hAnsi="Georgia" w:cs="Arial"/>
      <w:bCs/>
      <w:color w:val="0072BC"/>
      <w:kern w:val="32"/>
      <w:sz w:val="40"/>
      <w:szCs w:val="40"/>
      <w:lang w:val="en-US"/>
      <w14:ligatures w14:val="none"/>
    </w:rPr>
  </w:style>
  <w:style w:type="paragraph" w:styleId="Header">
    <w:name w:val="header"/>
    <w:basedOn w:val="Normal"/>
    <w:link w:val="HeaderChar"/>
    <w:uiPriority w:val="99"/>
    <w:unhideWhenUsed/>
    <w:rsid w:val="00AE3C79"/>
    <w:pPr>
      <w:tabs>
        <w:tab w:val="center" w:pos="4513"/>
        <w:tab w:val="right" w:pos="9026"/>
      </w:tabs>
      <w:ind w:right="2835"/>
    </w:pPr>
    <w:rPr>
      <w:sz w:val="16"/>
    </w:rPr>
  </w:style>
  <w:style w:type="character" w:customStyle="1" w:styleId="HeaderChar">
    <w:name w:val="Header Char"/>
    <w:basedOn w:val="DefaultParagraphFont"/>
    <w:link w:val="Header"/>
    <w:uiPriority w:val="99"/>
    <w:rsid w:val="00AE3C79"/>
    <w:rPr>
      <w:rFonts w:ascii="Arial" w:hAnsi="Arial"/>
      <w:sz w:val="16"/>
      <w:lang w:val="en-US"/>
    </w:rPr>
  </w:style>
  <w:style w:type="paragraph" w:styleId="Footer">
    <w:name w:val="footer"/>
    <w:basedOn w:val="Normal"/>
    <w:link w:val="FooterChar"/>
    <w:uiPriority w:val="99"/>
    <w:unhideWhenUsed/>
    <w:rsid w:val="00AE3C79"/>
    <w:pPr>
      <w:tabs>
        <w:tab w:val="center" w:pos="4513"/>
        <w:tab w:val="right" w:pos="9026"/>
      </w:tabs>
    </w:pPr>
    <w:rPr>
      <w:sz w:val="16"/>
    </w:rPr>
  </w:style>
  <w:style w:type="character" w:customStyle="1" w:styleId="FooterChar">
    <w:name w:val="Footer Char"/>
    <w:basedOn w:val="DefaultParagraphFont"/>
    <w:link w:val="Footer"/>
    <w:uiPriority w:val="99"/>
    <w:rsid w:val="00AE3C79"/>
    <w:rPr>
      <w:rFonts w:ascii="Arial" w:hAnsi="Arial"/>
      <w:sz w:val="16"/>
      <w:lang w:val="en-US"/>
    </w:rPr>
  </w:style>
  <w:style w:type="character" w:customStyle="1" w:styleId="Heading2Char">
    <w:name w:val="Heading 2 Char"/>
    <w:basedOn w:val="DefaultParagraphFont"/>
    <w:link w:val="Heading2"/>
    <w:rsid w:val="008923D1"/>
    <w:rPr>
      <w:rFonts w:asciiTheme="majorHAnsi" w:eastAsia="Times New Roman" w:hAnsiTheme="majorHAnsi" w:cs="Arial"/>
      <w:b/>
      <w:bCs/>
      <w:iCs/>
      <w:color w:val="2E404D" w:themeColor="text2"/>
      <w:kern w:val="24"/>
      <w:sz w:val="28"/>
      <w:szCs w:val="22"/>
      <w:lang w:val="en-US"/>
      <w14:ligatures w14:val="none"/>
    </w:rPr>
  </w:style>
  <w:style w:type="character" w:customStyle="1" w:styleId="Heading3Char">
    <w:name w:val="Heading 3 Char"/>
    <w:basedOn w:val="DefaultParagraphFont"/>
    <w:link w:val="Heading3"/>
    <w:rsid w:val="00D31D54"/>
    <w:rPr>
      <w:rFonts w:asciiTheme="majorHAnsi" w:eastAsia="Times New Roman" w:hAnsiTheme="majorHAnsi" w:cs="Arial"/>
      <w:color w:val="2E404D" w:themeColor="text2"/>
      <w:kern w:val="22"/>
      <w:sz w:val="28"/>
      <w:szCs w:val="22"/>
      <w:lang w:val="en-US"/>
      <w14:ligatures w14:val="none"/>
    </w:rPr>
  </w:style>
  <w:style w:type="paragraph" w:customStyle="1" w:styleId="Bullet">
    <w:name w:val="Bullet"/>
    <w:basedOn w:val="Normal"/>
    <w:qFormat/>
    <w:rsid w:val="00CA33F5"/>
    <w:pPr>
      <w:numPr>
        <w:numId w:val="12"/>
      </w:numPr>
      <w:spacing w:before="160" w:after="160"/>
      <w:contextualSpacing/>
    </w:pPr>
    <w:rPr>
      <w:rFonts w:eastAsia="Times New Roman" w:cs="Arial"/>
      <w:color w:val="FFFFFF" w:themeColor="text1"/>
      <w:kern w:val="20"/>
      <w:szCs w:val="20"/>
      <w:lang w:val="en-GB"/>
      <w14:ligatures w14:val="none"/>
    </w:rPr>
  </w:style>
  <w:style w:type="paragraph" w:styleId="NoSpacing">
    <w:name w:val="No Spacing"/>
    <w:uiPriority w:val="1"/>
    <w:qFormat/>
    <w:rsid w:val="00AE3C79"/>
    <w:pPr>
      <w:spacing w:line="264" w:lineRule="auto"/>
    </w:pPr>
    <w:rPr>
      <w:rFonts w:ascii="Arial" w:hAnsi="Arial"/>
      <w:color w:val="FFFFFF" w:themeColor="text1"/>
      <w:sz w:val="20"/>
      <w:lang w:val="en-US"/>
    </w:rPr>
  </w:style>
  <w:style w:type="character" w:customStyle="1" w:styleId="Heading4Char">
    <w:name w:val="Heading 4 Char"/>
    <w:basedOn w:val="DefaultParagraphFont"/>
    <w:link w:val="Heading4"/>
    <w:rsid w:val="00DB7A52"/>
    <w:rPr>
      <w:rFonts w:asciiTheme="majorHAnsi" w:eastAsia="Times New Roman" w:hAnsiTheme="majorHAnsi" w:cs="Arial"/>
      <w:iCs/>
      <w:color w:val="2E404D" w:themeColor="text2"/>
      <w:kern w:val="20"/>
      <w:szCs w:val="22"/>
      <w:lang w:val="en-US"/>
      <w14:ligatures w14:val="none"/>
    </w:rPr>
  </w:style>
  <w:style w:type="table" w:styleId="TableGrid">
    <w:name w:val="Table Grid"/>
    <w:basedOn w:val="TableNormal"/>
    <w:uiPriority w:val="59"/>
    <w:rsid w:val="004611C6"/>
    <w:rPr>
      <w:sz w:val="20"/>
    </w:rPr>
    <w:tblPr>
      <w:tblBorders>
        <w:top w:val="single" w:sz="4" w:space="0" w:color="070F26" w:themeColor="background1"/>
        <w:bottom w:val="single" w:sz="4" w:space="0" w:color="070F26" w:themeColor="background1"/>
        <w:insideH w:val="single" w:sz="4" w:space="0" w:color="070F26" w:themeColor="background1"/>
        <w:insideV w:val="single" w:sz="4" w:space="0" w:color="070F26" w:themeColor="background1"/>
      </w:tblBorders>
      <w:tblCellMar>
        <w:top w:w="85" w:type="dxa"/>
        <w:left w:w="85" w:type="dxa"/>
        <w:bottom w:w="85" w:type="dxa"/>
        <w:right w:w="85" w:type="dxa"/>
      </w:tblCellMar>
    </w:tblPr>
    <w:tcPr>
      <w:shd w:val="clear" w:color="auto" w:fill="auto"/>
    </w:tcPr>
    <w:tblStylePr w:type="firstRow">
      <w:rPr>
        <w:b/>
      </w:rPr>
    </w:tblStylePr>
    <w:tblStylePr w:type="firstCol">
      <w:rPr>
        <w:b/>
      </w:rPr>
    </w:tblStylePr>
  </w:style>
  <w:style w:type="character" w:customStyle="1" w:styleId="Heading5Char">
    <w:name w:val="Heading 5 Char"/>
    <w:basedOn w:val="DefaultParagraphFont"/>
    <w:link w:val="Heading5"/>
    <w:rsid w:val="00DB7A52"/>
    <w:rPr>
      <w:rFonts w:asciiTheme="majorHAnsi" w:eastAsia="Times New Roman" w:hAnsiTheme="majorHAnsi" w:cs="Arial"/>
      <w:bCs/>
      <w:color w:val="2E404D" w:themeColor="text2"/>
      <w:kern w:val="20"/>
      <w:szCs w:val="22"/>
      <w:lang w:val="en-US"/>
      <w14:ligatures w14:val="none"/>
    </w:rPr>
  </w:style>
  <w:style w:type="paragraph" w:styleId="Subtitle">
    <w:name w:val="Subtitle"/>
    <w:basedOn w:val="Normal"/>
    <w:next w:val="Normal"/>
    <w:link w:val="SubtitleChar"/>
    <w:uiPriority w:val="11"/>
    <w:qFormat/>
    <w:rsid w:val="00AE3C79"/>
    <w:pPr>
      <w:spacing w:before="240" w:after="120"/>
    </w:pPr>
    <w:rPr>
      <w:sz w:val="28"/>
      <w:szCs w:val="32"/>
    </w:rPr>
  </w:style>
  <w:style w:type="character" w:customStyle="1" w:styleId="SubtitleChar">
    <w:name w:val="Subtitle Char"/>
    <w:basedOn w:val="DefaultParagraphFont"/>
    <w:link w:val="Subtitle"/>
    <w:uiPriority w:val="11"/>
    <w:rsid w:val="00AE3C79"/>
    <w:rPr>
      <w:rFonts w:ascii="Arial" w:hAnsi="Arial"/>
      <w:sz w:val="28"/>
      <w:szCs w:val="32"/>
      <w:lang w:val="en-US"/>
    </w:rPr>
  </w:style>
  <w:style w:type="paragraph" w:customStyle="1" w:styleId="DocTitle">
    <w:name w:val="Doc Title"/>
    <w:basedOn w:val="Normal"/>
    <w:qFormat/>
    <w:rsid w:val="008923D1"/>
    <w:rPr>
      <w:rFonts w:ascii="Georgia" w:hAnsi="Georgia"/>
      <w:color w:val="0072BC" w:themeColor="background2"/>
      <w:sz w:val="68"/>
      <w:szCs w:val="68"/>
    </w:rPr>
  </w:style>
  <w:style w:type="paragraph" w:customStyle="1" w:styleId="AppendixHeading1">
    <w:name w:val="Appendix Heading 1"/>
    <w:next w:val="Normal"/>
    <w:uiPriority w:val="5"/>
    <w:qFormat/>
    <w:rsid w:val="008923D1"/>
    <w:pPr>
      <w:keepNext/>
      <w:keepLines/>
      <w:pageBreakBefore/>
      <w:numPr>
        <w:numId w:val="11"/>
      </w:numPr>
      <w:tabs>
        <w:tab w:val="left" w:pos="1701"/>
      </w:tabs>
      <w:spacing w:after="360" w:line="264" w:lineRule="auto"/>
      <w:outlineLvl w:val="0"/>
    </w:pPr>
    <w:rPr>
      <w:rFonts w:ascii="Georgia" w:eastAsia="Times New Roman" w:hAnsi="Georgia" w:cs="Arial"/>
      <w:bCs/>
      <w:color w:val="0072BC" w:themeColor="background2"/>
      <w:kern w:val="28"/>
      <w:sz w:val="40"/>
      <w:szCs w:val="20"/>
      <w:lang w:val="en-US"/>
      <w14:ligatures w14:val="none"/>
    </w:rPr>
  </w:style>
  <w:style w:type="paragraph" w:styleId="TOC1">
    <w:name w:val="toc 1"/>
    <w:basedOn w:val="Normal"/>
    <w:next w:val="Normal"/>
    <w:uiPriority w:val="39"/>
    <w:unhideWhenUsed/>
    <w:rsid w:val="00FD04E3"/>
    <w:pPr>
      <w:tabs>
        <w:tab w:val="right" w:leader="dot" w:pos="9628"/>
      </w:tabs>
      <w:spacing w:before="360" w:after="100"/>
      <w:ind w:left="1494" w:hanging="1494"/>
    </w:pPr>
    <w:rPr>
      <w:rFonts w:asciiTheme="minorHAnsi" w:eastAsiaTheme="minorEastAsia" w:hAnsiTheme="minorHAnsi"/>
      <w:b/>
      <w:noProof/>
      <w:color w:val="2E404D" w:themeColor="text2"/>
      <w:sz w:val="22"/>
      <w:szCs w:val="22"/>
      <w:lang w:val="en-ZA" w:eastAsia="en-ZA"/>
    </w:rPr>
  </w:style>
  <w:style w:type="paragraph" w:styleId="TOC2">
    <w:name w:val="toc 2"/>
    <w:basedOn w:val="Normal"/>
    <w:next w:val="Normal"/>
    <w:uiPriority w:val="39"/>
    <w:unhideWhenUsed/>
    <w:rsid w:val="00FD04E3"/>
    <w:pPr>
      <w:tabs>
        <w:tab w:val="right" w:leader="dot" w:pos="9628"/>
      </w:tabs>
      <w:spacing w:before="120" w:after="100"/>
      <w:ind w:left="1485" w:hanging="1485"/>
    </w:pPr>
    <w:rPr>
      <w:rFonts w:asciiTheme="minorHAnsi" w:eastAsiaTheme="minorEastAsia" w:hAnsiTheme="minorHAnsi"/>
      <w:noProof/>
      <w:sz w:val="22"/>
      <w:szCs w:val="22"/>
      <w:lang w:val="en-ZA" w:eastAsia="en-ZA"/>
    </w:rPr>
  </w:style>
  <w:style w:type="character" w:customStyle="1" w:styleId="Heading6Char">
    <w:name w:val="Heading 6 Char"/>
    <w:basedOn w:val="DefaultParagraphFont"/>
    <w:link w:val="Heading6"/>
    <w:uiPriority w:val="99"/>
    <w:rsid w:val="00AE3C79"/>
    <w:rPr>
      <w:rFonts w:asciiTheme="majorHAnsi" w:eastAsia="Times New Roman" w:hAnsiTheme="majorHAnsi" w:cs="Arial"/>
      <w:b/>
      <w:color w:val="00DFED" w:themeColor="accent2"/>
      <w:kern w:val="20"/>
      <w:sz w:val="22"/>
      <w:szCs w:val="22"/>
      <w:lang w:val="en-US"/>
      <w14:ligatures w14:val="none"/>
    </w:rPr>
  </w:style>
  <w:style w:type="character" w:customStyle="1" w:styleId="Heading7Char">
    <w:name w:val="Heading 7 Char"/>
    <w:basedOn w:val="DefaultParagraphFont"/>
    <w:link w:val="Heading7"/>
    <w:uiPriority w:val="99"/>
    <w:rsid w:val="00AE3C79"/>
    <w:rPr>
      <w:rFonts w:asciiTheme="majorHAnsi" w:eastAsia="Times New Roman" w:hAnsiTheme="majorHAnsi" w:cs="Arial"/>
      <w:color w:val="00DFED" w:themeColor="accent2"/>
      <w:kern w:val="20"/>
      <w:sz w:val="22"/>
      <w:szCs w:val="22"/>
      <w:lang w:val="en-US"/>
      <w14:ligatures w14:val="none"/>
    </w:rPr>
  </w:style>
  <w:style w:type="character" w:customStyle="1" w:styleId="Heading8Char">
    <w:name w:val="Heading 8 Char"/>
    <w:basedOn w:val="DefaultParagraphFont"/>
    <w:link w:val="Heading8"/>
    <w:uiPriority w:val="99"/>
    <w:rsid w:val="00AE3C79"/>
    <w:rPr>
      <w:rFonts w:asciiTheme="majorHAnsi" w:eastAsia="Times New Roman" w:hAnsiTheme="majorHAnsi" w:cs="Arial"/>
      <w:b/>
      <w:iCs/>
      <w:color w:val="00DFED" w:themeColor="accent2"/>
      <w:kern w:val="20"/>
      <w:sz w:val="21"/>
      <w:szCs w:val="22"/>
      <w:lang w:val="en-US"/>
      <w14:ligatures w14:val="none"/>
    </w:rPr>
  </w:style>
  <w:style w:type="character" w:customStyle="1" w:styleId="Heading9Char">
    <w:name w:val="Heading 9 Char"/>
    <w:basedOn w:val="DefaultParagraphFont"/>
    <w:link w:val="Heading9"/>
    <w:uiPriority w:val="99"/>
    <w:rsid w:val="00AE3C79"/>
    <w:rPr>
      <w:rFonts w:asciiTheme="majorHAnsi" w:eastAsia="Times New Roman" w:hAnsiTheme="majorHAnsi" w:cs="Arial"/>
      <w:iCs/>
      <w:color w:val="00DFED" w:themeColor="accent2"/>
      <w:kern w:val="20"/>
      <w:sz w:val="21"/>
      <w:szCs w:val="22"/>
      <w:lang w:val="en-US"/>
      <w14:ligatures w14:val="none"/>
    </w:rPr>
  </w:style>
  <w:style w:type="character" w:styleId="Hyperlink">
    <w:name w:val="Hyperlink"/>
    <w:basedOn w:val="DefaultParagraphFont"/>
    <w:uiPriority w:val="99"/>
    <w:unhideWhenUsed/>
    <w:rsid w:val="00AE3C79"/>
    <w:rPr>
      <w:color w:val="005B96" w:themeColor="hyperlink"/>
      <w:u w:val="single"/>
    </w:rPr>
  </w:style>
  <w:style w:type="character" w:styleId="UnresolvedMention">
    <w:name w:val="Unresolved Mention"/>
    <w:basedOn w:val="DefaultParagraphFont"/>
    <w:uiPriority w:val="99"/>
    <w:semiHidden/>
    <w:unhideWhenUsed/>
    <w:rsid w:val="00AE3C79"/>
    <w:rPr>
      <w:color w:val="605E5C"/>
      <w:shd w:val="clear" w:color="auto" w:fill="E1DFDD"/>
    </w:rPr>
  </w:style>
  <w:style w:type="paragraph" w:styleId="TOC3">
    <w:name w:val="toc 3"/>
    <w:basedOn w:val="Normal"/>
    <w:next w:val="Normal"/>
    <w:uiPriority w:val="39"/>
    <w:unhideWhenUsed/>
    <w:rsid w:val="00FD04E3"/>
    <w:pPr>
      <w:tabs>
        <w:tab w:val="right" w:leader="dot" w:pos="9628"/>
      </w:tabs>
      <w:ind w:left="1494" w:hanging="1494"/>
    </w:pPr>
    <w:rPr>
      <w:rFonts w:asciiTheme="minorHAnsi" w:eastAsiaTheme="minorEastAsia" w:hAnsiTheme="minorHAnsi"/>
      <w:noProof/>
      <w:szCs w:val="22"/>
      <w:lang w:val="en-ZA" w:eastAsia="en-ZA"/>
    </w:rPr>
  </w:style>
  <w:style w:type="table" w:customStyle="1" w:styleId="SmartNavytable">
    <w:name w:val="Smart Navy table"/>
    <w:basedOn w:val="TableGrid"/>
    <w:uiPriority w:val="99"/>
    <w:rsid w:val="00F42F0F"/>
    <w:tblPr>
      <w:tblStyleRowBandSize w:val="1"/>
      <w:tblStyleColBandSize w:val="1"/>
      <w:tblBorders>
        <w:top w:val="none" w:sz="0" w:space="0" w:color="auto"/>
        <w:bottom w:val="none" w:sz="0" w:space="0" w:color="auto"/>
        <w:insideH w:val="single" w:sz="4" w:space="0" w:color="030712" w:themeColor="background1" w:themeShade="80"/>
        <w:insideV w:val="single" w:sz="4" w:space="0" w:color="030712" w:themeColor="background1" w:themeShade="80"/>
      </w:tblBorders>
    </w:tblPr>
    <w:trPr>
      <w:cantSplit/>
    </w:trPr>
    <w:tblStylePr w:type="firstRow">
      <w:rPr>
        <w:b/>
        <w:color w:val="FFFFFF" w:themeColor="text1"/>
      </w:rPr>
      <w:tblPr/>
      <w:tcPr>
        <w:shd w:val="clear" w:color="auto" w:fill="2E404D" w:themeFill="text2"/>
      </w:tcPr>
    </w:tblStylePr>
    <w:tblStylePr w:type="lastRow">
      <w:rPr>
        <w:b/>
        <w:color w:val="FFFFFF" w:themeColor="text1"/>
      </w:rPr>
      <w:tblPr/>
      <w:tcPr>
        <w:shd w:val="clear" w:color="auto" w:fill="949494" w:themeFill="accent6"/>
      </w:tcPr>
    </w:tblStylePr>
    <w:tblStylePr w:type="firstCol">
      <w:rPr>
        <w:b/>
        <w:color w:val="FFFFFF" w:themeColor="text1"/>
      </w:rPr>
      <w:tblPr/>
      <w:tcPr>
        <w:shd w:val="clear" w:color="auto" w:fill="2E404D" w:themeFill="text2"/>
      </w:tcPr>
    </w:tblStylePr>
    <w:tblStylePr w:type="lastCol">
      <w:rPr>
        <w:b/>
        <w:color w:val="FFFFFF" w:themeColor="text1"/>
      </w:rPr>
      <w:tblPr/>
      <w:tcPr>
        <w:shd w:val="clear" w:color="auto" w:fill="949494" w:themeFill="accent6"/>
      </w:tcPr>
    </w:tblStylePr>
  </w:style>
  <w:style w:type="paragraph" w:customStyle="1" w:styleId="BulletLevel2">
    <w:name w:val="Bullet Level 2"/>
    <w:basedOn w:val="Normal"/>
    <w:qFormat/>
    <w:rsid w:val="00CA33F5"/>
    <w:pPr>
      <w:numPr>
        <w:ilvl w:val="1"/>
        <w:numId w:val="12"/>
      </w:numPr>
      <w:spacing w:before="160" w:after="160"/>
      <w:ind w:left="851" w:hanging="397"/>
      <w:contextualSpacing/>
    </w:pPr>
    <w:rPr>
      <w:rFonts w:eastAsia="Times New Roman" w:cs="Arial"/>
      <w:color w:val="FFFFFF" w:themeColor="text1"/>
      <w:kern w:val="20"/>
      <w:szCs w:val="20"/>
      <w:lang w:val="en-GB"/>
      <w14:ligatures w14:val="none"/>
    </w:rPr>
  </w:style>
  <w:style w:type="paragraph" w:customStyle="1" w:styleId="BulletLevel3">
    <w:name w:val="Bullet Level 3"/>
    <w:basedOn w:val="Normal"/>
    <w:qFormat/>
    <w:rsid w:val="00CA33F5"/>
    <w:pPr>
      <w:numPr>
        <w:ilvl w:val="2"/>
        <w:numId w:val="12"/>
      </w:numPr>
      <w:spacing w:before="160" w:after="160"/>
      <w:contextualSpacing/>
    </w:pPr>
    <w:rPr>
      <w:rFonts w:eastAsia="Times New Roman" w:cs="Arial"/>
      <w:color w:val="FFFFFF" w:themeColor="text1"/>
      <w:kern w:val="20"/>
      <w:szCs w:val="20"/>
      <w:lang w:val="en-GB"/>
      <w14:ligatures w14:val="none"/>
    </w:rPr>
  </w:style>
  <w:style w:type="paragraph" w:styleId="Caption">
    <w:name w:val="caption"/>
    <w:basedOn w:val="Normal"/>
    <w:next w:val="Normal"/>
    <w:uiPriority w:val="8"/>
    <w:qFormat/>
    <w:rsid w:val="00AE3C79"/>
    <w:pPr>
      <w:spacing w:after="120"/>
    </w:pPr>
    <w:rPr>
      <w:rFonts w:eastAsia="Times New Roman" w:cs="Arial"/>
      <w:i/>
      <w:color w:val="000000"/>
      <w:kern w:val="18"/>
      <w:sz w:val="18"/>
      <w:szCs w:val="20"/>
      <w:lang w:eastAsia="en-GB"/>
      <w14:ligatures w14:val="none"/>
    </w:rPr>
  </w:style>
  <w:style w:type="paragraph" w:styleId="TableofFigures">
    <w:name w:val="table of figures"/>
    <w:basedOn w:val="Normal"/>
    <w:next w:val="Normal"/>
    <w:uiPriority w:val="99"/>
    <w:unhideWhenUsed/>
    <w:rsid w:val="00AE3C79"/>
    <w:pPr>
      <w:spacing w:after="100"/>
    </w:pPr>
  </w:style>
  <w:style w:type="table" w:customStyle="1" w:styleId="NTTDATAFutureBluetable">
    <w:name w:val="NTT DATA Future Blue table"/>
    <w:basedOn w:val="TableGrid"/>
    <w:uiPriority w:val="99"/>
    <w:rsid w:val="00D31D54"/>
    <w:pPr>
      <w:spacing w:line="264" w:lineRule="auto"/>
    </w:pPr>
    <w:rPr>
      <w:color w:val="FFFFFF" w:themeColor="text1"/>
    </w:rPr>
    <w:tblPr>
      <w:tblStyleRowBandSize w:val="1"/>
      <w:tblStyleColBandSize w:val="1"/>
      <w:tblBorders>
        <w:top w:val="single" w:sz="4" w:space="0" w:color="030712" w:themeColor="background1" w:themeShade="80"/>
        <w:bottom w:val="single" w:sz="4" w:space="0" w:color="030712" w:themeColor="background1" w:themeShade="80"/>
        <w:insideH w:val="single" w:sz="4" w:space="0" w:color="030712" w:themeColor="background1" w:themeShade="80"/>
        <w:insideV w:val="single" w:sz="4" w:space="0" w:color="030712" w:themeColor="background1" w:themeShade="80"/>
      </w:tblBorders>
      <w:tblCellMar>
        <w:top w:w="28" w:type="dxa"/>
        <w:bottom w:w="28" w:type="dxa"/>
      </w:tblCellMar>
    </w:tblPr>
    <w:trPr>
      <w:cantSplit/>
    </w:trPr>
    <w:tcPr>
      <w:tcMar>
        <w:top w:w="85" w:type="dxa"/>
        <w:left w:w="85" w:type="dxa"/>
        <w:bottom w:w="85" w:type="dxa"/>
        <w:right w:w="85" w:type="dxa"/>
      </w:tcMar>
    </w:tcPr>
    <w:tblStylePr w:type="firstRow">
      <w:rPr>
        <w:b/>
        <w:color w:val="070F26" w:themeColor="background1"/>
      </w:rPr>
      <w:tblPr/>
      <w:tcPr>
        <w:shd w:val="clear" w:color="auto" w:fill="2E404D" w:themeFill="text2"/>
      </w:tcPr>
    </w:tblStylePr>
    <w:tblStylePr w:type="lastRow">
      <w:rPr>
        <w:b/>
        <w:color w:val="auto"/>
      </w:rPr>
      <w:tblPr/>
      <w:tcPr>
        <w:shd w:val="clear" w:color="auto" w:fill="C8FBFF" w:themeFill="accent2" w:themeFillTint="33"/>
      </w:tcPr>
    </w:tblStylePr>
    <w:tblStylePr w:type="firstCol">
      <w:rPr>
        <w:b/>
        <w:color w:val="070F26" w:themeColor="background1"/>
      </w:rPr>
      <w:tblPr/>
      <w:tcPr>
        <w:shd w:val="clear" w:color="auto" w:fill="2E404D" w:themeFill="text2"/>
      </w:tcPr>
    </w:tblStylePr>
    <w:tblStylePr w:type="lastCol">
      <w:rPr>
        <w:b/>
      </w:rPr>
      <w:tblPr/>
      <w:tcPr>
        <w:shd w:val="clear" w:color="auto" w:fill="C8FBFF" w:themeFill="accent2" w:themeFillTint="33"/>
      </w:tcPr>
    </w:tblStylePr>
    <w:tblStylePr w:type="band2Vert">
      <w:tblPr/>
      <w:tcPr>
        <w:shd w:val="clear" w:color="auto" w:fill="060E24" w:themeFill="background1" w:themeFillShade="F2"/>
      </w:tcPr>
    </w:tblStylePr>
    <w:tblStylePr w:type="band2Horz">
      <w:tblPr/>
      <w:tcPr>
        <w:shd w:val="clear" w:color="auto" w:fill="060E24" w:themeFill="background1" w:themeFillShade="F2"/>
      </w:tcPr>
    </w:tblStylePr>
  </w:style>
  <w:style w:type="paragraph" w:styleId="BodyText">
    <w:name w:val="Body Text"/>
    <w:basedOn w:val="Normal"/>
    <w:link w:val="BodyTextChar"/>
    <w:uiPriority w:val="99"/>
    <w:unhideWhenUsed/>
    <w:rsid w:val="00F42F0F"/>
    <w:pPr>
      <w:spacing w:before="160" w:after="160"/>
    </w:pPr>
  </w:style>
  <w:style w:type="character" w:styleId="PlaceholderText">
    <w:name w:val="Placeholder Text"/>
    <w:basedOn w:val="DefaultParagraphFont"/>
    <w:uiPriority w:val="99"/>
    <w:semiHidden/>
    <w:rsid w:val="00AE3C79"/>
    <w:rPr>
      <w:color w:val="808080"/>
    </w:rPr>
  </w:style>
  <w:style w:type="paragraph" w:customStyle="1" w:styleId="Legalnumbering1">
    <w:name w:val="Legal numbering 1"/>
    <w:basedOn w:val="Bullet"/>
    <w:qFormat/>
    <w:rsid w:val="008923D1"/>
    <w:pPr>
      <w:numPr>
        <w:numId w:val="13"/>
      </w:numPr>
      <w:ind w:left="1134" w:hanging="1134"/>
    </w:pPr>
    <w:rPr>
      <w:color w:val="070F26" w:themeColor="background1"/>
    </w:rPr>
  </w:style>
  <w:style w:type="character" w:styleId="CommentReference">
    <w:name w:val="annotation reference"/>
    <w:basedOn w:val="DefaultParagraphFont"/>
    <w:uiPriority w:val="99"/>
    <w:semiHidden/>
    <w:unhideWhenUsed/>
    <w:rsid w:val="00AE3C79"/>
    <w:rPr>
      <w:sz w:val="16"/>
      <w:szCs w:val="16"/>
    </w:rPr>
  </w:style>
  <w:style w:type="paragraph" w:styleId="CommentText">
    <w:name w:val="annotation text"/>
    <w:basedOn w:val="Normal"/>
    <w:link w:val="CommentTextChar"/>
    <w:uiPriority w:val="99"/>
    <w:unhideWhenUsed/>
    <w:rsid w:val="00AE3C79"/>
    <w:pPr>
      <w:spacing w:line="240" w:lineRule="auto"/>
    </w:pPr>
    <w:rPr>
      <w:szCs w:val="20"/>
    </w:rPr>
  </w:style>
  <w:style w:type="character" w:customStyle="1" w:styleId="CommentTextChar">
    <w:name w:val="Comment Text Char"/>
    <w:basedOn w:val="DefaultParagraphFont"/>
    <w:link w:val="CommentText"/>
    <w:uiPriority w:val="99"/>
    <w:rsid w:val="00AE3C79"/>
    <w:rPr>
      <w:rFonts w:ascii="Arial" w:hAnsi="Arial"/>
      <w:sz w:val="20"/>
      <w:szCs w:val="20"/>
      <w:lang w:val="en-US"/>
    </w:rPr>
  </w:style>
  <w:style w:type="paragraph" w:customStyle="1" w:styleId="Legalnumbering2">
    <w:name w:val="Legal numbering 2"/>
    <w:basedOn w:val="Legalnumbering1"/>
    <w:qFormat/>
    <w:rsid w:val="008923D1"/>
    <w:pPr>
      <w:numPr>
        <w:ilvl w:val="1"/>
      </w:numPr>
      <w:ind w:left="1134" w:hanging="1134"/>
    </w:pPr>
  </w:style>
  <w:style w:type="paragraph" w:customStyle="1" w:styleId="Legalnumbering3">
    <w:name w:val="Legal numbering 3"/>
    <w:basedOn w:val="Legalnumbering2"/>
    <w:qFormat/>
    <w:rsid w:val="008C7C4B"/>
    <w:pPr>
      <w:numPr>
        <w:ilvl w:val="2"/>
      </w:numPr>
      <w:ind w:left="1134" w:hanging="1134"/>
    </w:pPr>
  </w:style>
  <w:style w:type="paragraph" w:customStyle="1" w:styleId="Legalnumbering4">
    <w:name w:val="Legal numbering 4"/>
    <w:basedOn w:val="Normal"/>
    <w:qFormat/>
    <w:rsid w:val="008923D1"/>
    <w:pPr>
      <w:numPr>
        <w:ilvl w:val="3"/>
        <w:numId w:val="13"/>
      </w:numPr>
      <w:spacing w:before="160" w:after="160"/>
      <w:ind w:left="1134" w:hanging="1134"/>
      <w:contextualSpacing/>
    </w:pPr>
    <w:rPr>
      <w:rFonts w:eastAsia="Times New Roman" w:cs="Arial"/>
      <w:color w:val="070F26" w:themeColor="background1"/>
      <w:kern w:val="20"/>
      <w:szCs w:val="20"/>
      <w:lang w:val="en-GB"/>
      <w14:ligatures w14:val="none"/>
    </w:rPr>
  </w:style>
  <w:style w:type="paragraph" w:customStyle="1" w:styleId="Legalnumbering5">
    <w:name w:val="Legal numbering 5"/>
    <w:basedOn w:val="Normal"/>
    <w:qFormat/>
    <w:rsid w:val="008923D1"/>
    <w:pPr>
      <w:numPr>
        <w:ilvl w:val="4"/>
        <w:numId w:val="13"/>
      </w:numPr>
      <w:spacing w:before="160" w:after="160"/>
      <w:ind w:left="1134" w:hanging="1134"/>
      <w:contextualSpacing/>
    </w:pPr>
    <w:rPr>
      <w:rFonts w:eastAsia="Times New Roman" w:cs="Arial"/>
      <w:color w:val="070F26" w:themeColor="background1"/>
      <w:kern w:val="20"/>
      <w:szCs w:val="20"/>
      <w:lang w:val="en-GB"/>
      <w14:ligatures w14:val="none"/>
    </w:rPr>
  </w:style>
  <w:style w:type="paragraph" w:customStyle="1" w:styleId="Legalnumbering6">
    <w:name w:val="Legal numbering 6"/>
    <w:basedOn w:val="Normal"/>
    <w:qFormat/>
    <w:rsid w:val="008923D1"/>
    <w:pPr>
      <w:numPr>
        <w:ilvl w:val="5"/>
        <w:numId w:val="13"/>
      </w:numPr>
      <w:tabs>
        <w:tab w:val="left" w:pos="1134"/>
      </w:tabs>
      <w:spacing w:before="160" w:after="160"/>
      <w:contextualSpacing/>
    </w:pPr>
    <w:rPr>
      <w:rFonts w:eastAsia="Times New Roman" w:cs="Arial"/>
      <w:color w:val="070F26" w:themeColor="background1"/>
      <w:kern w:val="20"/>
      <w:szCs w:val="20"/>
      <w:lang w:val="en-GB"/>
      <w14:ligatures w14:val="none"/>
    </w:rPr>
  </w:style>
  <w:style w:type="character" w:customStyle="1" w:styleId="BodyTextChar">
    <w:name w:val="Body Text Char"/>
    <w:basedOn w:val="DefaultParagraphFont"/>
    <w:link w:val="BodyText"/>
    <w:uiPriority w:val="99"/>
    <w:rsid w:val="00F42F0F"/>
    <w:rPr>
      <w:rFonts w:ascii="Arial" w:hAnsi="Arial"/>
      <w:sz w:val="20"/>
      <w:lang w:val="en-US"/>
    </w:rPr>
  </w:style>
  <w:style w:type="paragraph" w:styleId="BodyText3">
    <w:name w:val="Body Text 3"/>
    <w:basedOn w:val="Normal"/>
    <w:link w:val="BodyText3Char"/>
    <w:uiPriority w:val="99"/>
    <w:unhideWhenUsed/>
    <w:rsid w:val="00AE3C79"/>
    <w:pPr>
      <w:spacing w:before="160" w:after="160"/>
      <w:contextualSpacing/>
    </w:pPr>
    <w:rPr>
      <w:color w:val="FFFFFF" w:themeColor="text1"/>
      <w:sz w:val="17"/>
    </w:rPr>
  </w:style>
  <w:style w:type="character" w:customStyle="1" w:styleId="BodyText3Char">
    <w:name w:val="Body Text 3 Char"/>
    <w:basedOn w:val="DefaultParagraphFont"/>
    <w:link w:val="BodyText3"/>
    <w:uiPriority w:val="99"/>
    <w:rsid w:val="00AE3C79"/>
    <w:rPr>
      <w:rFonts w:ascii="Arial" w:hAnsi="Arial"/>
      <w:color w:val="FFFFFF" w:themeColor="text1"/>
      <w:sz w:val="17"/>
      <w:lang w:val="en-US"/>
    </w:rPr>
  </w:style>
  <w:style w:type="paragraph" w:styleId="BodyTextIndent">
    <w:name w:val="Body Text Indent"/>
    <w:basedOn w:val="Normal"/>
    <w:link w:val="BodyTextIndentChar"/>
    <w:uiPriority w:val="99"/>
    <w:semiHidden/>
    <w:unhideWhenUsed/>
    <w:rsid w:val="00AE3C79"/>
    <w:pPr>
      <w:spacing w:after="120"/>
      <w:ind w:left="283"/>
    </w:pPr>
  </w:style>
  <w:style w:type="character" w:customStyle="1" w:styleId="BodyTextIndentChar">
    <w:name w:val="Body Text Indent Char"/>
    <w:basedOn w:val="DefaultParagraphFont"/>
    <w:link w:val="BodyTextIndent"/>
    <w:uiPriority w:val="99"/>
    <w:semiHidden/>
    <w:rsid w:val="00AE3C79"/>
    <w:rPr>
      <w:rFonts w:ascii="Arial" w:hAnsi="Arial"/>
      <w:sz w:val="20"/>
      <w:lang w:val="en-US"/>
    </w:rPr>
  </w:style>
  <w:style w:type="paragraph" w:styleId="BodyTextIndent3">
    <w:name w:val="Body Text Indent 3"/>
    <w:basedOn w:val="Normal"/>
    <w:link w:val="BodyTextIndent3Char"/>
    <w:uiPriority w:val="99"/>
    <w:semiHidden/>
    <w:unhideWhenUsed/>
    <w:rsid w:val="00AE3C79"/>
    <w:pPr>
      <w:spacing w:after="120"/>
      <w:ind w:left="284"/>
    </w:pPr>
    <w:rPr>
      <w:sz w:val="17"/>
      <w:szCs w:val="16"/>
    </w:rPr>
  </w:style>
  <w:style w:type="paragraph" w:styleId="BodyTextIndent2">
    <w:name w:val="Body Text Indent 2"/>
    <w:basedOn w:val="Normal"/>
    <w:link w:val="BodyTextIndent2Char"/>
    <w:uiPriority w:val="99"/>
    <w:semiHidden/>
    <w:unhideWhenUsed/>
    <w:rsid w:val="00AE3C79"/>
    <w:pPr>
      <w:spacing w:after="120"/>
      <w:ind w:left="284"/>
    </w:pPr>
  </w:style>
  <w:style w:type="character" w:customStyle="1" w:styleId="BodyTextIndent2Char">
    <w:name w:val="Body Text Indent 2 Char"/>
    <w:basedOn w:val="DefaultParagraphFont"/>
    <w:link w:val="BodyTextIndent2"/>
    <w:uiPriority w:val="99"/>
    <w:semiHidden/>
    <w:rsid w:val="00AE3C79"/>
    <w:rPr>
      <w:rFonts w:ascii="Arial" w:hAnsi="Arial"/>
      <w:sz w:val="20"/>
      <w:lang w:val="en-US"/>
    </w:rPr>
  </w:style>
  <w:style w:type="character" w:customStyle="1" w:styleId="BodyTextIndent3Char">
    <w:name w:val="Body Text Indent 3 Char"/>
    <w:basedOn w:val="DefaultParagraphFont"/>
    <w:link w:val="BodyTextIndent3"/>
    <w:uiPriority w:val="99"/>
    <w:semiHidden/>
    <w:rsid w:val="00AE3C79"/>
    <w:rPr>
      <w:rFonts w:ascii="Arial" w:hAnsi="Arial"/>
      <w:sz w:val="17"/>
      <w:szCs w:val="16"/>
      <w:lang w:val="en-US"/>
    </w:rPr>
  </w:style>
  <w:style w:type="numbering" w:customStyle="1" w:styleId="NTTDATAAppendixList">
    <w:name w:val="_NTT DATA Appendix List"/>
    <w:uiPriority w:val="89"/>
    <w:rsid w:val="00F93B13"/>
    <w:pPr>
      <w:numPr>
        <w:numId w:val="1"/>
      </w:numPr>
    </w:pPr>
  </w:style>
  <w:style w:type="paragraph" w:customStyle="1" w:styleId="AppendixHeading2">
    <w:name w:val="Appendix Heading 2"/>
    <w:basedOn w:val="Heading2"/>
    <w:next w:val="Normal"/>
    <w:uiPriority w:val="5"/>
    <w:qFormat/>
    <w:rsid w:val="00D31D54"/>
    <w:pPr>
      <w:numPr>
        <w:numId w:val="11"/>
      </w:numPr>
      <w:tabs>
        <w:tab w:val="left" w:pos="1701"/>
      </w:tabs>
    </w:pPr>
    <w:rPr>
      <w:bCs w:val="0"/>
      <w:szCs w:val="32"/>
    </w:rPr>
  </w:style>
  <w:style w:type="paragraph" w:customStyle="1" w:styleId="AppendixHeading3">
    <w:name w:val="Appendix Heading 3"/>
    <w:basedOn w:val="Heading3"/>
    <w:next w:val="Normal"/>
    <w:uiPriority w:val="5"/>
    <w:qFormat/>
    <w:rsid w:val="00AE3C79"/>
    <w:pPr>
      <w:numPr>
        <w:numId w:val="11"/>
      </w:numPr>
      <w:tabs>
        <w:tab w:val="left" w:pos="1701"/>
      </w:tabs>
    </w:pPr>
    <w:rPr>
      <w:rFonts w:asciiTheme="minorHAnsi" w:hAnsiTheme="minorHAnsi"/>
      <w:bCs/>
    </w:rPr>
  </w:style>
  <w:style w:type="table" w:customStyle="1" w:styleId="NTTDATAFutureBluetable0">
    <w:name w:val="NTT DATA Future Blue table0"/>
    <w:basedOn w:val="TableGrid"/>
    <w:next w:val="NTTDATAFutureBluetable"/>
    <w:uiPriority w:val="99"/>
    <w:rsid w:val="00F42F0F"/>
    <w:pPr>
      <w:spacing w:line="264" w:lineRule="auto"/>
    </w:pPr>
    <w:tblPr>
      <w:tblStyleRowBandSize w:val="1"/>
      <w:tblStyleColBandSize w:val="1"/>
      <w:tblBorders>
        <w:top w:val="single" w:sz="4" w:space="0" w:color="030712" w:themeColor="background1" w:themeShade="80"/>
        <w:bottom w:val="single" w:sz="4" w:space="0" w:color="030712" w:themeColor="background1" w:themeShade="80"/>
        <w:insideH w:val="single" w:sz="4" w:space="0" w:color="030712" w:themeColor="background1" w:themeShade="80"/>
        <w:insideV w:val="single" w:sz="4" w:space="0" w:color="030712" w:themeColor="background1" w:themeShade="80"/>
      </w:tblBorders>
      <w:tblCellMar>
        <w:top w:w="28" w:type="dxa"/>
        <w:bottom w:w="28" w:type="dxa"/>
      </w:tblCellMar>
    </w:tblPr>
    <w:trPr>
      <w:cantSplit/>
    </w:trPr>
    <w:tcPr>
      <w:tcMar>
        <w:top w:w="85" w:type="dxa"/>
        <w:left w:w="85" w:type="dxa"/>
        <w:bottom w:w="85" w:type="dxa"/>
        <w:right w:w="85" w:type="dxa"/>
      </w:tcMar>
    </w:tcPr>
    <w:tblStylePr w:type="firstRow">
      <w:rPr>
        <w:b/>
        <w:color w:val="FFFFFF" w:themeColor="text1"/>
      </w:rPr>
      <w:tblPr/>
      <w:tcPr>
        <w:tcBorders>
          <w:bottom w:val="single" w:sz="4" w:space="0" w:color="949494" w:themeColor="accent6"/>
        </w:tcBorders>
        <w:shd w:val="clear" w:color="auto" w:fill="0072BC" w:themeFill="background2"/>
      </w:tcPr>
    </w:tblStylePr>
    <w:tblStylePr w:type="lastRow">
      <w:rPr>
        <w:b/>
        <w:color w:val="auto"/>
      </w:rPr>
      <w:tblPr/>
      <w:tcPr>
        <w:shd w:val="clear" w:color="auto" w:fill="C8FBFF" w:themeFill="accent2" w:themeFillTint="33"/>
      </w:tcPr>
    </w:tblStylePr>
    <w:tblStylePr w:type="firstCol">
      <w:rPr>
        <w:b/>
        <w:color w:val="FFFFFF" w:themeColor="text1"/>
      </w:rPr>
      <w:tblPr/>
      <w:tcPr>
        <w:shd w:val="clear" w:color="auto" w:fill="0072BC" w:themeFill="background2"/>
      </w:tcPr>
    </w:tblStylePr>
    <w:tblStylePr w:type="lastCol">
      <w:rPr>
        <w:b/>
      </w:rPr>
      <w:tblPr/>
      <w:tcPr>
        <w:shd w:val="clear" w:color="auto" w:fill="C8FBFF" w:themeFill="accent2" w:themeFillTint="33"/>
      </w:tcPr>
    </w:tblStylePr>
    <w:tblStylePr w:type="band2Vert">
      <w:tblPr/>
      <w:tcPr>
        <w:shd w:val="clear" w:color="auto" w:fill="FFFFFF" w:themeFill="text1"/>
      </w:tcPr>
    </w:tblStylePr>
    <w:tblStylePr w:type="band2Horz">
      <w:tblPr/>
      <w:tcPr>
        <w:shd w:val="clear" w:color="auto" w:fill="FFFFFF" w:themeFill="text1"/>
      </w:tcPr>
    </w:tblStylePr>
  </w:style>
  <w:style w:type="numbering" w:customStyle="1" w:styleId="NTTDATABulletList">
    <w:name w:val="_NTT DATA Bullet List"/>
    <w:uiPriority w:val="89"/>
    <w:rsid w:val="00DD1DB4"/>
    <w:pPr>
      <w:numPr>
        <w:numId w:val="3"/>
      </w:numPr>
    </w:pPr>
  </w:style>
  <w:style w:type="numbering" w:customStyle="1" w:styleId="NTTDATAFlushBlueBulletList">
    <w:name w:val="_NTT DATA Flush Blue Bullet List"/>
    <w:rsid w:val="00DD1DB4"/>
    <w:pPr>
      <w:numPr>
        <w:numId w:val="4"/>
      </w:numPr>
    </w:pPr>
  </w:style>
  <w:style w:type="paragraph" w:customStyle="1" w:styleId="NTTDATABullet1">
    <w:name w:val="NTT DATA Bullet 1"/>
    <w:basedOn w:val="Normal"/>
    <w:link w:val="NTTDATABullet1Char"/>
    <w:uiPriority w:val="9"/>
    <w:qFormat/>
    <w:rsid w:val="008923D1"/>
    <w:pPr>
      <w:numPr>
        <w:numId w:val="5"/>
      </w:numPr>
      <w:tabs>
        <w:tab w:val="clear" w:pos="1134"/>
      </w:tabs>
      <w:spacing w:before="160" w:after="160"/>
      <w:ind w:left="1191" w:hanging="340"/>
      <w:contextualSpacing/>
    </w:pPr>
    <w:rPr>
      <w:rFonts w:eastAsia="Times New Roman" w:cs="Arial"/>
      <w:color w:val="070F26" w:themeColor="background1"/>
      <w:kern w:val="20"/>
      <w:szCs w:val="20"/>
      <w:lang w:val="en-GB"/>
      <w14:ligatures w14:val="none"/>
    </w:rPr>
  </w:style>
  <w:style w:type="character" w:customStyle="1" w:styleId="NTTDATABullet1Char">
    <w:name w:val="NTT DATA Bullet 1 Char"/>
    <w:basedOn w:val="DefaultParagraphFont"/>
    <w:link w:val="NTTDATABullet1"/>
    <w:uiPriority w:val="9"/>
    <w:rsid w:val="008923D1"/>
    <w:rPr>
      <w:rFonts w:ascii="Arial" w:eastAsia="Times New Roman" w:hAnsi="Arial" w:cs="Arial"/>
      <w:color w:val="070F26" w:themeColor="background1"/>
      <w:kern w:val="20"/>
      <w:sz w:val="20"/>
      <w:szCs w:val="20"/>
      <w:lang w:val="en-GB"/>
      <w14:ligatures w14:val="none"/>
    </w:rPr>
  </w:style>
  <w:style w:type="paragraph" w:customStyle="1" w:styleId="NTTDATABullet2">
    <w:name w:val="NTT DATA Bullet 2"/>
    <w:basedOn w:val="NTTDATABullet1"/>
    <w:uiPriority w:val="9"/>
    <w:qFormat/>
    <w:rsid w:val="00B10354"/>
    <w:pPr>
      <w:numPr>
        <w:ilvl w:val="1"/>
      </w:numPr>
      <w:tabs>
        <w:tab w:val="clear" w:pos="1418"/>
      </w:tabs>
      <w:ind w:left="1531" w:hanging="340"/>
    </w:pPr>
  </w:style>
  <w:style w:type="paragraph" w:customStyle="1" w:styleId="NTTDATABullet3">
    <w:name w:val="NTT DATA Bullet 3"/>
    <w:basedOn w:val="NTTDATABullet2"/>
    <w:uiPriority w:val="9"/>
    <w:qFormat/>
    <w:rsid w:val="00252A11"/>
    <w:pPr>
      <w:numPr>
        <w:ilvl w:val="2"/>
      </w:numPr>
      <w:tabs>
        <w:tab w:val="clear" w:pos="1701"/>
      </w:tabs>
      <w:ind w:left="1815" w:hanging="284"/>
    </w:pPr>
  </w:style>
  <w:style w:type="paragraph" w:customStyle="1" w:styleId="NTTDATABullet4">
    <w:name w:val="NTT DATA Bullet 4"/>
    <w:basedOn w:val="Normal"/>
    <w:uiPriority w:val="9"/>
    <w:rsid w:val="003F66EC"/>
    <w:pPr>
      <w:numPr>
        <w:ilvl w:val="3"/>
        <w:numId w:val="5"/>
      </w:numPr>
      <w:tabs>
        <w:tab w:val="clear" w:pos="1418"/>
      </w:tabs>
      <w:spacing w:before="160" w:after="160"/>
      <w:ind w:left="1531" w:hanging="680"/>
      <w:contextualSpacing/>
    </w:pPr>
    <w:rPr>
      <w:rFonts w:eastAsia="Times New Roman" w:cs="Arial"/>
      <w:color w:val="070F26" w:themeColor="background1"/>
      <w:kern w:val="20"/>
      <w:szCs w:val="20"/>
      <w:lang w:val="en-GB"/>
      <w14:ligatures w14:val="none"/>
    </w:rPr>
  </w:style>
  <w:style w:type="paragraph" w:customStyle="1" w:styleId="NTTDATABullet5">
    <w:name w:val="NTT DATA Bullet 5"/>
    <w:basedOn w:val="NTTDATABullet4"/>
    <w:uiPriority w:val="9"/>
    <w:rsid w:val="003F66EC"/>
    <w:pPr>
      <w:numPr>
        <w:ilvl w:val="4"/>
      </w:numPr>
      <w:tabs>
        <w:tab w:val="clear" w:pos="1418"/>
      </w:tabs>
      <w:ind w:left="1531" w:hanging="680"/>
    </w:pPr>
  </w:style>
  <w:style w:type="paragraph" w:customStyle="1" w:styleId="NTTDATABullet6">
    <w:name w:val="NTT DATA Bullet 6"/>
    <w:basedOn w:val="NTTDATABullet5"/>
    <w:uiPriority w:val="9"/>
    <w:rsid w:val="00B23563"/>
    <w:pPr>
      <w:numPr>
        <w:ilvl w:val="5"/>
      </w:numPr>
      <w:tabs>
        <w:tab w:val="clear" w:pos="1418"/>
      </w:tabs>
      <w:ind w:left="1531" w:hanging="680"/>
    </w:pPr>
  </w:style>
  <w:style w:type="paragraph" w:customStyle="1" w:styleId="NTTDATABullet7">
    <w:name w:val="NTT DATA Bullet 7"/>
    <w:basedOn w:val="Normal"/>
    <w:uiPriority w:val="9"/>
    <w:qFormat/>
    <w:rsid w:val="00F42F0F"/>
    <w:pPr>
      <w:numPr>
        <w:ilvl w:val="6"/>
        <w:numId w:val="5"/>
      </w:numPr>
      <w:tabs>
        <w:tab w:val="clear" w:pos="1418"/>
      </w:tabs>
      <w:spacing w:before="160" w:after="160"/>
      <w:ind w:left="1531" w:hanging="340"/>
      <w:contextualSpacing/>
    </w:pPr>
    <w:rPr>
      <w:rFonts w:eastAsia="Times New Roman" w:cs="Arial"/>
      <w:color w:val="070F26" w:themeColor="background1"/>
      <w:kern w:val="20"/>
      <w:szCs w:val="20"/>
      <w:lang w:val="en-GB"/>
      <w14:ligatures w14:val="none"/>
    </w:rPr>
  </w:style>
  <w:style w:type="paragraph" w:customStyle="1" w:styleId="NTTDATABullet8">
    <w:name w:val="NTT DATA Bullet 8"/>
    <w:basedOn w:val="NTTDATABullet7"/>
    <w:uiPriority w:val="9"/>
    <w:qFormat/>
    <w:rsid w:val="003F66EC"/>
    <w:pPr>
      <w:numPr>
        <w:ilvl w:val="7"/>
      </w:numPr>
      <w:tabs>
        <w:tab w:val="clear" w:pos="1985"/>
      </w:tabs>
      <w:ind w:left="1814" w:hanging="340"/>
    </w:pPr>
  </w:style>
  <w:style w:type="paragraph" w:customStyle="1" w:styleId="NTTDATABullet9">
    <w:name w:val="NTT DATA Bullet 9"/>
    <w:basedOn w:val="NTTDATABullet8"/>
    <w:uiPriority w:val="9"/>
    <w:qFormat/>
    <w:rsid w:val="004C2406"/>
    <w:pPr>
      <w:numPr>
        <w:ilvl w:val="8"/>
      </w:numPr>
      <w:tabs>
        <w:tab w:val="clear" w:pos="2552"/>
      </w:tabs>
      <w:ind w:left="1814" w:hanging="340"/>
    </w:pPr>
  </w:style>
  <w:style w:type="paragraph" w:customStyle="1" w:styleId="NTTDATATableBullet1">
    <w:name w:val="NTT DATA Table Bullet 1"/>
    <w:basedOn w:val="Normal"/>
    <w:uiPriority w:val="14"/>
    <w:rsid w:val="003F66EC"/>
    <w:pPr>
      <w:numPr>
        <w:numId w:val="2"/>
      </w:numPr>
      <w:tabs>
        <w:tab w:val="clear" w:pos="283"/>
      </w:tabs>
      <w:ind w:left="340" w:hanging="340"/>
      <w:contextualSpacing/>
    </w:pPr>
    <w:rPr>
      <w:rFonts w:eastAsia="Times New Roman" w:cs="Arial"/>
      <w:color w:val="070F26" w:themeColor="background1"/>
      <w:kern w:val="18"/>
      <w:szCs w:val="18"/>
      <w:lang w:val="en-GB"/>
      <w14:ligatures w14:val="none"/>
    </w:rPr>
  </w:style>
  <w:style w:type="paragraph" w:customStyle="1" w:styleId="NTTDATATableBullet2">
    <w:name w:val="NTT DATA Table Bullet 2"/>
    <w:basedOn w:val="NTTDATATableBullet1"/>
    <w:uiPriority w:val="14"/>
    <w:rsid w:val="00E728B1"/>
    <w:pPr>
      <w:numPr>
        <w:ilvl w:val="1"/>
        <w:numId w:val="6"/>
      </w:numPr>
      <w:tabs>
        <w:tab w:val="clear" w:pos="567"/>
      </w:tabs>
      <w:ind w:left="851" w:hanging="454"/>
    </w:pPr>
  </w:style>
  <w:style w:type="paragraph" w:customStyle="1" w:styleId="NTTDATATableBullet3">
    <w:name w:val="NTT DATA Table Bullet 3"/>
    <w:basedOn w:val="NTTDATATableBullet2"/>
    <w:uiPriority w:val="14"/>
    <w:rsid w:val="004703D8"/>
    <w:pPr>
      <w:numPr>
        <w:ilvl w:val="2"/>
      </w:numPr>
      <w:tabs>
        <w:tab w:val="clear" w:pos="851"/>
      </w:tabs>
      <w:ind w:left="964"/>
    </w:pPr>
  </w:style>
  <w:style w:type="paragraph" w:customStyle="1" w:styleId="NTTDATATableBullet4">
    <w:name w:val="NTT DATA Table Bullet 4"/>
    <w:basedOn w:val="Normal"/>
    <w:uiPriority w:val="14"/>
    <w:rsid w:val="0005039A"/>
    <w:pPr>
      <w:numPr>
        <w:ilvl w:val="3"/>
        <w:numId w:val="2"/>
      </w:numPr>
      <w:tabs>
        <w:tab w:val="clear" w:pos="567"/>
      </w:tabs>
      <w:ind w:left="851" w:hanging="851"/>
      <w:contextualSpacing/>
    </w:pPr>
    <w:rPr>
      <w:rFonts w:eastAsia="Times New Roman" w:cs="Arial"/>
      <w:color w:val="FFFFFF" w:themeColor="text1"/>
      <w:kern w:val="18"/>
      <w:szCs w:val="20"/>
      <w:lang w:val="en-GB"/>
      <w14:ligatures w14:val="none"/>
    </w:rPr>
  </w:style>
  <w:style w:type="paragraph" w:customStyle="1" w:styleId="NTTDATATableBullet5">
    <w:name w:val="NTT DATA Table Bullet 5"/>
    <w:basedOn w:val="Normal"/>
    <w:uiPriority w:val="14"/>
    <w:rsid w:val="0005039A"/>
    <w:pPr>
      <w:numPr>
        <w:ilvl w:val="4"/>
        <w:numId w:val="2"/>
      </w:numPr>
      <w:tabs>
        <w:tab w:val="clear" w:pos="567"/>
      </w:tabs>
      <w:ind w:left="851" w:hanging="851"/>
    </w:pPr>
    <w:rPr>
      <w:rFonts w:eastAsia="Times New Roman" w:cs="Arial"/>
      <w:color w:val="FFFFFF" w:themeColor="text1"/>
      <w:kern w:val="18"/>
      <w:szCs w:val="20"/>
      <w:lang w:val="en-GB"/>
      <w14:ligatures w14:val="none"/>
    </w:rPr>
  </w:style>
  <w:style w:type="paragraph" w:customStyle="1" w:styleId="NTTDATATableBullet6">
    <w:name w:val="NTT DATA Table Bullet 6"/>
    <w:basedOn w:val="Normal"/>
    <w:uiPriority w:val="14"/>
    <w:rsid w:val="003F66EC"/>
    <w:pPr>
      <w:numPr>
        <w:ilvl w:val="5"/>
        <w:numId w:val="2"/>
      </w:numPr>
      <w:tabs>
        <w:tab w:val="clear" w:pos="567"/>
      </w:tabs>
      <w:ind w:left="851" w:hanging="851"/>
      <w:contextualSpacing/>
    </w:pPr>
    <w:rPr>
      <w:rFonts w:eastAsia="Times New Roman" w:cs="Arial"/>
      <w:color w:val="070F26" w:themeColor="background1"/>
      <w:kern w:val="18"/>
      <w:szCs w:val="20"/>
      <w:lang w:val="en-GB"/>
      <w14:ligatures w14:val="none"/>
    </w:rPr>
  </w:style>
  <w:style w:type="paragraph" w:customStyle="1" w:styleId="NTTDATATableBullet7">
    <w:name w:val="NTT DATA Table Bullet 7"/>
    <w:basedOn w:val="Normal"/>
    <w:uiPriority w:val="14"/>
    <w:rsid w:val="003F66EC"/>
    <w:pPr>
      <w:numPr>
        <w:ilvl w:val="6"/>
        <w:numId w:val="2"/>
      </w:numPr>
      <w:tabs>
        <w:tab w:val="clear" w:pos="567"/>
      </w:tabs>
      <w:ind w:left="680" w:hanging="340"/>
      <w:contextualSpacing/>
    </w:pPr>
    <w:rPr>
      <w:rFonts w:eastAsia="Times New Roman" w:cs="Arial"/>
      <w:color w:val="070F26" w:themeColor="background1"/>
      <w:kern w:val="18"/>
      <w:szCs w:val="20"/>
      <w:lang w:val="en-GB"/>
      <w14:ligatures w14:val="none"/>
    </w:rPr>
  </w:style>
  <w:style w:type="paragraph" w:customStyle="1" w:styleId="NTTDATATableBullet8">
    <w:name w:val="NTT DATA Table Bullet 8"/>
    <w:basedOn w:val="NTTDATATableBullet7"/>
    <w:uiPriority w:val="14"/>
    <w:rsid w:val="00D87AB2"/>
    <w:pPr>
      <w:numPr>
        <w:ilvl w:val="7"/>
        <w:numId w:val="6"/>
      </w:numPr>
      <w:tabs>
        <w:tab w:val="clear" w:pos="1134"/>
      </w:tabs>
      <w:ind w:left="964" w:hanging="340"/>
    </w:pPr>
  </w:style>
  <w:style w:type="paragraph" w:customStyle="1" w:styleId="NTTDATATableBullet9">
    <w:name w:val="NTT DATA Table Bullet 9"/>
    <w:basedOn w:val="NTTDATATableBullet8"/>
    <w:uiPriority w:val="14"/>
    <w:rsid w:val="004C2406"/>
    <w:pPr>
      <w:numPr>
        <w:ilvl w:val="8"/>
      </w:numPr>
      <w:ind w:left="964" w:hanging="340"/>
    </w:pPr>
  </w:style>
  <w:style w:type="paragraph" w:styleId="BalloonText">
    <w:name w:val="Balloon Text"/>
    <w:basedOn w:val="Normal"/>
    <w:link w:val="BalloonTextChar"/>
    <w:uiPriority w:val="99"/>
    <w:semiHidden/>
    <w:unhideWhenUsed/>
    <w:rsid w:val="00AE3C79"/>
    <w:pPr>
      <w:spacing w:line="240" w:lineRule="auto"/>
    </w:pPr>
    <w:rPr>
      <w:rFonts w:asciiTheme="minorHAnsi" w:hAnsiTheme="minorHAnsi" w:cs="Segoe UI"/>
      <w:sz w:val="18"/>
      <w:szCs w:val="18"/>
    </w:rPr>
  </w:style>
  <w:style w:type="character" w:customStyle="1" w:styleId="BalloonTextChar">
    <w:name w:val="Balloon Text Char"/>
    <w:basedOn w:val="DefaultParagraphFont"/>
    <w:link w:val="BalloonText"/>
    <w:uiPriority w:val="99"/>
    <w:semiHidden/>
    <w:rsid w:val="00AE3C79"/>
    <w:rPr>
      <w:rFonts w:cs="Segoe UI"/>
      <w:sz w:val="18"/>
      <w:szCs w:val="18"/>
      <w:lang w:val="en-US"/>
    </w:rPr>
  </w:style>
  <w:style w:type="paragraph" w:styleId="Bibliography">
    <w:name w:val="Bibliography"/>
    <w:basedOn w:val="Normal"/>
    <w:next w:val="Normal"/>
    <w:uiPriority w:val="37"/>
    <w:semiHidden/>
    <w:unhideWhenUsed/>
    <w:rsid w:val="00AE3C79"/>
  </w:style>
  <w:style w:type="paragraph" w:styleId="NormalIndent">
    <w:name w:val="Normal Indent"/>
    <w:basedOn w:val="Normal"/>
    <w:uiPriority w:val="99"/>
    <w:semiHidden/>
    <w:unhideWhenUsed/>
    <w:rsid w:val="00AE3C79"/>
    <w:pPr>
      <w:ind w:left="851"/>
    </w:pPr>
    <w:rPr>
      <w:color w:val="FFFFFF" w:themeColor="text1"/>
    </w:rPr>
  </w:style>
  <w:style w:type="character" w:styleId="PageNumber">
    <w:name w:val="page number"/>
    <w:basedOn w:val="DefaultParagraphFont"/>
    <w:uiPriority w:val="99"/>
    <w:semiHidden/>
    <w:unhideWhenUsed/>
    <w:rsid w:val="00AE3C79"/>
    <w:rPr>
      <w:rFonts w:ascii="Arial" w:hAnsi="Arial"/>
      <w:color w:val="FFFFFF" w:themeColor="text1"/>
    </w:rPr>
  </w:style>
  <w:style w:type="paragraph" w:customStyle="1" w:styleId="NTTDATAAPicture">
    <w:name w:val="NTT DATA A Picture"/>
    <w:basedOn w:val="Normal"/>
    <w:next w:val="Caption"/>
    <w:uiPriority w:val="9"/>
    <w:rsid w:val="00A420BE"/>
    <w:pPr>
      <w:keepNext/>
    </w:pPr>
    <w:rPr>
      <w:rFonts w:eastAsia="Times New Roman" w:cs="Arial"/>
      <w:kern w:val="20"/>
      <w:szCs w:val="20"/>
      <w:lang w:val="en-GB"/>
      <w14:ligatures w14:val="none"/>
    </w:rPr>
  </w:style>
  <w:style w:type="paragraph" w:customStyle="1" w:styleId="NTTDATAAttachment">
    <w:name w:val="NTT DATA Attachment"/>
    <w:next w:val="Normal"/>
    <w:link w:val="NTTDATAAttachmentChar"/>
    <w:unhideWhenUsed/>
    <w:locked/>
    <w:rsid w:val="00AB5773"/>
    <w:pPr>
      <w:pageBreakBefore/>
      <w:spacing w:before="240" w:after="120" w:line="264" w:lineRule="auto"/>
      <w:outlineLvl w:val="0"/>
    </w:pPr>
    <w:rPr>
      <w:rFonts w:ascii="Arial Bold" w:hAnsi="Arial Bold" w:cs="Arial"/>
      <w:b/>
      <w:color w:val="FFFFFF" w:themeColor="text1"/>
      <w:kern w:val="20"/>
      <w:sz w:val="20"/>
      <w:szCs w:val="22"/>
      <w:lang w:val="en-GB"/>
      <w14:ligatures w14:val="none"/>
    </w:rPr>
  </w:style>
  <w:style w:type="character" w:customStyle="1" w:styleId="NTTDATAAttachmentChar">
    <w:name w:val="NTT DATA Attachment Char"/>
    <w:basedOn w:val="DefaultParagraphFont"/>
    <w:link w:val="NTTDATAAttachment"/>
    <w:rsid w:val="00AB5773"/>
    <w:rPr>
      <w:rFonts w:ascii="Arial Bold" w:hAnsi="Arial Bold" w:cs="Arial"/>
      <w:b/>
      <w:color w:val="FFFFFF" w:themeColor="text1"/>
      <w:kern w:val="20"/>
      <w:sz w:val="20"/>
      <w:szCs w:val="22"/>
      <w:lang w:val="en-GB"/>
      <w14:ligatures w14:val="none"/>
    </w:rPr>
  </w:style>
  <w:style w:type="paragraph" w:customStyle="1" w:styleId="NTTDATABodyBoldText">
    <w:name w:val="NTT DATA Body Bold Text"/>
    <w:basedOn w:val="Normal"/>
    <w:next w:val="Normal"/>
    <w:uiPriority w:val="9"/>
    <w:qFormat/>
    <w:rsid w:val="003F66EC"/>
    <w:pPr>
      <w:keepNext/>
      <w:keepLines/>
      <w:spacing w:before="160" w:after="160"/>
      <w:ind w:left="851"/>
    </w:pPr>
    <w:rPr>
      <w:rFonts w:ascii="Arial Bold" w:eastAsia="Times New Roman" w:hAnsi="Arial Bold" w:cs="Arial"/>
      <w:b/>
      <w:color w:val="070F26" w:themeColor="background1"/>
      <w:kern w:val="20"/>
      <w:szCs w:val="20"/>
      <w:lang w:val="en-GB"/>
      <w14:ligatures w14:val="none"/>
    </w:rPr>
  </w:style>
  <w:style w:type="paragraph" w:customStyle="1" w:styleId="NTTDATAFlushBodyText">
    <w:name w:val="NTT DATA Flush Body Text"/>
    <w:basedOn w:val="Normal"/>
    <w:uiPriority w:val="4"/>
    <w:rsid w:val="00000290"/>
    <w:pPr>
      <w:spacing w:before="160" w:after="160"/>
    </w:pPr>
    <w:rPr>
      <w:rFonts w:eastAsia="Times New Roman" w:cs="Arial"/>
      <w:color w:val="FFFFFF" w:themeColor="text1"/>
      <w:kern w:val="20"/>
      <w:szCs w:val="20"/>
      <w:lang w:val="en-GB"/>
      <w14:ligatures w14:val="none"/>
    </w:rPr>
  </w:style>
  <w:style w:type="paragraph" w:customStyle="1" w:styleId="NTTDATAFlushBodyBold">
    <w:name w:val="NTT DATA Flush Body Bold"/>
    <w:basedOn w:val="NTTDATAFlushBodyText"/>
    <w:next w:val="NTTDATAFlushBodyText"/>
    <w:uiPriority w:val="19"/>
    <w:rsid w:val="00F42F0F"/>
    <w:pPr>
      <w:keepNext/>
      <w:keepLines/>
    </w:pPr>
    <w:rPr>
      <w:rFonts w:ascii="Arial Bold" w:hAnsi="Arial Bold"/>
      <w:b/>
      <w:color w:val="auto"/>
    </w:rPr>
  </w:style>
  <w:style w:type="paragraph" w:customStyle="1" w:styleId="NTTDATAFlushPicture">
    <w:name w:val="NTT DATA Flush Picture"/>
    <w:basedOn w:val="NTTDATAFlushBodyText"/>
    <w:next w:val="Normal"/>
    <w:uiPriority w:val="19"/>
    <w:qFormat/>
    <w:rsid w:val="00E32017"/>
  </w:style>
  <w:style w:type="paragraph" w:customStyle="1" w:styleId="NTTDATALegalBody">
    <w:name w:val="NTT DATA Legal Body"/>
    <w:link w:val="NTTDATALegalBodyChar"/>
    <w:unhideWhenUsed/>
    <w:locked/>
    <w:rsid w:val="00E32017"/>
    <w:pPr>
      <w:spacing w:before="160" w:after="160" w:line="264" w:lineRule="auto"/>
    </w:pPr>
    <w:rPr>
      <w:rFonts w:ascii="Arial" w:hAnsi="Arial" w:cs="Arial"/>
      <w:color w:val="FFFFFF" w:themeColor="text1"/>
      <w:kern w:val="20"/>
      <w:sz w:val="20"/>
      <w:szCs w:val="22"/>
      <w:lang w:val="en-GB"/>
      <w14:ligatures w14:val="none"/>
    </w:rPr>
  </w:style>
  <w:style w:type="character" w:customStyle="1" w:styleId="NTTDATALegalBodyChar">
    <w:name w:val="NTT DATA Legal Body Char"/>
    <w:basedOn w:val="DefaultParagraphFont"/>
    <w:link w:val="NTTDATALegalBody"/>
    <w:rsid w:val="00E32017"/>
    <w:rPr>
      <w:rFonts w:ascii="Arial" w:hAnsi="Arial" w:cs="Arial"/>
      <w:color w:val="FFFFFF" w:themeColor="text1"/>
      <w:kern w:val="20"/>
      <w:sz w:val="20"/>
      <w:szCs w:val="22"/>
      <w:lang w:val="en-GB"/>
      <w14:ligatures w14:val="none"/>
    </w:rPr>
  </w:style>
  <w:style w:type="paragraph" w:customStyle="1" w:styleId="NTTDATALegal1">
    <w:name w:val="NTT DATA Legal_1"/>
    <w:basedOn w:val="Legalnumbering1"/>
    <w:next w:val="Normal"/>
    <w:link w:val="NTTDATALegal1Char"/>
    <w:unhideWhenUsed/>
    <w:locked/>
    <w:rsid w:val="00241D70"/>
    <w:pPr>
      <w:ind w:left="851" w:hanging="851"/>
    </w:pPr>
  </w:style>
  <w:style w:type="character" w:customStyle="1" w:styleId="NTTDATALegal1Char">
    <w:name w:val="NTT DATA Legal_1 Char"/>
    <w:basedOn w:val="DefaultParagraphFont"/>
    <w:link w:val="NTTDATALegal1"/>
    <w:rsid w:val="00241D70"/>
    <w:rPr>
      <w:rFonts w:ascii="Arial" w:eastAsia="Times New Roman" w:hAnsi="Arial" w:cs="Arial"/>
      <w:color w:val="070F26" w:themeColor="background1"/>
      <w:kern w:val="20"/>
      <w:sz w:val="20"/>
      <w:szCs w:val="20"/>
      <w:lang w:val="en-GB"/>
      <w14:ligatures w14:val="none"/>
    </w:rPr>
  </w:style>
  <w:style w:type="paragraph" w:customStyle="1" w:styleId="NTTDATALegal2">
    <w:name w:val="NTT DATA Legal_2"/>
    <w:basedOn w:val="Legalnumbering2"/>
    <w:link w:val="NTTDATALegal2Char"/>
    <w:unhideWhenUsed/>
    <w:rsid w:val="00241D70"/>
    <w:pPr>
      <w:ind w:left="851" w:hanging="851"/>
    </w:pPr>
  </w:style>
  <w:style w:type="character" w:customStyle="1" w:styleId="NTTDATALegal2Char">
    <w:name w:val="NTT DATA Legal_2 Char"/>
    <w:basedOn w:val="DefaultParagraphFont"/>
    <w:link w:val="NTTDATALegal2"/>
    <w:rsid w:val="00241D70"/>
    <w:rPr>
      <w:rFonts w:ascii="Arial" w:eastAsia="Times New Roman" w:hAnsi="Arial" w:cs="Arial"/>
      <w:color w:val="070F26" w:themeColor="background1"/>
      <w:kern w:val="20"/>
      <w:sz w:val="20"/>
      <w:szCs w:val="20"/>
      <w:lang w:val="en-GB"/>
      <w14:ligatures w14:val="none"/>
    </w:rPr>
  </w:style>
  <w:style w:type="paragraph" w:customStyle="1" w:styleId="NTTDATALegal3">
    <w:name w:val="NTT DATA Legal_3"/>
    <w:basedOn w:val="Legalnumbering3"/>
    <w:link w:val="NTTDATALegal3Char"/>
    <w:unhideWhenUsed/>
    <w:rsid w:val="00241D70"/>
    <w:pPr>
      <w:ind w:left="851" w:hanging="851"/>
    </w:pPr>
  </w:style>
  <w:style w:type="character" w:customStyle="1" w:styleId="NTTDATALegal3Char">
    <w:name w:val="NTT DATA Legal_3 Char"/>
    <w:basedOn w:val="DefaultParagraphFont"/>
    <w:link w:val="NTTDATALegal3"/>
    <w:rsid w:val="00241D70"/>
    <w:rPr>
      <w:rFonts w:ascii="Arial" w:eastAsia="Times New Roman" w:hAnsi="Arial" w:cs="Arial"/>
      <w:color w:val="070F26" w:themeColor="background1"/>
      <w:kern w:val="20"/>
      <w:sz w:val="20"/>
      <w:szCs w:val="20"/>
      <w:lang w:val="en-GB"/>
      <w14:ligatures w14:val="none"/>
    </w:rPr>
  </w:style>
  <w:style w:type="paragraph" w:customStyle="1" w:styleId="NTTDATALegal4">
    <w:name w:val="NTT DATA Legal_4"/>
    <w:basedOn w:val="Normal"/>
    <w:link w:val="NTTDATALegal4Char"/>
    <w:unhideWhenUsed/>
    <w:rsid w:val="00E92B5A"/>
    <w:pPr>
      <w:tabs>
        <w:tab w:val="left" w:pos="1417"/>
      </w:tabs>
      <w:spacing w:before="160" w:after="160"/>
      <w:contextualSpacing/>
      <w:outlineLvl w:val="3"/>
    </w:pPr>
    <w:rPr>
      <w:rFonts w:cs="Arial"/>
      <w:color w:val="FFFFFF" w:themeColor="text1"/>
      <w:kern w:val="20"/>
      <w:szCs w:val="22"/>
      <w:lang w:val="en-GB"/>
      <w14:ligatures w14:val="none"/>
    </w:rPr>
  </w:style>
  <w:style w:type="character" w:customStyle="1" w:styleId="NTTDATALegal4Char">
    <w:name w:val="NTT DATA Legal_4 Char"/>
    <w:basedOn w:val="DefaultParagraphFont"/>
    <w:link w:val="NTTDATALegal4"/>
    <w:rsid w:val="00E92B5A"/>
    <w:rPr>
      <w:rFonts w:ascii="Arial" w:hAnsi="Arial" w:cs="Arial"/>
      <w:color w:val="FFFFFF" w:themeColor="text1"/>
      <w:kern w:val="20"/>
      <w:sz w:val="20"/>
      <w:szCs w:val="22"/>
      <w:lang w:val="en-GB"/>
      <w14:ligatures w14:val="none"/>
    </w:rPr>
  </w:style>
  <w:style w:type="paragraph" w:customStyle="1" w:styleId="NTTDATALegal5">
    <w:name w:val="NTT DATA Legal_5"/>
    <w:basedOn w:val="Legalnumbering6"/>
    <w:link w:val="NTTDATALegal5Char"/>
    <w:unhideWhenUsed/>
    <w:rsid w:val="00E92B5A"/>
    <w:pPr>
      <w:ind w:left="1191"/>
    </w:pPr>
  </w:style>
  <w:style w:type="character" w:customStyle="1" w:styleId="NTTDATALegal5Char">
    <w:name w:val="NTT DATA Legal_5 Char"/>
    <w:basedOn w:val="DefaultParagraphFont"/>
    <w:link w:val="NTTDATALegal5"/>
    <w:rsid w:val="00E92B5A"/>
    <w:rPr>
      <w:rFonts w:ascii="Arial" w:eastAsia="Times New Roman" w:hAnsi="Arial" w:cs="Arial"/>
      <w:color w:val="070F26" w:themeColor="background1"/>
      <w:kern w:val="20"/>
      <w:sz w:val="20"/>
      <w:szCs w:val="20"/>
      <w:lang w:val="en-GB"/>
      <w14:ligatures w14:val="none"/>
    </w:rPr>
  </w:style>
  <w:style w:type="paragraph" w:customStyle="1" w:styleId="NTTDATALegal6">
    <w:name w:val="NTT DATA Legal_6"/>
    <w:basedOn w:val="NTTDATALegal5"/>
    <w:link w:val="NTTDATALegal6Char"/>
    <w:unhideWhenUsed/>
    <w:rsid w:val="00E92B5A"/>
    <w:pPr>
      <w:numPr>
        <w:ilvl w:val="0"/>
        <w:numId w:val="0"/>
      </w:numPr>
    </w:pPr>
  </w:style>
  <w:style w:type="character" w:customStyle="1" w:styleId="NTTDATALegal6Char">
    <w:name w:val="NTT DATA Legal_6 Char"/>
    <w:basedOn w:val="DefaultParagraphFont"/>
    <w:link w:val="NTTDATALegal6"/>
    <w:rsid w:val="00E92B5A"/>
    <w:rPr>
      <w:rFonts w:ascii="Arial" w:eastAsia="Times New Roman" w:hAnsi="Arial" w:cs="Arial"/>
      <w:color w:val="FFFFFF" w:themeColor="text1"/>
      <w:kern w:val="20"/>
      <w:sz w:val="20"/>
      <w:szCs w:val="20"/>
      <w:lang w:val="en-GB"/>
      <w14:ligatures w14:val="none"/>
    </w:rPr>
  </w:style>
  <w:style w:type="paragraph" w:customStyle="1" w:styleId="NTTDATAQuestion">
    <w:name w:val="NTT DATA Question"/>
    <w:basedOn w:val="Normal"/>
    <w:next w:val="Normal"/>
    <w:uiPriority w:val="59"/>
    <w:qFormat/>
    <w:rsid w:val="0005039A"/>
    <w:pPr>
      <w:spacing w:before="160" w:after="160"/>
      <w:ind w:left="851" w:hanging="851"/>
    </w:pPr>
    <w:rPr>
      <w:rFonts w:eastAsia="Times New Roman" w:cs="Arial"/>
      <w:color w:val="FFFFFF" w:themeColor="text1"/>
      <w:kern w:val="20"/>
      <w:szCs w:val="20"/>
      <w:lang w:val="en-GB"/>
      <w14:ligatures w14:val="none"/>
    </w:rPr>
  </w:style>
  <w:style w:type="paragraph" w:customStyle="1" w:styleId="NTTDATASmallPrint">
    <w:name w:val="NTT DATA Small Print"/>
    <w:basedOn w:val="NTTDATAFlushBodyText"/>
    <w:uiPriority w:val="79"/>
    <w:unhideWhenUsed/>
    <w:rsid w:val="00F42F0F"/>
    <w:rPr>
      <w:color w:val="070F26" w:themeColor="background1"/>
      <w:kern w:val="17"/>
      <w:sz w:val="17"/>
    </w:rPr>
  </w:style>
  <w:style w:type="paragraph" w:customStyle="1" w:styleId="NTTDATATableBodyText">
    <w:name w:val="NTT DATA Table Body Text"/>
    <w:uiPriority w:val="14"/>
    <w:rsid w:val="00F42F0F"/>
    <w:pPr>
      <w:spacing w:line="264" w:lineRule="auto"/>
    </w:pPr>
    <w:rPr>
      <w:rFonts w:ascii="Arial" w:eastAsia="Times New Roman" w:hAnsi="Arial" w:cs="Arial"/>
      <w:color w:val="070F26" w:themeColor="background1"/>
      <w:kern w:val="18"/>
      <w:sz w:val="20"/>
      <w:szCs w:val="18"/>
      <w:lang w:val="en-GB"/>
      <w14:ligatures w14:val="none"/>
    </w:rPr>
  </w:style>
  <w:style w:type="paragraph" w:customStyle="1" w:styleId="NTTDATAFlushHeading">
    <w:name w:val="NTT DATA Flush Heading"/>
    <w:next w:val="NTTDATAFlushBodyText"/>
    <w:uiPriority w:val="3"/>
    <w:rsid w:val="00973478"/>
    <w:pPr>
      <w:keepNext/>
      <w:keepLines/>
      <w:pageBreakBefore/>
      <w:spacing w:after="360" w:line="264" w:lineRule="auto"/>
      <w:outlineLvl w:val="0"/>
    </w:pPr>
    <w:rPr>
      <w:rFonts w:ascii="Georgia" w:eastAsia="MS PGothic" w:hAnsi="Georgia" w:cs="Arial"/>
      <w:bCs/>
      <w:color w:val="2E404D" w:themeColor="text2"/>
      <w:kern w:val="28"/>
      <w:sz w:val="40"/>
      <w:szCs w:val="28"/>
      <w:lang w:val="en-GB" w:eastAsia="ja-JP"/>
      <w14:ligatures w14:val="none"/>
    </w:rPr>
  </w:style>
  <w:style w:type="paragraph" w:customStyle="1" w:styleId="NTTDATAFlushSubHeading">
    <w:name w:val="NTT DATA Flush Sub Heading"/>
    <w:next w:val="NTTDATAFlushBodyText"/>
    <w:uiPriority w:val="3"/>
    <w:rsid w:val="00AB5773"/>
    <w:pPr>
      <w:keepNext/>
      <w:keepLines/>
      <w:spacing w:before="360" w:after="120" w:line="264" w:lineRule="auto"/>
      <w:outlineLvl w:val="1"/>
    </w:pPr>
    <w:rPr>
      <w:rFonts w:asciiTheme="majorHAnsi" w:eastAsia="MS PGothic" w:hAnsiTheme="majorHAnsi" w:cs="Arial"/>
      <w:b/>
      <w:color w:val="FFFFFF" w:themeColor="text1"/>
      <w:kern w:val="24"/>
      <w:sz w:val="28"/>
      <w:lang w:val="en-GB" w:eastAsia="ja-JP"/>
      <w14:ligatures w14:val="none"/>
    </w:rPr>
  </w:style>
  <w:style w:type="paragraph" w:customStyle="1" w:styleId="NTTDATAFlushSubSubHeading">
    <w:name w:val="NTT DATA Flush Sub Sub Heading"/>
    <w:basedOn w:val="NTTDATAFlushSubHeading"/>
    <w:next w:val="NTTDATAFlushBodyText"/>
    <w:link w:val="NTTDATAFlushSubSubHeadingChar"/>
    <w:rsid w:val="00627CC5"/>
    <w:pPr>
      <w:outlineLvl w:val="2"/>
    </w:pPr>
    <w:rPr>
      <w:b w:val="0"/>
      <w:szCs w:val="20"/>
    </w:rPr>
  </w:style>
  <w:style w:type="character" w:customStyle="1" w:styleId="NTTDATAFlushSubSubHeadingChar">
    <w:name w:val="NTT DATA Flush Sub Sub Heading Char"/>
    <w:basedOn w:val="DefaultParagraphFont"/>
    <w:link w:val="NTTDATAFlushSubSubHeading"/>
    <w:rsid w:val="00000290"/>
    <w:rPr>
      <w:rFonts w:asciiTheme="majorHAnsi" w:eastAsia="MS PGothic" w:hAnsiTheme="majorHAnsi" w:cs="Arial"/>
      <w:color w:val="FFFFFF" w:themeColor="text1"/>
      <w:kern w:val="24"/>
      <w:sz w:val="28"/>
      <w:szCs w:val="20"/>
      <w:lang w:val="en-GB" w:eastAsia="ja-JP"/>
      <w14:ligatures w14:val="none"/>
    </w:rPr>
  </w:style>
  <w:style w:type="paragraph" w:styleId="TOCHeading">
    <w:name w:val="TOC Heading"/>
    <w:basedOn w:val="Normal"/>
    <w:next w:val="Normal"/>
    <w:uiPriority w:val="39"/>
    <w:unhideWhenUsed/>
    <w:qFormat/>
    <w:rsid w:val="008923D1"/>
    <w:pPr>
      <w:spacing w:after="360"/>
    </w:pPr>
    <w:rPr>
      <w:rFonts w:ascii="Georgia" w:eastAsiaTheme="majorEastAsia" w:hAnsi="Georgia" w:cstheme="majorBidi"/>
      <w:color w:val="0072BC" w:themeColor="background2"/>
      <w:sz w:val="40"/>
      <w:szCs w:val="32"/>
    </w:rPr>
  </w:style>
  <w:style w:type="paragraph" w:customStyle="1" w:styleId="NTTDATABoldBullet">
    <w:name w:val="NTT DATA Bold Bullet"/>
    <w:basedOn w:val="NTTDATABullet1"/>
    <w:next w:val="Normal"/>
    <w:uiPriority w:val="9"/>
    <w:rsid w:val="00B52EA2"/>
    <w:pPr>
      <w:keepNext/>
      <w:keepLines/>
      <w:numPr>
        <w:ilvl w:val="2"/>
        <w:numId w:val="7"/>
      </w:numPr>
      <w:ind w:left="1135" w:hanging="284"/>
    </w:pPr>
    <w:rPr>
      <w:rFonts w:ascii="Arial Bold" w:hAnsi="Arial Bold"/>
      <w:b/>
    </w:rPr>
  </w:style>
  <w:style w:type="paragraph" w:customStyle="1" w:styleId="NTTDATAFlushBoldBullet">
    <w:name w:val="NTT DATA Flush Bold Bullet"/>
    <w:basedOn w:val="NTTDATABoldBullet"/>
    <w:next w:val="Normal"/>
    <w:uiPriority w:val="19"/>
    <w:rsid w:val="00C33FA2"/>
    <w:pPr>
      <w:numPr>
        <w:ilvl w:val="6"/>
      </w:numPr>
    </w:pPr>
  </w:style>
  <w:style w:type="paragraph" w:customStyle="1" w:styleId="NTTDATATableBold">
    <w:name w:val="NTT DATA Table Bold"/>
    <w:basedOn w:val="NTTDATATableBullet1"/>
    <w:next w:val="Normal"/>
    <w:uiPriority w:val="14"/>
    <w:rsid w:val="001D44F0"/>
    <w:pPr>
      <w:keepNext/>
      <w:keepLines/>
      <w:numPr>
        <w:numId w:val="0"/>
      </w:numPr>
    </w:pPr>
    <w:rPr>
      <w:rFonts w:ascii="Arial Bold" w:hAnsi="Arial Bold" w:cs="Tahoma"/>
      <w:b/>
      <w:szCs w:val="20"/>
    </w:rPr>
  </w:style>
  <w:style w:type="paragraph" w:customStyle="1" w:styleId="NTTDATATableWhiteHeader">
    <w:name w:val="NTT DATA Table White Header"/>
    <w:uiPriority w:val="15"/>
    <w:rsid w:val="00FD2F8C"/>
    <w:pPr>
      <w:spacing w:line="264" w:lineRule="auto"/>
    </w:pPr>
    <w:rPr>
      <w:rFonts w:ascii="Arial Bold" w:eastAsia="Times New Roman" w:hAnsi="Arial Bold" w:cs="Arial"/>
      <w:b/>
      <w:color w:val="FFFFFF"/>
      <w:kern w:val="18"/>
      <w:sz w:val="20"/>
      <w:szCs w:val="18"/>
      <w:lang w:val="en-GB"/>
      <w14:ligatures w14:val="none"/>
    </w:rPr>
  </w:style>
  <w:style w:type="paragraph" w:customStyle="1" w:styleId="NTTDATAtablepicture">
    <w:name w:val="NTT DATA table picture"/>
    <w:basedOn w:val="NTTDATAAPicture"/>
    <w:qFormat/>
    <w:rsid w:val="003D12EC"/>
  </w:style>
  <w:style w:type="paragraph" w:customStyle="1" w:styleId="NTTDATAtablebodyboldtext">
    <w:name w:val="NTT DATA table body bold text"/>
    <w:basedOn w:val="NTTDATATableBodyText"/>
    <w:qFormat/>
    <w:rsid w:val="00D31309"/>
    <w:rPr>
      <w:rFonts w:ascii="Arial Bold" w:hAnsi="Arial Bold"/>
      <w:b/>
    </w:rPr>
  </w:style>
  <w:style w:type="paragraph" w:customStyle="1" w:styleId="NTTDATAtablepicture0">
    <w:name w:val="NTT DATA table picture0"/>
    <w:basedOn w:val="NTTDATAAPicture"/>
    <w:next w:val="NTTDATAtablepicture"/>
    <w:qFormat/>
    <w:rsid w:val="006313A9"/>
  </w:style>
  <w:style w:type="paragraph" w:customStyle="1" w:styleId="LOFHeading">
    <w:name w:val="LOF Heading"/>
    <w:next w:val="TOC2"/>
    <w:link w:val="LOFHeadingChar"/>
    <w:rsid w:val="00AE3C79"/>
    <w:pPr>
      <w:keepNext/>
      <w:keepLines/>
      <w:spacing w:before="240" w:after="120" w:line="264" w:lineRule="auto"/>
    </w:pPr>
    <w:rPr>
      <w:rFonts w:ascii="Georgia" w:hAnsi="Georgia"/>
      <w:bCs/>
      <w:kern w:val="36"/>
      <w:sz w:val="68"/>
      <w:szCs w:val="68"/>
      <w:lang w:val="en-US"/>
    </w:rPr>
  </w:style>
  <w:style w:type="table" w:styleId="PlainTable1">
    <w:name w:val="Plain Table 1"/>
    <w:basedOn w:val="TableNormal"/>
    <w:uiPriority w:val="41"/>
    <w:rsid w:val="00AE3C7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Pr/>
      <w:tcPr>
        <w:tcBorders>
          <w:top w:val="double" w:sz="4" w:space="0" w:color="050B1C" w:themeColor="background1" w:themeShade="BF"/>
        </w:tcBorders>
      </w:tcPr>
    </w:tblStylePr>
    <w:tblStylePr w:type="firstCol">
      <w:rPr>
        <w:b/>
        <w:bCs/>
      </w:rPr>
    </w:tblStylePr>
    <w:tblStylePr w:type="lastCol">
      <w:rPr>
        <w:b/>
        <w:bCs/>
      </w:rPr>
    </w:tblStylePr>
    <w:tblStylePr w:type="band1Vert">
      <w:tblPr/>
      <w:tcPr>
        <w:shd w:val="clear" w:color="auto" w:fill="060E24" w:themeFill="background1" w:themeFillShade="F2"/>
      </w:tcPr>
    </w:tblStylePr>
    <w:tblStylePr w:type="band1Horz">
      <w:tblPr/>
      <w:tcPr>
        <w:shd w:val="clear" w:color="auto" w:fill="060E24" w:themeFill="background1" w:themeFillShade="F2"/>
      </w:tcPr>
    </w:tblStylePr>
  </w:style>
  <w:style w:type="character" w:customStyle="1" w:styleId="LOFHeadingChar">
    <w:name w:val="LOF Heading Char"/>
    <w:basedOn w:val="DefaultParagraphFont"/>
    <w:link w:val="LOFHeading"/>
    <w:rsid w:val="00AE3C79"/>
    <w:rPr>
      <w:rFonts w:ascii="Georgia" w:hAnsi="Georgia"/>
      <w:bCs/>
      <w:kern w:val="36"/>
      <w:sz w:val="68"/>
      <w:szCs w:val="68"/>
      <w:lang w:val="en-US"/>
    </w:rPr>
  </w:style>
  <w:style w:type="paragraph" w:customStyle="1" w:styleId="NTTDATAHistoryHeading">
    <w:name w:val="NTT DATA History Heading"/>
    <w:link w:val="NTTDATAHistoryHeadingChar"/>
    <w:rsid w:val="008923D1"/>
    <w:pPr>
      <w:keepNext/>
      <w:keepLines/>
      <w:spacing w:before="240" w:after="120" w:line="264" w:lineRule="auto"/>
    </w:pPr>
    <w:rPr>
      <w:rFonts w:asciiTheme="majorHAnsi" w:hAnsiTheme="majorHAnsi"/>
      <w:b/>
      <w:color w:val="2E404D" w:themeColor="text2"/>
      <w:kern w:val="18"/>
      <w:lang w:val="en-US"/>
    </w:rPr>
  </w:style>
  <w:style w:type="character" w:customStyle="1" w:styleId="NTTDATAHistoryHeadingChar">
    <w:name w:val="NTT DATA History Heading Char"/>
    <w:basedOn w:val="DefaultParagraphFont"/>
    <w:link w:val="NTTDATAHistoryHeading"/>
    <w:rsid w:val="008923D1"/>
    <w:rPr>
      <w:rFonts w:asciiTheme="majorHAnsi" w:hAnsiTheme="majorHAnsi"/>
      <w:b/>
      <w:color w:val="2E404D" w:themeColor="text2"/>
      <w:kern w:val="18"/>
      <w:lang w:val="en-US"/>
    </w:rPr>
  </w:style>
  <w:style w:type="table" w:styleId="GridTable1Light">
    <w:name w:val="Grid Table 1 Light"/>
    <w:aliases w:val="NTT Table 1"/>
    <w:basedOn w:val="TableNormal"/>
    <w:uiPriority w:val="46"/>
    <w:rsid w:val="00AE3C7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070F26" w:themeColor="background1"/>
        <w:sz w:val="20"/>
      </w:rPr>
      <w:tblPr/>
      <w:tcPr>
        <w:tcBorders>
          <w:top w:val="single" w:sz="4" w:space="0" w:color="949494" w:themeColor="accent6"/>
          <w:bottom w:val="nil"/>
        </w:tcBorders>
        <w:shd w:val="clear" w:color="auto" w:fill="00DFED"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1">
    <w:name w:val="Grid Table 1 Light Accent 1"/>
    <w:basedOn w:val="GridTable1Light"/>
    <w:uiPriority w:val="46"/>
    <w:rsid w:val="00AE3C79"/>
    <w:tblPr>
      <w:tblBorders>
        <w:top w:val="none" w:sz="0" w:space="0" w:color="auto"/>
        <w:bottom w:val="none" w:sz="0" w:space="0" w:color="auto"/>
        <w:insideH w:val="none" w:sz="0" w:space="0" w:color="auto"/>
        <w:insideV w:val="none" w:sz="0" w:space="0" w:color="auto"/>
      </w:tblBorders>
    </w:tblPr>
    <w:tblStylePr w:type="firstRow">
      <w:rPr>
        <w:rFonts w:ascii="Arial" w:hAnsi="Arial"/>
        <w:b/>
        <w:bCs/>
        <w:color w:val="070F26" w:themeColor="background1"/>
        <w:sz w:val="20"/>
      </w:rPr>
      <w:tblPr/>
      <w:tcPr>
        <w:tcBorders>
          <w:top w:val="single" w:sz="4" w:space="0" w:color="949494" w:themeColor="accent6"/>
          <w:bottom w:val="nil"/>
        </w:tcBorders>
        <w:shd w:val="clear" w:color="auto" w:fill="00DFED"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2">
    <w:name w:val="Grid Table 1 Light Accent 2"/>
    <w:basedOn w:val="TableGrid1"/>
    <w:uiPriority w:val="46"/>
    <w:rsid w:val="00AE3C79"/>
    <w:rPr>
      <w:kern w:val="0"/>
      <w:sz w:val="20"/>
      <w:szCs w:val="20"/>
      <w:lang w:val="en-US" w:eastAsia="en-GB"/>
      <w14:ligatures w14:val="none"/>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12" w:space="0" w:color="5BF4FF" w:themeColor="accent2" w:themeTint="99"/>
        </w:tcBorders>
      </w:tcPr>
    </w:tblStylePr>
    <w:tblStylePr w:type="lastRow">
      <w:rPr>
        <w:b/>
        <w:bCs/>
        <w:i/>
        <w:iCs/>
      </w:rPr>
      <w:tblPr/>
      <w:tcPr>
        <w:tcBorders>
          <w:top w:val="double" w:sz="2" w:space="0" w:color="5BF4FF" w:themeColor="accent2" w:themeTint="99"/>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style>
  <w:style w:type="table" w:styleId="GridTable1Light-Accent3">
    <w:name w:val="Grid Table 1 Light Accent 3"/>
    <w:basedOn w:val="TableNormal"/>
    <w:uiPriority w:val="46"/>
    <w:rsid w:val="00AE3C79"/>
    <w:rPr>
      <w:sz w:val="20"/>
    </w:rPr>
    <w:tblPr>
      <w:tblStyleRowBandSize w:val="1"/>
      <w:tblStyleColBandSize w:val="1"/>
      <w:tblBorders>
        <w:top w:val="single" w:sz="4" w:space="0" w:color="84FFBB" w:themeColor="accent3" w:themeTint="66"/>
        <w:left w:val="single" w:sz="4" w:space="0" w:color="84FFBB" w:themeColor="accent3" w:themeTint="66"/>
        <w:bottom w:val="single" w:sz="4" w:space="0" w:color="84FFBB" w:themeColor="accent3" w:themeTint="66"/>
        <w:right w:val="single" w:sz="4" w:space="0" w:color="84FFBB" w:themeColor="accent3" w:themeTint="66"/>
        <w:insideH w:val="single" w:sz="4" w:space="0" w:color="84FFBB" w:themeColor="accent3" w:themeTint="66"/>
        <w:insideV w:val="single" w:sz="4" w:space="0" w:color="84FFBB" w:themeColor="accent3" w:themeTint="66"/>
      </w:tblBorders>
      <w:tblCellMar>
        <w:top w:w="85" w:type="dxa"/>
        <w:left w:w="85" w:type="dxa"/>
        <w:bottom w:w="85" w:type="dxa"/>
        <w:right w:w="85" w:type="dxa"/>
      </w:tblCellMar>
    </w:tblPr>
    <w:tblStylePr w:type="firstRow">
      <w:rPr>
        <w:b/>
        <w:bCs/>
      </w:rPr>
      <w:tblPr/>
      <w:tcPr>
        <w:tcBorders>
          <w:bottom w:val="single" w:sz="12" w:space="0" w:color="46FF9A" w:themeColor="accent3" w:themeTint="99"/>
        </w:tcBorders>
      </w:tcPr>
    </w:tblStylePr>
    <w:tblStylePr w:type="lastRow">
      <w:rPr>
        <w:b/>
        <w:bCs/>
      </w:rPr>
      <w:tblPr/>
      <w:tcPr>
        <w:tcBorders>
          <w:top w:val="double" w:sz="2" w:space="0" w:color="46FF9A"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E3C79"/>
    <w:rPr>
      <w:sz w:val="20"/>
    </w:rPr>
    <w:tblPr>
      <w:tblStyleRowBandSize w:val="1"/>
      <w:tblStyleColBandSize w:val="1"/>
      <w:tblBorders>
        <w:top w:val="single" w:sz="4" w:space="0" w:color="FFC999" w:themeColor="accent5" w:themeTint="66"/>
        <w:left w:val="single" w:sz="4" w:space="0" w:color="FFC999" w:themeColor="accent5" w:themeTint="66"/>
        <w:bottom w:val="single" w:sz="4" w:space="0" w:color="FFC999" w:themeColor="accent5" w:themeTint="66"/>
        <w:right w:val="single" w:sz="4" w:space="0" w:color="FFC999" w:themeColor="accent5" w:themeTint="66"/>
        <w:insideH w:val="single" w:sz="4" w:space="0" w:color="FFC999" w:themeColor="accent5" w:themeTint="66"/>
        <w:insideV w:val="single" w:sz="4" w:space="0" w:color="FFC999" w:themeColor="accent5" w:themeTint="66"/>
      </w:tblBorders>
      <w:tblCellMar>
        <w:top w:w="85" w:type="dxa"/>
        <w:left w:w="85" w:type="dxa"/>
        <w:bottom w:w="85" w:type="dxa"/>
        <w:right w:w="85" w:type="dxa"/>
      </w:tblCellMar>
    </w:tblPr>
    <w:tblStylePr w:type="firstRow">
      <w:rPr>
        <w:b/>
        <w:bCs/>
      </w:rPr>
      <w:tblPr/>
      <w:tcPr>
        <w:tcBorders>
          <w:bottom w:val="single" w:sz="12" w:space="0" w:color="FFAF66" w:themeColor="accent5" w:themeTint="99"/>
        </w:tcBorders>
      </w:tcPr>
    </w:tblStylePr>
    <w:tblStylePr w:type="lastRow">
      <w:rPr>
        <w:b/>
        <w:bCs/>
      </w:rPr>
      <w:tblPr/>
      <w:tcPr>
        <w:tcBorders>
          <w:top w:val="double" w:sz="2" w:space="0" w:color="FFAF66"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E3C79"/>
    <w:rPr>
      <w:sz w:val="20"/>
    </w:rPr>
    <w:tblPr>
      <w:tblStyleRowBandSize w:val="1"/>
      <w:tblStyleColBandSize w:val="1"/>
      <w:tblBorders>
        <w:top w:val="single" w:sz="4" w:space="0" w:color="FFE799" w:themeColor="accent4" w:themeTint="66"/>
        <w:left w:val="single" w:sz="4" w:space="0" w:color="FFE799" w:themeColor="accent4" w:themeTint="66"/>
        <w:bottom w:val="single" w:sz="4" w:space="0" w:color="FFE799" w:themeColor="accent4" w:themeTint="66"/>
        <w:right w:val="single" w:sz="4" w:space="0" w:color="FFE799" w:themeColor="accent4" w:themeTint="66"/>
        <w:insideH w:val="single" w:sz="4" w:space="0" w:color="FFE799" w:themeColor="accent4" w:themeTint="66"/>
        <w:insideV w:val="single" w:sz="4" w:space="0" w:color="FFE799" w:themeColor="accent4" w:themeTint="66"/>
      </w:tblBorders>
      <w:tblCellMar>
        <w:top w:w="85" w:type="dxa"/>
        <w:left w:w="85" w:type="dxa"/>
        <w:bottom w:w="85" w:type="dxa"/>
        <w:right w:w="85" w:type="dxa"/>
      </w:tblCellMar>
    </w:tblPr>
    <w:tblStylePr w:type="firstRow">
      <w:rPr>
        <w:b/>
        <w:bCs/>
      </w:rPr>
      <w:tblPr/>
      <w:tcPr>
        <w:tcBorders>
          <w:bottom w:val="single" w:sz="12" w:space="0" w:color="FFDB66" w:themeColor="accent4" w:themeTint="99"/>
        </w:tcBorders>
      </w:tcPr>
    </w:tblStylePr>
    <w:tblStylePr w:type="lastRow">
      <w:rPr>
        <w:b/>
        <w:bCs/>
      </w:rPr>
      <w:tblPr/>
      <w:tcPr>
        <w:tcBorders>
          <w:top w:val="double" w:sz="2" w:space="0" w:color="FFDB66"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E3C79"/>
    <w:rPr>
      <w:sz w:val="20"/>
    </w:rPr>
    <w:tblPr>
      <w:tblStyleRowBandSize w:val="1"/>
      <w:tblStyleColBandSize w:val="1"/>
      <w:tblBorders>
        <w:top w:val="single" w:sz="4" w:space="0" w:color="D4D4D4" w:themeColor="accent6" w:themeTint="66"/>
        <w:left w:val="single" w:sz="4" w:space="0" w:color="D4D4D4" w:themeColor="accent6" w:themeTint="66"/>
        <w:bottom w:val="single" w:sz="4" w:space="0" w:color="D4D4D4" w:themeColor="accent6" w:themeTint="66"/>
        <w:right w:val="single" w:sz="4" w:space="0" w:color="D4D4D4" w:themeColor="accent6" w:themeTint="66"/>
        <w:insideH w:val="single" w:sz="4" w:space="0" w:color="D4D4D4" w:themeColor="accent6" w:themeTint="66"/>
        <w:insideV w:val="single" w:sz="4" w:space="0" w:color="D4D4D4" w:themeColor="accent6" w:themeTint="66"/>
      </w:tblBorders>
      <w:tblCellMar>
        <w:top w:w="85" w:type="dxa"/>
        <w:left w:w="85" w:type="dxa"/>
        <w:bottom w:w="85" w:type="dxa"/>
        <w:right w:w="85" w:type="dxa"/>
      </w:tblCellMar>
    </w:tblPr>
    <w:tblStylePr w:type="firstRow">
      <w:rPr>
        <w:b/>
        <w:bCs/>
      </w:rPr>
      <w:tblPr/>
      <w:tcPr>
        <w:tcBorders>
          <w:bottom w:val="single" w:sz="12" w:space="0" w:color="BEBEBE" w:themeColor="accent6" w:themeTint="99"/>
        </w:tcBorders>
      </w:tcPr>
    </w:tblStylePr>
    <w:tblStylePr w:type="lastRow">
      <w:rPr>
        <w:b/>
        <w:bCs/>
      </w:rPr>
      <w:tblPr/>
      <w:tcPr>
        <w:tcBorders>
          <w:top w:val="double" w:sz="2" w:space="0" w:color="BEBEB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E3C79"/>
    <w:rPr>
      <w:color w:val="FFFFFF"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070F26" w:themeColor="background1"/>
        <w:sz w:val="20"/>
      </w:rPr>
      <w:tblPr/>
      <w:tcPr>
        <w:shd w:val="clear" w:color="auto" w:fill="00DFED" w:themeFill="accent2"/>
      </w:tcPr>
    </w:tblStylePr>
    <w:tblStylePr w:type="lastRow">
      <w:rPr>
        <w:b/>
        <w:bCs/>
      </w:rPr>
      <w:tblPr/>
      <w:tcPr>
        <w:tcBorders>
          <w:top w:val="nil"/>
          <w:bottom w:val="single" w:sz="4" w:space="0" w:color="949494" w:themeColor="accent6"/>
          <w:insideH w:val="nil"/>
          <w:insideV w:val="single" w:sz="4" w:space="0" w:color="949494" w:themeColor="accent6"/>
        </w:tcBorders>
        <w:shd w:val="clear" w:color="auto" w:fill="070F26" w:themeFill="background1"/>
      </w:tcPr>
    </w:tblStylePr>
    <w:tblStylePr w:type="firstCol">
      <w:rPr>
        <w:b/>
        <w:bCs/>
      </w:rPr>
    </w:tblStylePr>
    <w:tblStylePr w:type="lastCol">
      <w:rPr>
        <w:b/>
        <w:bCs/>
      </w:rPr>
    </w:tblStylePr>
    <w:tblStylePr w:type="band1Vert">
      <w:rPr>
        <w:color w:val="FFFFFF" w:themeColor="text1"/>
      </w:rPr>
    </w:tblStylePr>
  </w:style>
  <w:style w:type="table" w:styleId="GridTable4">
    <w:name w:val="Grid Table 4"/>
    <w:basedOn w:val="TableNormal"/>
    <w:uiPriority w:val="49"/>
    <w:rsid w:val="00AE3C79"/>
    <w:rPr>
      <w:color w:val="FFFFFF"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070F26" w:themeColor="background1"/>
      </w:rPr>
      <w:tblPr/>
      <w:tcPr>
        <w:tcBorders>
          <w:top w:val="single" w:sz="4" w:space="0" w:color="FFFFFF" w:themeColor="text1"/>
          <w:left w:val="single" w:sz="4" w:space="0" w:color="FFFFFF" w:themeColor="text1"/>
          <w:bottom w:val="single" w:sz="4" w:space="0" w:color="FFFFFF" w:themeColor="text1"/>
          <w:right w:val="single" w:sz="4" w:space="0" w:color="FFFFFF" w:themeColor="text1"/>
          <w:insideH w:val="nil"/>
          <w:insideV w:val="nil"/>
        </w:tcBorders>
        <w:shd w:val="clear" w:color="auto" w:fill="FFFFFF" w:themeFill="text1"/>
      </w:tcPr>
    </w:tblStylePr>
    <w:tblStylePr w:type="lastRow">
      <w:rPr>
        <w:b/>
        <w:bCs/>
      </w:rPr>
      <w:tblPr/>
      <w:tcPr>
        <w:tcBorders>
          <w:top w:val="double" w:sz="4" w:space="0" w:color="FFFFFF" w:themeColor="text1"/>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TableGrid1">
    <w:name w:val="Table Grid 1"/>
    <w:basedOn w:val="TableNormal"/>
    <w:uiPriority w:val="99"/>
    <w:semiHidden/>
    <w:unhideWhenUsed/>
    <w:rsid w:val="00AE3C79"/>
    <w:pPr>
      <w:spacing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dTable2-Accent1">
    <w:name w:val="Grid Table 2 Accent 1"/>
    <w:basedOn w:val="TableNormal"/>
    <w:uiPriority w:val="47"/>
    <w:rsid w:val="00AE3C7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bottom w:val="single" w:sz="12" w:space="0" w:color="74C7FD" w:themeColor="accent1" w:themeTint="99"/>
          <w:insideH w:val="nil"/>
          <w:insideV w:val="nil"/>
        </w:tcBorders>
        <w:shd w:val="clear" w:color="auto" w:fill="070F26" w:themeFill="background1"/>
      </w:tcPr>
    </w:tblStylePr>
    <w:tblStylePr w:type="lastRow">
      <w:rPr>
        <w:b/>
        <w:bCs/>
      </w:rPr>
      <w:tblPr/>
      <w:tcPr>
        <w:tcBorders>
          <w:top w:val="double" w:sz="2" w:space="0" w:color="74C7FD" w:themeColor="accent1" w:themeTint="99"/>
          <w:bottom w:val="nil"/>
          <w:insideH w:val="nil"/>
          <w:insideV w:val="nil"/>
        </w:tcBorders>
        <w:shd w:val="clear" w:color="auto" w:fill="070F26" w:themeFill="background1"/>
      </w:tcPr>
    </w:tblStylePr>
    <w:tblStylePr w:type="firstCol">
      <w:rPr>
        <w:b/>
        <w:bCs/>
      </w:rPr>
    </w:tblStylePr>
    <w:tblStylePr w:type="lastCol">
      <w:rPr>
        <w:b/>
        <w:bCs/>
      </w:rPr>
    </w:tblStylePr>
    <w:tblStylePr w:type="band1Vert">
      <w:tblPr/>
      <w:tcPr>
        <w:shd w:val="clear" w:color="auto" w:fill="D0ECFE" w:themeFill="accent1" w:themeFillTint="33"/>
      </w:tcPr>
    </w:tblStylePr>
    <w:tblStylePr w:type="band1Horz">
      <w:tblPr/>
      <w:tcPr>
        <w:shd w:val="clear" w:color="auto" w:fill="D0ECFE" w:themeFill="accent1" w:themeFillTint="33"/>
      </w:tcPr>
    </w:tblStylePr>
  </w:style>
  <w:style w:type="table" w:styleId="GridTable5Dark">
    <w:name w:val="Grid Table 5 Dark"/>
    <w:basedOn w:val="TableNormal"/>
    <w:uiPriority w:val="50"/>
    <w:rsid w:val="00AE3C79"/>
    <w:rPr>
      <w:sz w:val="20"/>
    </w:rPr>
    <w:tblPr>
      <w:tblStyleRowBandSize w:val="1"/>
      <w:tblStyleColBandSize w:val="1"/>
      <w:tblBorders>
        <w:top w:val="single" w:sz="4" w:space="0" w:color="070F26" w:themeColor="background1"/>
        <w:left w:val="single" w:sz="4" w:space="0" w:color="070F26" w:themeColor="background1"/>
        <w:bottom w:val="single" w:sz="4" w:space="0" w:color="070F26" w:themeColor="background1"/>
        <w:right w:val="single" w:sz="4" w:space="0" w:color="070F26" w:themeColor="background1"/>
        <w:insideH w:val="single" w:sz="4" w:space="0" w:color="070F26" w:themeColor="background1"/>
        <w:insideV w:val="single" w:sz="4" w:space="0" w:color="070F26" w:themeColor="background1"/>
      </w:tblBorders>
      <w:tblCellMar>
        <w:top w:w="85" w:type="dxa"/>
        <w:left w:w="85" w:type="dxa"/>
        <w:bottom w:w="85" w:type="dxa"/>
        <w:right w:w="85" w:type="dxa"/>
      </w:tblCellMar>
    </w:tblPr>
    <w:tcPr>
      <w:shd w:val="clear" w:color="auto" w:fill="FFFFFF" w:themeFill="text1" w:themeFillTint="33"/>
    </w:tcPr>
    <w:tblStylePr w:type="firstRow">
      <w:rPr>
        <w:b/>
        <w:bCs/>
        <w:color w:val="070F26" w:themeColor="background1"/>
      </w:rPr>
      <w:tblPr/>
      <w:tcPr>
        <w:tcBorders>
          <w:top w:val="single" w:sz="4" w:space="0" w:color="070F26" w:themeColor="background1"/>
          <w:left w:val="single" w:sz="4" w:space="0" w:color="070F26" w:themeColor="background1"/>
          <w:right w:val="single" w:sz="4" w:space="0" w:color="070F26" w:themeColor="background1"/>
          <w:insideH w:val="nil"/>
          <w:insideV w:val="nil"/>
        </w:tcBorders>
        <w:shd w:val="clear" w:color="auto" w:fill="FFFFFF" w:themeFill="text1"/>
      </w:tcPr>
    </w:tblStylePr>
    <w:tblStylePr w:type="lastRow">
      <w:rPr>
        <w:b/>
        <w:bCs/>
        <w:color w:val="070F26" w:themeColor="background1"/>
      </w:rPr>
      <w:tblPr/>
      <w:tcPr>
        <w:tcBorders>
          <w:left w:val="single" w:sz="4" w:space="0" w:color="070F26" w:themeColor="background1"/>
          <w:bottom w:val="single" w:sz="4" w:space="0" w:color="070F26" w:themeColor="background1"/>
          <w:right w:val="single" w:sz="4" w:space="0" w:color="070F26" w:themeColor="background1"/>
          <w:insideH w:val="nil"/>
          <w:insideV w:val="nil"/>
        </w:tcBorders>
        <w:shd w:val="clear" w:color="auto" w:fill="FFFFFF" w:themeFill="text1"/>
      </w:tcPr>
    </w:tblStylePr>
    <w:tblStylePr w:type="firstCol">
      <w:rPr>
        <w:b/>
        <w:bCs/>
        <w:color w:val="070F26" w:themeColor="background1"/>
      </w:rPr>
      <w:tblPr/>
      <w:tcPr>
        <w:tcBorders>
          <w:top w:val="single" w:sz="4" w:space="0" w:color="070F26" w:themeColor="background1"/>
          <w:left w:val="single" w:sz="4" w:space="0" w:color="070F26" w:themeColor="background1"/>
          <w:bottom w:val="single" w:sz="4" w:space="0" w:color="070F26" w:themeColor="background1"/>
          <w:insideV w:val="nil"/>
        </w:tcBorders>
        <w:shd w:val="clear" w:color="auto" w:fill="FFFFFF" w:themeFill="text1"/>
      </w:tcPr>
    </w:tblStylePr>
    <w:tblStylePr w:type="lastCol">
      <w:rPr>
        <w:b/>
        <w:bCs/>
        <w:color w:val="070F26" w:themeColor="background1"/>
      </w:rPr>
      <w:tblPr/>
      <w:tcPr>
        <w:tcBorders>
          <w:top w:val="single" w:sz="4" w:space="0" w:color="070F26" w:themeColor="background1"/>
          <w:bottom w:val="single" w:sz="4" w:space="0" w:color="070F26" w:themeColor="background1"/>
          <w:right w:val="single" w:sz="4" w:space="0" w:color="070F26" w:themeColor="background1"/>
          <w:insideV w:val="nil"/>
        </w:tcBorders>
        <w:shd w:val="clear" w:color="auto" w:fill="FFFFFF" w:themeFill="text1"/>
      </w:tcPr>
    </w:tblStylePr>
    <w:tblStylePr w:type="band1Vert">
      <w:tblPr/>
      <w:tcPr>
        <w:shd w:val="clear" w:color="auto" w:fill="FFFFFF" w:themeFill="text1" w:themeFillTint="66"/>
      </w:tcPr>
    </w:tblStylePr>
    <w:tblStylePr w:type="band1Horz">
      <w:tblPr/>
      <w:tcPr>
        <w:shd w:val="clear" w:color="auto" w:fill="FFFFFF" w:themeFill="text1" w:themeFillTint="66"/>
      </w:tcPr>
    </w:tblStylePr>
  </w:style>
  <w:style w:type="table" w:styleId="GridTable6Colorful">
    <w:name w:val="Grid Table 6 Colorful"/>
    <w:basedOn w:val="TableNormal"/>
    <w:uiPriority w:val="51"/>
    <w:rsid w:val="00AE3C79"/>
    <w:rPr>
      <w:color w:val="FFFFFF" w:themeColor="text1"/>
      <w:sz w:val="20"/>
    </w:rPr>
    <w:tblPr>
      <w:tblStyleRowBandSize w:val="1"/>
      <w:tblStyleColBandSize w:val="1"/>
      <w:tblBorders>
        <w:top w:val="single" w:sz="4" w:space="0" w:color="FFFFFF" w:themeColor="text1" w:themeTint="99"/>
        <w:left w:val="single" w:sz="4" w:space="0" w:color="FFFFFF" w:themeColor="text1" w:themeTint="99"/>
        <w:bottom w:val="single" w:sz="4" w:space="0" w:color="FFFFFF" w:themeColor="text1" w:themeTint="99"/>
        <w:right w:val="single" w:sz="4" w:space="0" w:color="FFFFFF" w:themeColor="text1" w:themeTint="99"/>
        <w:insideH w:val="single" w:sz="4" w:space="0" w:color="FFFFFF" w:themeColor="text1" w:themeTint="99"/>
        <w:insideV w:val="single" w:sz="4" w:space="0" w:color="FFFFFF" w:themeColor="text1" w:themeTint="99"/>
      </w:tblBorders>
      <w:tblCellMar>
        <w:top w:w="85" w:type="dxa"/>
        <w:left w:w="85" w:type="dxa"/>
        <w:bottom w:w="85" w:type="dxa"/>
        <w:right w:w="85" w:type="dxa"/>
      </w:tblCellMar>
    </w:tblPr>
    <w:tblStylePr w:type="firstRow">
      <w:rPr>
        <w:b/>
        <w:bCs/>
      </w:rPr>
      <w:tblPr/>
      <w:tcPr>
        <w:tcBorders>
          <w:bottom w:val="single" w:sz="12" w:space="0" w:color="FFFFFF" w:themeColor="text1" w:themeTint="99"/>
        </w:tcBorders>
      </w:tcPr>
    </w:tblStylePr>
    <w:tblStylePr w:type="lastRow">
      <w:rPr>
        <w:b/>
        <w:bCs/>
      </w:rPr>
      <w:tblPr/>
      <w:tcPr>
        <w:tcBorders>
          <w:top w:val="double" w:sz="4" w:space="0" w:color="FFFFFF" w:themeColor="text1" w:themeTint="99"/>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GridTable7Colorful">
    <w:name w:val="Grid Table 7 Colorful"/>
    <w:basedOn w:val="TableNormal"/>
    <w:uiPriority w:val="52"/>
    <w:rsid w:val="00AE3C79"/>
    <w:rPr>
      <w:color w:val="FFFFFF" w:themeColor="text1"/>
      <w:sz w:val="20"/>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left w:val="nil"/>
          <w:right w:val="nil"/>
          <w:insideH w:val="nil"/>
          <w:insideV w:val="nil"/>
        </w:tcBorders>
        <w:shd w:val="clear" w:color="auto" w:fill="070F26" w:themeFill="background1"/>
      </w:tcPr>
    </w:tblStylePr>
    <w:tblStylePr w:type="lastRow">
      <w:rPr>
        <w:b/>
        <w:bCs/>
      </w:rPr>
      <w:tblPr/>
      <w:tcPr>
        <w:tcBorders>
          <w:left w:val="nil"/>
          <w:bottom w:val="nil"/>
          <w:right w:val="nil"/>
          <w:insideH w:val="nil"/>
          <w:insideV w:val="nil"/>
        </w:tcBorders>
        <w:shd w:val="clear" w:color="auto" w:fill="070F26" w:themeFill="background1"/>
      </w:tcPr>
    </w:tblStylePr>
    <w:tblStylePr w:type="firstCol">
      <w:pPr>
        <w:jc w:val="right"/>
      </w:pPr>
      <w:rPr>
        <w:i/>
        <w:iCs/>
      </w:rPr>
      <w:tblPr/>
      <w:tcPr>
        <w:tcBorders>
          <w:top w:val="nil"/>
          <w:left w:val="nil"/>
          <w:bottom w:val="nil"/>
          <w:insideH w:val="nil"/>
          <w:insideV w:val="nil"/>
        </w:tcBorders>
        <w:shd w:val="clear" w:color="auto" w:fill="070F26" w:themeFill="background1"/>
      </w:tcPr>
    </w:tblStylePr>
    <w:tblStylePr w:type="lastCol">
      <w:rPr>
        <w:i/>
        <w:iCs/>
      </w:rPr>
      <w:tblPr/>
      <w:tcPr>
        <w:tcBorders>
          <w:top w:val="nil"/>
          <w:bottom w:val="nil"/>
          <w:right w:val="nil"/>
          <w:insideH w:val="nil"/>
          <w:insideV w:val="nil"/>
        </w:tcBorders>
        <w:shd w:val="clear" w:color="auto" w:fill="070F26" w:themeFill="background1"/>
      </w:tcPr>
    </w:tblStylePr>
    <w:tblStylePr w:type="band1Vert">
      <w:tblPr/>
      <w:tcPr>
        <w:shd w:val="clear" w:color="auto" w:fill="FFFFFF" w:themeFill="text1" w:themeFillTint="33"/>
      </w:tcPr>
    </w:tblStylePr>
    <w:tblStylePr w:type="band1Horz">
      <w:tblPr/>
      <w:tcPr>
        <w:shd w:val="clear" w:color="auto" w:fill="FFFFFF" w:themeFill="text1" w:themeFillTint="33"/>
      </w:tcPr>
    </w:tblStylePr>
    <w:tblStylePr w:type="neCell">
      <w:tblPr/>
      <w:tcPr>
        <w:tcBorders>
          <w:bottom w:val="single" w:sz="4" w:space="0" w:color="FFFFFF" w:themeColor="text1" w:themeTint="99"/>
        </w:tcBorders>
      </w:tcPr>
    </w:tblStylePr>
    <w:tblStylePr w:type="nwCell">
      <w:tblPr/>
      <w:tcPr>
        <w:tcBorders>
          <w:bottom w:val="single" w:sz="4" w:space="0" w:color="FFFFFF" w:themeColor="text1" w:themeTint="99"/>
        </w:tcBorders>
      </w:tcPr>
    </w:tblStylePr>
    <w:tblStylePr w:type="seCell">
      <w:tblPr/>
      <w:tcPr>
        <w:tcBorders>
          <w:top w:val="single" w:sz="4" w:space="0" w:color="FFFFFF" w:themeColor="text1" w:themeTint="99"/>
        </w:tcBorders>
      </w:tcPr>
    </w:tblStylePr>
    <w:tblStylePr w:type="swCell">
      <w:tblPr/>
      <w:tcPr>
        <w:tcBorders>
          <w:top w:val="single" w:sz="4" w:space="0" w:color="FFFFFF" w:themeColor="text1" w:themeTint="99"/>
        </w:tcBorders>
      </w:tcPr>
    </w:tblStylePr>
  </w:style>
  <w:style w:type="table" w:styleId="ListTable1Light">
    <w:name w:val="List Table 1 Light"/>
    <w:basedOn w:val="TableNormal"/>
    <w:uiPriority w:val="46"/>
    <w:rsid w:val="00AE3C7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FFFFFF" w:themeColor="text1" w:themeTint="99"/>
        </w:tcBorders>
      </w:tcPr>
    </w:tblStylePr>
    <w:tblStylePr w:type="lastRow">
      <w:rPr>
        <w:b/>
        <w:bCs/>
      </w:rPr>
      <w:tblPr/>
      <w:tcPr>
        <w:tcBorders>
          <w:top w:val="single" w:sz="4" w:space="0" w:color="FFFFFF" w:themeColor="text1" w:themeTint="99"/>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ListTable2">
    <w:name w:val="List Table 2"/>
    <w:basedOn w:val="TableNormal"/>
    <w:uiPriority w:val="47"/>
    <w:rsid w:val="00AE3C7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ListTable3">
    <w:name w:val="List Table 3"/>
    <w:basedOn w:val="TableNormal"/>
    <w:uiPriority w:val="48"/>
    <w:rsid w:val="00AE3C7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070F26" w:themeColor="background1"/>
      </w:rPr>
      <w:tblPr/>
      <w:tcPr>
        <w:shd w:val="clear" w:color="auto" w:fill="FFFFFF" w:themeFill="text1"/>
      </w:tcPr>
    </w:tblStylePr>
    <w:tblStylePr w:type="lastRow">
      <w:rPr>
        <w:b/>
        <w:bCs/>
      </w:rPr>
      <w:tblPr/>
      <w:tcPr>
        <w:tcBorders>
          <w:top w:val="double" w:sz="4" w:space="0" w:color="FFFFFF" w:themeColor="text1"/>
        </w:tcBorders>
        <w:shd w:val="clear" w:color="auto" w:fill="070F26" w:themeFill="background1"/>
      </w:tcPr>
    </w:tblStylePr>
    <w:tblStylePr w:type="firstCol">
      <w:rPr>
        <w:b/>
        <w:bCs/>
      </w:rPr>
      <w:tblPr/>
      <w:tcPr>
        <w:tcBorders>
          <w:right w:val="nil"/>
        </w:tcBorders>
        <w:shd w:val="clear" w:color="auto" w:fill="070F26" w:themeFill="background1"/>
      </w:tcPr>
    </w:tblStylePr>
    <w:tblStylePr w:type="lastCol">
      <w:rPr>
        <w:b/>
        <w:bCs/>
      </w:rPr>
      <w:tblPr/>
      <w:tcPr>
        <w:tcBorders>
          <w:left w:val="nil"/>
        </w:tcBorders>
        <w:shd w:val="clear" w:color="auto" w:fill="070F26" w:themeFill="background1"/>
      </w:tcPr>
    </w:tblStylePr>
    <w:tblStylePr w:type="band1Vert">
      <w:tblPr/>
      <w:tcPr>
        <w:tcBorders>
          <w:left w:val="single" w:sz="4" w:space="0" w:color="FFFFFF" w:themeColor="text1"/>
          <w:right w:val="single" w:sz="4" w:space="0" w:color="FFFFFF" w:themeColor="text1"/>
        </w:tcBorders>
      </w:tcPr>
    </w:tblStylePr>
    <w:tblStylePr w:type="band1Horz">
      <w:tblPr/>
      <w:tcPr>
        <w:tcBorders>
          <w:top w:val="single" w:sz="4" w:space="0" w:color="FFFFFF" w:themeColor="text1"/>
          <w:bottom w:val="single" w:sz="4" w:space="0" w:color="FFFFFF"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FFFF" w:themeColor="text1"/>
          <w:left w:val="nil"/>
        </w:tcBorders>
      </w:tcPr>
    </w:tblStylePr>
    <w:tblStylePr w:type="swCell">
      <w:tblPr/>
      <w:tcPr>
        <w:tcBorders>
          <w:top w:val="double" w:sz="4" w:space="0" w:color="FFFFFF" w:themeColor="text1"/>
          <w:right w:val="nil"/>
        </w:tcBorders>
      </w:tcPr>
    </w:tblStylePr>
  </w:style>
  <w:style w:type="table" w:styleId="ListTable4">
    <w:name w:val="List Table 4"/>
    <w:basedOn w:val="TableNormal"/>
    <w:uiPriority w:val="49"/>
    <w:rsid w:val="00AE3C7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070F26" w:themeColor="background1"/>
      </w:rPr>
      <w:tblPr/>
      <w:tcPr>
        <w:tcBorders>
          <w:top w:val="single" w:sz="4" w:space="0" w:color="FFFFFF" w:themeColor="text1"/>
          <w:left w:val="single" w:sz="4" w:space="0" w:color="FFFFFF" w:themeColor="text1"/>
          <w:bottom w:val="single" w:sz="4" w:space="0" w:color="FFFFFF" w:themeColor="text1"/>
          <w:right w:val="single" w:sz="4" w:space="0" w:color="FFFFFF" w:themeColor="text1"/>
          <w:insideH w:val="nil"/>
        </w:tcBorders>
        <w:shd w:val="clear" w:color="auto" w:fill="FFFFFF" w:themeFill="text1"/>
      </w:tcPr>
    </w:tblStylePr>
    <w:tblStylePr w:type="lastRow">
      <w:rPr>
        <w:b/>
        <w:bCs/>
      </w:rPr>
      <w:tblPr/>
      <w:tcPr>
        <w:tcBorders>
          <w:top w:val="double" w:sz="4" w:space="0" w:color="FFFFFF" w:themeColor="text1" w:themeTint="99"/>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ListTable5Dark">
    <w:name w:val="List Table 5 Dark"/>
    <w:basedOn w:val="TableNormal"/>
    <w:uiPriority w:val="50"/>
    <w:rsid w:val="00AE3C79"/>
    <w:rPr>
      <w:color w:val="070F26" w:themeColor="background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FFFFFF" w:themeFill="text1"/>
    </w:tcPr>
    <w:tblStylePr w:type="firstRow">
      <w:rPr>
        <w:b/>
        <w:bCs/>
      </w:rPr>
      <w:tblPr/>
      <w:tcPr>
        <w:tcBorders>
          <w:bottom w:val="single" w:sz="18" w:space="0" w:color="070F26" w:themeColor="background1"/>
        </w:tcBorders>
      </w:tcPr>
    </w:tblStylePr>
    <w:tblStylePr w:type="lastRow">
      <w:rPr>
        <w:b/>
        <w:bCs/>
      </w:rPr>
      <w:tblPr/>
      <w:tcPr>
        <w:tcBorders>
          <w:top w:val="single" w:sz="4" w:space="0" w:color="070F26" w:themeColor="background1"/>
        </w:tcBorders>
      </w:tcPr>
    </w:tblStylePr>
    <w:tblStylePr w:type="firstCol">
      <w:rPr>
        <w:b/>
        <w:bCs/>
      </w:rPr>
      <w:tblPr/>
      <w:tcPr>
        <w:tcBorders>
          <w:right w:val="single" w:sz="4" w:space="0" w:color="070F26" w:themeColor="background1"/>
        </w:tcBorders>
      </w:tcPr>
    </w:tblStylePr>
    <w:tblStylePr w:type="lastCol">
      <w:rPr>
        <w:b/>
        <w:bCs/>
      </w:rPr>
      <w:tblPr/>
      <w:tcPr>
        <w:tcBorders>
          <w:left w:val="single" w:sz="4" w:space="0" w:color="070F26" w:themeColor="background1"/>
        </w:tcBorders>
      </w:tcPr>
    </w:tblStylePr>
    <w:tblStylePr w:type="band1Vert">
      <w:tblPr/>
      <w:tcPr>
        <w:tcBorders>
          <w:left w:val="single" w:sz="4" w:space="0" w:color="070F26" w:themeColor="background1"/>
          <w:right w:val="single" w:sz="4" w:space="0" w:color="070F26" w:themeColor="background1"/>
        </w:tcBorders>
      </w:tcPr>
    </w:tblStylePr>
    <w:tblStylePr w:type="band2Vert">
      <w:tblPr/>
      <w:tcPr>
        <w:tcBorders>
          <w:left w:val="single" w:sz="4" w:space="0" w:color="070F26" w:themeColor="background1"/>
          <w:right w:val="single" w:sz="4" w:space="0" w:color="070F26" w:themeColor="background1"/>
        </w:tcBorders>
      </w:tcPr>
    </w:tblStylePr>
    <w:tblStylePr w:type="band1Horz">
      <w:tblPr/>
      <w:tcPr>
        <w:tcBorders>
          <w:top w:val="single" w:sz="4" w:space="0" w:color="070F26" w:themeColor="background1"/>
          <w:bottom w:val="single" w:sz="4" w:space="0" w:color="070F26"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E3C79"/>
    <w:rPr>
      <w:color w:val="FFFFFF"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FFFFFF" w:themeColor="text1"/>
        </w:tcBorders>
      </w:tcPr>
    </w:tblStylePr>
    <w:tblStylePr w:type="lastRow">
      <w:rPr>
        <w:b/>
        <w:bCs/>
      </w:rPr>
      <w:tblPr/>
      <w:tcPr>
        <w:tcBorders>
          <w:top w:val="double" w:sz="4" w:space="0" w:color="FFFFFF" w:themeColor="text1"/>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ListTable7Colorful">
    <w:name w:val="List Table 7 Colorful"/>
    <w:basedOn w:val="TableNormal"/>
    <w:uiPriority w:val="52"/>
    <w:rsid w:val="00AE3C79"/>
    <w:rPr>
      <w:color w:val="FFFFFF"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FFFFFF" w:themeColor="text1"/>
        </w:tcBorders>
        <w:shd w:val="clear" w:color="auto" w:fill="070F26" w:themeFill="background1"/>
      </w:tcPr>
    </w:tblStylePr>
    <w:tblStylePr w:type="lastRow">
      <w:rPr>
        <w:rFonts w:asciiTheme="majorHAnsi" w:eastAsiaTheme="majorEastAsia" w:hAnsiTheme="majorHAnsi" w:cstheme="majorBidi"/>
        <w:i/>
        <w:iCs/>
        <w:sz w:val="26"/>
      </w:rPr>
      <w:tblPr/>
      <w:tcPr>
        <w:tcBorders>
          <w:top w:val="single" w:sz="4" w:space="0" w:color="FFFFFF" w:themeColor="text1"/>
        </w:tcBorders>
        <w:shd w:val="clear" w:color="auto" w:fill="070F26"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FFFF" w:themeColor="text1"/>
        </w:tcBorders>
        <w:shd w:val="clear" w:color="auto" w:fill="070F26" w:themeFill="background1"/>
      </w:tcPr>
    </w:tblStylePr>
    <w:tblStylePr w:type="lastCol">
      <w:rPr>
        <w:rFonts w:asciiTheme="majorHAnsi" w:eastAsiaTheme="majorEastAsia" w:hAnsiTheme="majorHAnsi" w:cstheme="majorBidi"/>
        <w:i/>
        <w:iCs/>
        <w:sz w:val="26"/>
      </w:rPr>
      <w:tblPr/>
      <w:tcPr>
        <w:tcBorders>
          <w:left w:val="single" w:sz="4" w:space="0" w:color="FFFFFF" w:themeColor="text1"/>
        </w:tcBorders>
        <w:shd w:val="clear" w:color="auto" w:fill="070F26" w:themeFill="background1"/>
      </w:tcPr>
    </w:tblStylePr>
    <w:tblStylePr w:type="band1Vert">
      <w:tblPr/>
      <w:tcPr>
        <w:shd w:val="clear" w:color="auto" w:fill="FFFFFF" w:themeFill="text1" w:themeFillTint="33"/>
      </w:tcPr>
    </w:tblStylePr>
    <w:tblStylePr w:type="band1Horz">
      <w:tblPr/>
      <w:tcPr>
        <w:shd w:val="clear" w:color="auto" w:fill="FFFFFF"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AE3C7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 w:type="table" w:styleId="PlainTable3">
    <w:name w:val="Plain Table 3"/>
    <w:basedOn w:val="TableNormal"/>
    <w:uiPriority w:val="43"/>
    <w:rsid w:val="00AE3C7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aps/>
      </w:rPr>
      <w:tblPr/>
      <w:tcPr>
        <w:tcBorders>
          <w:bottom w:val="single" w:sz="4" w:space="0" w:color="FFFFF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FFFFFF" w:themeColor="text1" w:themeTint="80"/>
        </w:tcBorders>
      </w:tcPr>
    </w:tblStylePr>
    <w:tblStylePr w:type="lastCol">
      <w:rPr>
        <w:b/>
        <w:bCs/>
        <w:caps/>
      </w:rPr>
      <w:tblPr/>
      <w:tcPr>
        <w:tcBorders>
          <w:left w:val="nil"/>
        </w:tcBorders>
      </w:tcPr>
    </w:tblStylePr>
    <w:tblStylePr w:type="band1Vert">
      <w:tblPr/>
      <w:tcPr>
        <w:shd w:val="clear" w:color="auto" w:fill="060E24" w:themeFill="background1" w:themeFillShade="F2"/>
      </w:tcPr>
    </w:tblStylePr>
    <w:tblStylePr w:type="band1Horz">
      <w:tblPr/>
      <w:tcPr>
        <w:shd w:val="clear" w:color="auto" w:fill="060E24"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E3C7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060E24" w:themeFill="background1" w:themeFillShade="F2"/>
      </w:tcPr>
    </w:tblStylePr>
    <w:tblStylePr w:type="band1Horz">
      <w:tblPr/>
      <w:tcPr>
        <w:shd w:val="clear" w:color="auto" w:fill="060E24" w:themeFill="background1" w:themeFillShade="F2"/>
      </w:tcPr>
    </w:tblStylePr>
  </w:style>
  <w:style w:type="table" w:styleId="PlainTable5">
    <w:name w:val="Plain Table 5"/>
    <w:basedOn w:val="TableNormal"/>
    <w:uiPriority w:val="45"/>
    <w:rsid w:val="00AE3C7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FFFFFF" w:themeColor="text1" w:themeTint="80"/>
        </w:tcBorders>
        <w:shd w:val="clear" w:color="auto" w:fill="070F26" w:themeFill="background1"/>
      </w:tcPr>
    </w:tblStylePr>
    <w:tblStylePr w:type="lastRow">
      <w:rPr>
        <w:rFonts w:asciiTheme="majorHAnsi" w:eastAsiaTheme="majorEastAsia" w:hAnsiTheme="majorHAnsi" w:cstheme="majorBidi"/>
        <w:i/>
        <w:iCs/>
        <w:sz w:val="26"/>
      </w:rPr>
      <w:tblPr/>
      <w:tcPr>
        <w:tcBorders>
          <w:top w:val="single" w:sz="4" w:space="0" w:color="FFFFFF" w:themeColor="text1" w:themeTint="80"/>
        </w:tcBorders>
        <w:shd w:val="clear" w:color="auto" w:fill="070F26"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FFFF" w:themeColor="text1" w:themeTint="80"/>
        </w:tcBorders>
        <w:shd w:val="clear" w:color="auto" w:fill="070F26" w:themeFill="background1"/>
      </w:tcPr>
    </w:tblStylePr>
    <w:tblStylePr w:type="lastCol">
      <w:rPr>
        <w:rFonts w:asciiTheme="majorHAnsi" w:eastAsiaTheme="majorEastAsia" w:hAnsiTheme="majorHAnsi" w:cstheme="majorBidi"/>
        <w:i/>
        <w:iCs/>
        <w:sz w:val="26"/>
      </w:rPr>
      <w:tblPr/>
      <w:tcPr>
        <w:tcBorders>
          <w:left w:val="single" w:sz="4" w:space="0" w:color="FFFFFF" w:themeColor="text1" w:themeTint="80"/>
        </w:tcBorders>
        <w:shd w:val="clear" w:color="auto" w:fill="070F26" w:themeFill="background1"/>
      </w:tcPr>
    </w:tblStylePr>
    <w:tblStylePr w:type="band1Vert">
      <w:tblPr/>
      <w:tcPr>
        <w:shd w:val="clear" w:color="auto" w:fill="060E24" w:themeFill="background1" w:themeFillShade="F2"/>
      </w:tcPr>
    </w:tblStylePr>
    <w:tblStylePr w:type="band1Horz">
      <w:tblPr/>
      <w:tcPr>
        <w:shd w:val="clear" w:color="auto" w:fill="060E24"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A35DF"/>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style>
  <w:style w:type="paragraph" w:customStyle="1" w:styleId="NTTDATALegalIndent">
    <w:name w:val="NTT DATA Legal Indent"/>
    <w:basedOn w:val="NTTDATALegalBody"/>
    <w:qFormat/>
    <w:rsid w:val="003F66EC"/>
    <w:pPr>
      <w:ind w:left="851"/>
    </w:pPr>
    <w:rPr>
      <w:color w:val="070F26" w:themeColor="background1"/>
    </w:rPr>
  </w:style>
  <w:style w:type="paragraph" w:styleId="CommentSubject">
    <w:name w:val="annotation subject"/>
    <w:basedOn w:val="CommentText"/>
    <w:next w:val="CommentText"/>
    <w:link w:val="CommentSubjectChar"/>
    <w:uiPriority w:val="99"/>
    <w:semiHidden/>
    <w:unhideWhenUsed/>
    <w:rsid w:val="00AE3C79"/>
    <w:rPr>
      <w:b/>
      <w:bCs/>
    </w:rPr>
  </w:style>
  <w:style w:type="character" w:customStyle="1" w:styleId="CommentSubjectChar">
    <w:name w:val="Comment Subject Char"/>
    <w:basedOn w:val="CommentTextChar"/>
    <w:link w:val="CommentSubject"/>
    <w:uiPriority w:val="99"/>
    <w:semiHidden/>
    <w:rsid w:val="00AE3C79"/>
    <w:rPr>
      <w:rFonts w:ascii="Arial" w:hAnsi="Arial"/>
      <w:b/>
      <w:bCs/>
      <w:sz w:val="20"/>
      <w:szCs w:val="20"/>
      <w:lang w:val="en-US"/>
    </w:rPr>
  </w:style>
  <w:style w:type="paragraph" w:customStyle="1" w:styleId="Classification">
    <w:name w:val="Classification"/>
    <w:basedOn w:val="Subtitle"/>
    <w:link w:val="ClassificationChar"/>
    <w:qFormat/>
    <w:rsid w:val="00AE3C79"/>
  </w:style>
  <w:style w:type="character" w:customStyle="1" w:styleId="ClassificationChar">
    <w:name w:val="Classification Char"/>
    <w:basedOn w:val="SubtitleChar"/>
    <w:link w:val="Classification"/>
    <w:rsid w:val="00AE3C79"/>
    <w:rPr>
      <w:rFonts w:ascii="Arial" w:hAnsi="Arial"/>
      <w:sz w:val="28"/>
      <w:szCs w:val="32"/>
      <w:lang w:val="en-US"/>
    </w:rPr>
  </w:style>
  <w:style w:type="numbering" w:customStyle="1" w:styleId="NTTBlueBulletList">
    <w:name w:val="_NTT Blue Bullet List"/>
    <w:uiPriority w:val="89"/>
    <w:rsid w:val="00AE3C79"/>
    <w:pPr>
      <w:numPr>
        <w:numId w:val="8"/>
      </w:numPr>
    </w:pPr>
  </w:style>
  <w:style w:type="numbering" w:customStyle="1" w:styleId="NTTHeadingsList">
    <w:name w:val="_NTT Headings List"/>
    <w:basedOn w:val="NoList"/>
    <w:uiPriority w:val="89"/>
    <w:rsid w:val="00AE3C79"/>
    <w:pPr>
      <w:numPr>
        <w:numId w:val="9"/>
      </w:numPr>
    </w:pPr>
  </w:style>
  <w:style w:type="table" w:customStyle="1" w:styleId="NTTFutureBluetable">
    <w:name w:val="NTT Future Blue table"/>
    <w:basedOn w:val="TableGrid"/>
    <w:uiPriority w:val="99"/>
    <w:rsid w:val="006313A9"/>
    <w:pPr>
      <w:spacing w:line="264" w:lineRule="auto"/>
    </w:pPr>
    <w:rPr>
      <w:color w:val="FFFFFF" w:themeColor="text1"/>
    </w:rPr>
    <w:tblPr>
      <w:tblStyleRowBandSize w:val="1"/>
      <w:tblStyleColBandSize w:val="1"/>
      <w:tblBorders>
        <w:top w:val="single" w:sz="4" w:space="0" w:color="030712" w:themeColor="background1" w:themeShade="80"/>
        <w:bottom w:val="single" w:sz="4" w:space="0" w:color="030712" w:themeColor="background1" w:themeShade="80"/>
        <w:insideH w:val="single" w:sz="4" w:space="0" w:color="030712" w:themeColor="background1" w:themeShade="80"/>
        <w:insideV w:val="single" w:sz="4" w:space="0" w:color="030712" w:themeColor="background1" w:themeShade="80"/>
      </w:tblBorders>
      <w:tblCellMar>
        <w:top w:w="28" w:type="dxa"/>
        <w:bottom w:w="28" w:type="dxa"/>
      </w:tblCellMar>
    </w:tblPr>
    <w:trPr>
      <w:cantSplit/>
    </w:trPr>
    <w:tcPr>
      <w:tcMar>
        <w:top w:w="85" w:type="dxa"/>
        <w:left w:w="85" w:type="dxa"/>
        <w:bottom w:w="85" w:type="dxa"/>
        <w:right w:w="85" w:type="dxa"/>
      </w:tcMar>
    </w:tcPr>
    <w:tblStylePr w:type="firstRow">
      <w:rPr>
        <w:b/>
        <w:color w:val="070F26" w:themeColor="background1"/>
      </w:rPr>
      <w:tblPr/>
      <w:trPr>
        <w:cantSplit w:val="0"/>
        <w:tblHeader/>
      </w:trPr>
      <w:tcPr>
        <w:shd w:val="clear" w:color="auto" w:fill="00DFED" w:themeFill="accent2"/>
      </w:tcPr>
    </w:tblStylePr>
    <w:tblStylePr w:type="lastRow">
      <w:rPr>
        <w:b/>
        <w:color w:val="auto"/>
      </w:rPr>
      <w:tblPr/>
      <w:tcPr>
        <w:shd w:val="clear" w:color="auto" w:fill="060C20" w:themeFill="background1" w:themeFillShade="D9"/>
      </w:tcPr>
    </w:tblStylePr>
    <w:tblStylePr w:type="firstCol">
      <w:rPr>
        <w:b/>
        <w:color w:val="070F26" w:themeColor="background1"/>
      </w:rPr>
      <w:tblPr/>
      <w:tcPr>
        <w:shd w:val="clear" w:color="auto" w:fill="00DFED" w:themeFill="accent2"/>
      </w:tcPr>
    </w:tblStylePr>
    <w:tblStylePr w:type="lastCol">
      <w:rPr>
        <w:b/>
      </w:rPr>
      <w:tblPr/>
      <w:tcPr>
        <w:tcBorders>
          <w:insideH w:val="single" w:sz="4" w:space="0" w:color="030712" w:themeColor="background1" w:themeShade="80"/>
          <w:insideV w:val="single" w:sz="4" w:space="0" w:color="030712" w:themeColor="background1" w:themeShade="80"/>
        </w:tcBorders>
        <w:shd w:val="clear" w:color="auto" w:fill="060C20" w:themeFill="background1" w:themeFillShade="D9"/>
      </w:tcPr>
    </w:tblStylePr>
  </w:style>
  <w:style w:type="table" w:customStyle="1" w:styleId="NTTGreen">
    <w:name w:val="NTT Green"/>
    <w:basedOn w:val="TableNormal"/>
    <w:uiPriority w:val="99"/>
    <w:rsid w:val="006313A9"/>
    <w:pPr>
      <w:spacing w:line="264" w:lineRule="auto"/>
    </w:pPr>
    <w:rPr>
      <w:color w:val="FFFFFF" w:themeColor="text1"/>
    </w:rPr>
    <w:tblPr>
      <w:tblBorders>
        <w:top w:val="single" w:sz="4" w:space="0" w:color="030712" w:themeColor="background1" w:themeShade="80"/>
        <w:bottom w:val="single" w:sz="4" w:space="0" w:color="030712" w:themeColor="background1" w:themeShade="80"/>
        <w:insideH w:val="single" w:sz="4" w:space="0" w:color="030712" w:themeColor="background1" w:themeShade="80"/>
        <w:insideV w:val="single" w:sz="4" w:space="0" w:color="030712" w:themeColor="background1" w:themeShade="80"/>
      </w:tblBorders>
      <w:tblCellMar>
        <w:top w:w="85" w:type="dxa"/>
        <w:left w:w="85" w:type="dxa"/>
        <w:bottom w:w="85" w:type="dxa"/>
        <w:right w:w="85" w:type="dxa"/>
      </w:tblCellMar>
    </w:tblPr>
    <w:tblStylePr w:type="firstRow">
      <w:rPr>
        <w:b/>
        <w:color w:val="070F26" w:themeColor="background1"/>
      </w:rPr>
      <w:tblPr/>
      <w:tcPr>
        <w:shd w:val="clear" w:color="auto" w:fill="FFC400" w:themeFill="accent4"/>
      </w:tcPr>
    </w:tblStylePr>
    <w:tblStylePr w:type="lastRow">
      <w:rPr>
        <w:b/>
      </w:rPr>
      <w:tblPr/>
      <w:tcPr>
        <w:shd w:val="clear" w:color="auto" w:fill="060E24" w:themeFill="background1" w:themeFillShade="F2"/>
      </w:tcPr>
    </w:tblStylePr>
  </w:style>
  <w:style w:type="table" w:customStyle="1" w:styleId="NTTGreytable">
    <w:name w:val="NTT Grey table"/>
    <w:basedOn w:val="TableNormal"/>
    <w:uiPriority w:val="99"/>
    <w:rsid w:val="006313A9"/>
    <w:rPr>
      <w:color w:val="FFFFFF" w:themeColor="text1"/>
    </w:rPr>
    <w:tblPr>
      <w:tblBorders>
        <w:top w:val="single" w:sz="4" w:space="0" w:color="030712" w:themeColor="background1" w:themeShade="80"/>
        <w:bottom w:val="single" w:sz="4" w:space="0" w:color="030712" w:themeColor="background1" w:themeShade="80"/>
        <w:insideH w:val="single" w:sz="4" w:space="0" w:color="030712" w:themeColor="background1" w:themeShade="80"/>
        <w:insideV w:val="single" w:sz="4" w:space="0" w:color="030712" w:themeColor="background1" w:themeShade="80"/>
      </w:tblBorders>
      <w:tblCellMar>
        <w:top w:w="85" w:type="dxa"/>
        <w:left w:w="85" w:type="dxa"/>
        <w:bottom w:w="85" w:type="dxa"/>
        <w:right w:w="85" w:type="dxa"/>
      </w:tblCellMar>
    </w:tblPr>
    <w:tblStylePr w:type="firstRow">
      <w:rPr>
        <w:b/>
        <w:color w:val="070F26" w:themeColor="background1"/>
      </w:rPr>
      <w:tblPr/>
      <w:tcPr>
        <w:tcBorders>
          <w:insideH w:val="single" w:sz="4" w:space="0" w:color="030712" w:themeColor="background1" w:themeShade="80"/>
          <w:insideV w:val="single" w:sz="4" w:space="0" w:color="030712" w:themeColor="background1" w:themeShade="80"/>
        </w:tcBorders>
        <w:shd w:val="clear" w:color="auto" w:fill="040918" w:themeFill="background1" w:themeFillShade="A6"/>
      </w:tcPr>
    </w:tblStylePr>
    <w:tblStylePr w:type="lastRow">
      <w:rPr>
        <w:b/>
      </w:rPr>
      <w:tblPr/>
      <w:tcPr>
        <w:shd w:val="clear" w:color="auto" w:fill="060C20" w:themeFill="background1" w:themeFillShade="D9"/>
      </w:tcPr>
    </w:tblStylePr>
  </w:style>
  <w:style w:type="paragraph" w:customStyle="1" w:styleId="NTTSmallPrint">
    <w:name w:val="NTT Small Print"/>
    <w:basedOn w:val="Normal"/>
    <w:uiPriority w:val="79"/>
    <w:unhideWhenUsed/>
    <w:rsid w:val="00F42F0F"/>
    <w:pPr>
      <w:spacing w:before="160" w:after="160"/>
    </w:pPr>
    <w:rPr>
      <w:rFonts w:eastAsia="Times New Roman" w:cs="Arial"/>
      <w:color w:val="070F26" w:themeColor="background1"/>
      <w:kern w:val="17"/>
      <w:sz w:val="17"/>
      <w:szCs w:val="20"/>
      <w:lang w:val="en-GB"/>
      <w14:ligatures w14:val="none"/>
    </w:rPr>
  </w:style>
  <w:style w:type="paragraph" w:customStyle="1" w:styleId="NTTDATATableBoldBullet">
    <w:name w:val="NTT DATA Table Bold Bullet"/>
    <w:basedOn w:val="Normal"/>
    <w:next w:val="Normal"/>
    <w:uiPriority w:val="14"/>
    <w:rsid w:val="00CA33F5"/>
    <w:pPr>
      <w:keepNext/>
      <w:keepLines/>
      <w:numPr>
        <w:ilvl w:val="3"/>
        <w:numId w:val="14"/>
      </w:numPr>
      <w:spacing w:before="160" w:after="160"/>
      <w:contextualSpacing/>
    </w:pPr>
    <w:rPr>
      <w:rFonts w:ascii="Arial Bold" w:eastAsia="Times New Roman" w:hAnsi="Arial Bold" w:cs="Tahoma"/>
      <w:b/>
      <w:color w:val="FFFFFF" w:themeColor="text1"/>
      <w:kern w:val="18"/>
      <w:szCs w:val="20"/>
      <w:lang w:val="en-GB"/>
      <w14:ligatures w14:val="none"/>
    </w:rPr>
  </w:style>
  <w:style w:type="paragraph" w:styleId="Title">
    <w:name w:val="Title"/>
    <w:next w:val="Normal"/>
    <w:link w:val="TitleChar"/>
    <w:uiPriority w:val="10"/>
    <w:rsid w:val="008923D1"/>
    <w:pPr>
      <w:spacing w:before="120" w:after="120"/>
      <w:contextualSpacing/>
      <w:outlineLvl w:val="0"/>
    </w:pPr>
    <w:rPr>
      <w:rFonts w:ascii="Georgia" w:eastAsiaTheme="majorEastAsia" w:hAnsi="Georgia" w:cstheme="majorBidi"/>
      <w:color w:val="0072BC" w:themeColor="background2"/>
      <w:kern w:val="28"/>
      <w:sz w:val="68"/>
      <w:szCs w:val="64"/>
      <w:lang w:val="en-US"/>
    </w:rPr>
  </w:style>
  <w:style w:type="character" w:customStyle="1" w:styleId="TitleChar">
    <w:name w:val="Title Char"/>
    <w:basedOn w:val="DefaultParagraphFont"/>
    <w:link w:val="Title"/>
    <w:uiPriority w:val="10"/>
    <w:rsid w:val="008923D1"/>
    <w:rPr>
      <w:rFonts w:ascii="Georgia" w:eastAsiaTheme="majorEastAsia" w:hAnsi="Georgia" w:cstheme="majorBidi"/>
      <w:color w:val="0072BC" w:themeColor="background2"/>
      <w:kern w:val="28"/>
      <w:sz w:val="68"/>
      <w:szCs w:val="64"/>
      <w:lang w:val="en-US"/>
    </w:rPr>
  </w:style>
  <w:style w:type="paragraph" w:styleId="TOC4">
    <w:name w:val="toc 4"/>
    <w:basedOn w:val="Normal"/>
    <w:next w:val="Normal"/>
    <w:uiPriority w:val="39"/>
    <w:unhideWhenUsed/>
    <w:rsid w:val="00CE57C1"/>
    <w:pPr>
      <w:tabs>
        <w:tab w:val="right" w:leader="dot" w:pos="9628"/>
      </w:tabs>
      <w:spacing w:before="120" w:after="100"/>
      <w:ind w:left="1485" w:hanging="1485"/>
    </w:pPr>
    <w:rPr>
      <w:noProof/>
    </w:rPr>
  </w:style>
  <w:style w:type="paragraph" w:styleId="TOC5">
    <w:name w:val="toc 5"/>
    <w:basedOn w:val="Normal"/>
    <w:next w:val="Normal"/>
    <w:uiPriority w:val="39"/>
    <w:unhideWhenUsed/>
    <w:rsid w:val="00CE57C1"/>
    <w:pPr>
      <w:tabs>
        <w:tab w:val="right" w:leader="dot" w:pos="9628"/>
      </w:tabs>
      <w:spacing w:after="100"/>
      <w:ind w:left="1494" w:hanging="1494"/>
    </w:pPr>
    <w:rPr>
      <w:noProof/>
    </w:rPr>
  </w:style>
  <w:style w:type="paragraph" w:customStyle="1" w:styleId="AppendixA">
    <w:name w:val="Appendix A"/>
    <w:qFormat/>
    <w:rsid w:val="00FD04E3"/>
    <w:pPr>
      <w:tabs>
        <w:tab w:val="left" w:pos="1530"/>
      </w:tabs>
    </w:pPr>
    <w:rPr>
      <w:rFonts w:eastAsiaTheme="minorEastAsia"/>
      <w:b/>
      <w:noProof/>
      <w:color w:val="2E404D" w:themeColor="text2"/>
      <w:sz w:val="22"/>
      <w:szCs w:val="22"/>
      <w:lang w:eastAsia="en-ZA"/>
    </w:rPr>
  </w:style>
  <w:style w:type="paragraph" w:customStyle="1" w:styleId="paragraph">
    <w:name w:val="paragraph"/>
    <w:basedOn w:val="Normal"/>
    <w:rsid w:val="009E7929"/>
    <w:pPr>
      <w:spacing w:before="100" w:beforeAutospacing="1" w:after="100" w:afterAutospacing="1" w:line="240" w:lineRule="auto"/>
    </w:pPr>
    <w:rPr>
      <w:rFonts w:ascii="Times New Roman" w:eastAsia="Times New Roman" w:hAnsi="Times New Roman" w:cs="Times New Roman"/>
      <w:kern w:val="0"/>
      <w:sz w:val="24"/>
      <w:lang w:eastAsia="zh-CN"/>
      <w14:ligatures w14:val="none"/>
    </w:rPr>
  </w:style>
  <w:style w:type="character" w:customStyle="1" w:styleId="normaltextrun">
    <w:name w:val="normaltextrun"/>
    <w:basedOn w:val="DefaultParagraphFont"/>
    <w:rsid w:val="009E7929"/>
  </w:style>
  <w:style w:type="character" w:customStyle="1" w:styleId="eop">
    <w:name w:val="eop"/>
    <w:basedOn w:val="DefaultParagraphFont"/>
    <w:rsid w:val="009E7929"/>
  </w:style>
  <w:style w:type="character" w:styleId="Strong">
    <w:name w:val="Strong"/>
    <w:basedOn w:val="DefaultParagraphFont"/>
    <w:uiPriority w:val="22"/>
    <w:qFormat/>
    <w:rsid w:val="005133D4"/>
    <w:rPr>
      <w:b/>
      <w:bCs/>
    </w:rPr>
  </w:style>
  <w:style w:type="character" w:customStyle="1" w:styleId="tabchar">
    <w:name w:val="tabchar"/>
    <w:basedOn w:val="DefaultParagraphFont"/>
    <w:rsid w:val="001217E2"/>
  </w:style>
  <w:style w:type="character" w:styleId="HTMLCode">
    <w:name w:val="HTML Code"/>
    <w:basedOn w:val="DefaultParagraphFont"/>
    <w:uiPriority w:val="99"/>
    <w:semiHidden/>
    <w:unhideWhenUsed/>
    <w:rsid w:val="008E0881"/>
    <w:rPr>
      <w:rFonts w:ascii="Courier New" w:eastAsia="Times New Roman" w:hAnsi="Courier New" w:cs="Courier New"/>
      <w:sz w:val="20"/>
      <w:szCs w:val="20"/>
    </w:rPr>
  </w:style>
  <w:style w:type="paragraph" w:styleId="NormalWeb">
    <w:name w:val="Normal (Web)"/>
    <w:basedOn w:val="Normal"/>
    <w:uiPriority w:val="99"/>
    <w:unhideWhenUsed/>
    <w:rsid w:val="00F64A84"/>
    <w:pPr>
      <w:spacing w:before="100" w:beforeAutospacing="1" w:after="100" w:afterAutospacing="1" w:line="240" w:lineRule="auto"/>
    </w:pPr>
    <w:rPr>
      <w:rFonts w:ascii="Times New Roman" w:eastAsia="Times New Roman" w:hAnsi="Times New Roman" w:cs="Times New Roman"/>
      <w:kern w:val="0"/>
      <w:sz w:val="24"/>
      <w:lang w:eastAsia="zh-CN"/>
      <w14:ligatures w14:val="none"/>
    </w:rPr>
  </w:style>
  <w:style w:type="paragraph" w:styleId="ListBullet">
    <w:name w:val="List Bullet"/>
    <w:basedOn w:val="Normal"/>
    <w:uiPriority w:val="99"/>
    <w:unhideWhenUsed/>
    <w:rsid w:val="00231A2A"/>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708417">
      <w:bodyDiv w:val="1"/>
      <w:marLeft w:val="0"/>
      <w:marRight w:val="0"/>
      <w:marTop w:val="0"/>
      <w:marBottom w:val="0"/>
      <w:divBdr>
        <w:top w:val="none" w:sz="0" w:space="0" w:color="auto"/>
        <w:left w:val="none" w:sz="0" w:space="0" w:color="auto"/>
        <w:bottom w:val="none" w:sz="0" w:space="0" w:color="auto"/>
        <w:right w:val="none" w:sz="0" w:space="0" w:color="auto"/>
      </w:divBdr>
    </w:div>
    <w:div w:id="335379598">
      <w:bodyDiv w:val="1"/>
      <w:marLeft w:val="0"/>
      <w:marRight w:val="0"/>
      <w:marTop w:val="0"/>
      <w:marBottom w:val="0"/>
      <w:divBdr>
        <w:top w:val="none" w:sz="0" w:space="0" w:color="auto"/>
        <w:left w:val="none" w:sz="0" w:space="0" w:color="auto"/>
        <w:bottom w:val="none" w:sz="0" w:space="0" w:color="auto"/>
        <w:right w:val="none" w:sz="0" w:space="0" w:color="auto"/>
      </w:divBdr>
      <w:divsChild>
        <w:div w:id="136071311">
          <w:marLeft w:val="0"/>
          <w:marRight w:val="0"/>
          <w:marTop w:val="0"/>
          <w:marBottom w:val="0"/>
          <w:divBdr>
            <w:top w:val="none" w:sz="0" w:space="0" w:color="auto"/>
            <w:left w:val="none" w:sz="0" w:space="0" w:color="auto"/>
            <w:bottom w:val="none" w:sz="0" w:space="0" w:color="auto"/>
            <w:right w:val="none" w:sz="0" w:space="0" w:color="auto"/>
          </w:divBdr>
        </w:div>
        <w:div w:id="2061241882">
          <w:marLeft w:val="0"/>
          <w:marRight w:val="0"/>
          <w:marTop w:val="0"/>
          <w:marBottom w:val="0"/>
          <w:divBdr>
            <w:top w:val="none" w:sz="0" w:space="0" w:color="auto"/>
            <w:left w:val="none" w:sz="0" w:space="0" w:color="auto"/>
            <w:bottom w:val="none" w:sz="0" w:space="0" w:color="auto"/>
            <w:right w:val="none" w:sz="0" w:space="0" w:color="auto"/>
          </w:divBdr>
        </w:div>
        <w:div w:id="421880529">
          <w:marLeft w:val="0"/>
          <w:marRight w:val="0"/>
          <w:marTop w:val="0"/>
          <w:marBottom w:val="0"/>
          <w:divBdr>
            <w:top w:val="none" w:sz="0" w:space="0" w:color="auto"/>
            <w:left w:val="none" w:sz="0" w:space="0" w:color="auto"/>
            <w:bottom w:val="none" w:sz="0" w:space="0" w:color="auto"/>
            <w:right w:val="none" w:sz="0" w:space="0" w:color="auto"/>
          </w:divBdr>
        </w:div>
      </w:divsChild>
    </w:div>
    <w:div w:id="467284600">
      <w:bodyDiv w:val="1"/>
      <w:marLeft w:val="0"/>
      <w:marRight w:val="0"/>
      <w:marTop w:val="0"/>
      <w:marBottom w:val="0"/>
      <w:divBdr>
        <w:top w:val="none" w:sz="0" w:space="0" w:color="auto"/>
        <w:left w:val="none" w:sz="0" w:space="0" w:color="auto"/>
        <w:bottom w:val="none" w:sz="0" w:space="0" w:color="auto"/>
        <w:right w:val="none" w:sz="0" w:space="0" w:color="auto"/>
      </w:divBdr>
    </w:div>
    <w:div w:id="480779502">
      <w:bodyDiv w:val="1"/>
      <w:marLeft w:val="0"/>
      <w:marRight w:val="0"/>
      <w:marTop w:val="0"/>
      <w:marBottom w:val="0"/>
      <w:divBdr>
        <w:top w:val="none" w:sz="0" w:space="0" w:color="auto"/>
        <w:left w:val="none" w:sz="0" w:space="0" w:color="auto"/>
        <w:bottom w:val="none" w:sz="0" w:space="0" w:color="auto"/>
        <w:right w:val="none" w:sz="0" w:space="0" w:color="auto"/>
      </w:divBdr>
    </w:div>
    <w:div w:id="494607724">
      <w:bodyDiv w:val="1"/>
      <w:marLeft w:val="0"/>
      <w:marRight w:val="0"/>
      <w:marTop w:val="0"/>
      <w:marBottom w:val="0"/>
      <w:divBdr>
        <w:top w:val="none" w:sz="0" w:space="0" w:color="auto"/>
        <w:left w:val="none" w:sz="0" w:space="0" w:color="auto"/>
        <w:bottom w:val="none" w:sz="0" w:space="0" w:color="auto"/>
        <w:right w:val="none" w:sz="0" w:space="0" w:color="auto"/>
      </w:divBdr>
    </w:div>
    <w:div w:id="795103019">
      <w:bodyDiv w:val="1"/>
      <w:marLeft w:val="0"/>
      <w:marRight w:val="0"/>
      <w:marTop w:val="0"/>
      <w:marBottom w:val="0"/>
      <w:divBdr>
        <w:top w:val="none" w:sz="0" w:space="0" w:color="auto"/>
        <w:left w:val="none" w:sz="0" w:space="0" w:color="auto"/>
        <w:bottom w:val="none" w:sz="0" w:space="0" w:color="auto"/>
        <w:right w:val="none" w:sz="0" w:space="0" w:color="auto"/>
      </w:divBdr>
      <w:divsChild>
        <w:div w:id="1396779710">
          <w:marLeft w:val="0"/>
          <w:marRight w:val="0"/>
          <w:marTop w:val="0"/>
          <w:marBottom w:val="0"/>
          <w:divBdr>
            <w:top w:val="none" w:sz="0" w:space="0" w:color="auto"/>
            <w:left w:val="none" w:sz="0" w:space="0" w:color="auto"/>
            <w:bottom w:val="none" w:sz="0" w:space="0" w:color="auto"/>
            <w:right w:val="none" w:sz="0" w:space="0" w:color="auto"/>
          </w:divBdr>
        </w:div>
        <w:div w:id="1215316828">
          <w:marLeft w:val="0"/>
          <w:marRight w:val="0"/>
          <w:marTop w:val="0"/>
          <w:marBottom w:val="0"/>
          <w:divBdr>
            <w:top w:val="none" w:sz="0" w:space="0" w:color="auto"/>
            <w:left w:val="none" w:sz="0" w:space="0" w:color="auto"/>
            <w:bottom w:val="none" w:sz="0" w:space="0" w:color="auto"/>
            <w:right w:val="none" w:sz="0" w:space="0" w:color="auto"/>
          </w:divBdr>
        </w:div>
      </w:divsChild>
    </w:div>
    <w:div w:id="996147248">
      <w:bodyDiv w:val="1"/>
      <w:marLeft w:val="0"/>
      <w:marRight w:val="0"/>
      <w:marTop w:val="0"/>
      <w:marBottom w:val="0"/>
      <w:divBdr>
        <w:top w:val="none" w:sz="0" w:space="0" w:color="auto"/>
        <w:left w:val="none" w:sz="0" w:space="0" w:color="auto"/>
        <w:bottom w:val="none" w:sz="0" w:space="0" w:color="auto"/>
        <w:right w:val="none" w:sz="0" w:space="0" w:color="auto"/>
      </w:divBdr>
    </w:div>
    <w:div w:id="1119909771">
      <w:bodyDiv w:val="1"/>
      <w:marLeft w:val="0"/>
      <w:marRight w:val="0"/>
      <w:marTop w:val="0"/>
      <w:marBottom w:val="0"/>
      <w:divBdr>
        <w:top w:val="none" w:sz="0" w:space="0" w:color="auto"/>
        <w:left w:val="none" w:sz="0" w:space="0" w:color="auto"/>
        <w:bottom w:val="none" w:sz="0" w:space="0" w:color="auto"/>
        <w:right w:val="none" w:sz="0" w:space="0" w:color="auto"/>
      </w:divBdr>
      <w:divsChild>
        <w:div w:id="1351183749">
          <w:marLeft w:val="0"/>
          <w:marRight w:val="0"/>
          <w:marTop w:val="0"/>
          <w:marBottom w:val="0"/>
          <w:divBdr>
            <w:top w:val="none" w:sz="0" w:space="0" w:color="auto"/>
            <w:left w:val="none" w:sz="0" w:space="0" w:color="auto"/>
            <w:bottom w:val="none" w:sz="0" w:space="0" w:color="auto"/>
            <w:right w:val="none" w:sz="0" w:space="0" w:color="auto"/>
          </w:divBdr>
          <w:divsChild>
            <w:div w:id="99956442">
              <w:marLeft w:val="0"/>
              <w:marRight w:val="0"/>
              <w:marTop w:val="0"/>
              <w:marBottom w:val="0"/>
              <w:divBdr>
                <w:top w:val="none" w:sz="0" w:space="0" w:color="auto"/>
                <w:left w:val="none" w:sz="0" w:space="0" w:color="auto"/>
                <w:bottom w:val="none" w:sz="0" w:space="0" w:color="auto"/>
                <w:right w:val="none" w:sz="0" w:space="0" w:color="auto"/>
              </w:divBdr>
              <w:divsChild>
                <w:div w:id="1969428899">
                  <w:marLeft w:val="0"/>
                  <w:marRight w:val="0"/>
                  <w:marTop w:val="0"/>
                  <w:marBottom w:val="0"/>
                  <w:divBdr>
                    <w:top w:val="none" w:sz="0" w:space="0" w:color="auto"/>
                    <w:left w:val="none" w:sz="0" w:space="0" w:color="auto"/>
                    <w:bottom w:val="none" w:sz="0" w:space="0" w:color="auto"/>
                    <w:right w:val="none" w:sz="0" w:space="0" w:color="auto"/>
                  </w:divBdr>
                  <w:divsChild>
                    <w:div w:id="18742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08261">
      <w:bodyDiv w:val="1"/>
      <w:marLeft w:val="0"/>
      <w:marRight w:val="0"/>
      <w:marTop w:val="0"/>
      <w:marBottom w:val="0"/>
      <w:divBdr>
        <w:top w:val="none" w:sz="0" w:space="0" w:color="auto"/>
        <w:left w:val="none" w:sz="0" w:space="0" w:color="auto"/>
        <w:bottom w:val="none" w:sz="0" w:space="0" w:color="auto"/>
        <w:right w:val="none" w:sz="0" w:space="0" w:color="auto"/>
      </w:divBdr>
    </w:div>
    <w:div w:id="1214152317">
      <w:bodyDiv w:val="1"/>
      <w:marLeft w:val="0"/>
      <w:marRight w:val="0"/>
      <w:marTop w:val="0"/>
      <w:marBottom w:val="0"/>
      <w:divBdr>
        <w:top w:val="none" w:sz="0" w:space="0" w:color="auto"/>
        <w:left w:val="none" w:sz="0" w:space="0" w:color="auto"/>
        <w:bottom w:val="none" w:sz="0" w:space="0" w:color="auto"/>
        <w:right w:val="none" w:sz="0" w:space="0" w:color="auto"/>
      </w:divBdr>
    </w:div>
    <w:div w:id="1255896523">
      <w:bodyDiv w:val="1"/>
      <w:marLeft w:val="0"/>
      <w:marRight w:val="0"/>
      <w:marTop w:val="0"/>
      <w:marBottom w:val="0"/>
      <w:divBdr>
        <w:top w:val="none" w:sz="0" w:space="0" w:color="auto"/>
        <w:left w:val="none" w:sz="0" w:space="0" w:color="auto"/>
        <w:bottom w:val="none" w:sz="0" w:space="0" w:color="auto"/>
        <w:right w:val="none" w:sz="0" w:space="0" w:color="auto"/>
      </w:divBdr>
    </w:div>
    <w:div w:id="1269774887">
      <w:bodyDiv w:val="1"/>
      <w:marLeft w:val="0"/>
      <w:marRight w:val="0"/>
      <w:marTop w:val="0"/>
      <w:marBottom w:val="0"/>
      <w:divBdr>
        <w:top w:val="none" w:sz="0" w:space="0" w:color="auto"/>
        <w:left w:val="none" w:sz="0" w:space="0" w:color="auto"/>
        <w:bottom w:val="none" w:sz="0" w:space="0" w:color="auto"/>
        <w:right w:val="none" w:sz="0" w:space="0" w:color="auto"/>
      </w:divBdr>
    </w:div>
    <w:div w:id="1346782580">
      <w:bodyDiv w:val="1"/>
      <w:marLeft w:val="0"/>
      <w:marRight w:val="0"/>
      <w:marTop w:val="0"/>
      <w:marBottom w:val="0"/>
      <w:divBdr>
        <w:top w:val="none" w:sz="0" w:space="0" w:color="auto"/>
        <w:left w:val="none" w:sz="0" w:space="0" w:color="auto"/>
        <w:bottom w:val="none" w:sz="0" w:space="0" w:color="auto"/>
        <w:right w:val="none" w:sz="0" w:space="0" w:color="auto"/>
      </w:divBdr>
      <w:divsChild>
        <w:div w:id="145097584">
          <w:marLeft w:val="0"/>
          <w:marRight w:val="0"/>
          <w:marTop w:val="0"/>
          <w:marBottom w:val="0"/>
          <w:divBdr>
            <w:top w:val="none" w:sz="0" w:space="0" w:color="auto"/>
            <w:left w:val="none" w:sz="0" w:space="0" w:color="auto"/>
            <w:bottom w:val="none" w:sz="0" w:space="0" w:color="auto"/>
            <w:right w:val="none" w:sz="0" w:space="0" w:color="auto"/>
          </w:divBdr>
        </w:div>
        <w:div w:id="1875269431">
          <w:marLeft w:val="0"/>
          <w:marRight w:val="0"/>
          <w:marTop w:val="0"/>
          <w:marBottom w:val="0"/>
          <w:divBdr>
            <w:top w:val="none" w:sz="0" w:space="0" w:color="auto"/>
            <w:left w:val="none" w:sz="0" w:space="0" w:color="auto"/>
            <w:bottom w:val="none" w:sz="0" w:space="0" w:color="auto"/>
            <w:right w:val="none" w:sz="0" w:space="0" w:color="auto"/>
          </w:divBdr>
        </w:div>
        <w:div w:id="196504477">
          <w:marLeft w:val="0"/>
          <w:marRight w:val="0"/>
          <w:marTop w:val="0"/>
          <w:marBottom w:val="0"/>
          <w:divBdr>
            <w:top w:val="none" w:sz="0" w:space="0" w:color="auto"/>
            <w:left w:val="none" w:sz="0" w:space="0" w:color="auto"/>
            <w:bottom w:val="none" w:sz="0" w:space="0" w:color="auto"/>
            <w:right w:val="none" w:sz="0" w:space="0" w:color="auto"/>
          </w:divBdr>
        </w:div>
        <w:div w:id="1054934419">
          <w:marLeft w:val="0"/>
          <w:marRight w:val="0"/>
          <w:marTop w:val="0"/>
          <w:marBottom w:val="0"/>
          <w:divBdr>
            <w:top w:val="none" w:sz="0" w:space="0" w:color="auto"/>
            <w:left w:val="none" w:sz="0" w:space="0" w:color="auto"/>
            <w:bottom w:val="none" w:sz="0" w:space="0" w:color="auto"/>
            <w:right w:val="none" w:sz="0" w:space="0" w:color="auto"/>
          </w:divBdr>
        </w:div>
        <w:div w:id="163132582">
          <w:marLeft w:val="0"/>
          <w:marRight w:val="0"/>
          <w:marTop w:val="0"/>
          <w:marBottom w:val="0"/>
          <w:divBdr>
            <w:top w:val="none" w:sz="0" w:space="0" w:color="auto"/>
            <w:left w:val="none" w:sz="0" w:space="0" w:color="auto"/>
            <w:bottom w:val="none" w:sz="0" w:space="0" w:color="auto"/>
            <w:right w:val="none" w:sz="0" w:space="0" w:color="auto"/>
          </w:divBdr>
        </w:div>
        <w:div w:id="1634170352">
          <w:marLeft w:val="0"/>
          <w:marRight w:val="0"/>
          <w:marTop w:val="0"/>
          <w:marBottom w:val="0"/>
          <w:divBdr>
            <w:top w:val="none" w:sz="0" w:space="0" w:color="auto"/>
            <w:left w:val="none" w:sz="0" w:space="0" w:color="auto"/>
            <w:bottom w:val="none" w:sz="0" w:space="0" w:color="auto"/>
            <w:right w:val="none" w:sz="0" w:space="0" w:color="auto"/>
          </w:divBdr>
        </w:div>
        <w:div w:id="400448071">
          <w:marLeft w:val="0"/>
          <w:marRight w:val="0"/>
          <w:marTop w:val="0"/>
          <w:marBottom w:val="0"/>
          <w:divBdr>
            <w:top w:val="none" w:sz="0" w:space="0" w:color="auto"/>
            <w:left w:val="none" w:sz="0" w:space="0" w:color="auto"/>
            <w:bottom w:val="none" w:sz="0" w:space="0" w:color="auto"/>
            <w:right w:val="none" w:sz="0" w:space="0" w:color="auto"/>
          </w:divBdr>
        </w:div>
        <w:div w:id="1760251635">
          <w:marLeft w:val="0"/>
          <w:marRight w:val="0"/>
          <w:marTop w:val="0"/>
          <w:marBottom w:val="0"/>
          <w:divBdr>
            <w:top w:val="none" w:sz="0" w:space="0" w:color="auto"/>
            <w:left w:val="none" w:sz="0" w:space="0" w:color="auto"/>
            <w:bottom w:val="none" w:sz="0" w:space="0" w:color="auto"/>
            <w:right w:val="none" w:sz="0" w:space="0" w:color="auto"/>
          </w:divBdr>
        </w:div>
        <w:div w:id="1526558822">
          <w:marLeft w:val="0"/>
          <w:marRight w:val="0"/>
          <w:marTop w:val="0"/>
          <w:marBottom w:val="0"/>
          <w:divBdr>
            <w:top w:val="none" w:sz="0" w:space="0" w:color="auto"/>
            <w:left w:val="none" w:sz="0" w:space="0" w:color="auto"/>
            <w:bottom w:val="none" w:sz="0" w:space="0" w:color="auto"/>
            <w:right w:val="none" w:sz="0" w:space="0" w:color="auto"/>
          </w:divBdr>
        </w:div>
        <w:div w:id="566116140">
          <w:marLeft w:val="0"/>
          <w:marRight w:val="0"/>
          <w:marTop w:val="0"/>
          <w:marBottom w:val="0"/>
          <w:divBdr>
            <w:top w:val="none" w:sz="0" w:space="0" w:color="auto"/>
            <w:left w:val="none" w:sz="0" w:space="0" w:color="auto"/>
            <w:bottom w:val="none" w:sz="0" w:space="0" w:color="auto"/>
            <w:right w:val="none" w:sz="0" w:space="0" w:color="auto"/>
          </w:divBdr>
        </w:div>
        <w:div w:id="1735933018">
          <w:marLeft w:val="0"/>
          <w:marRight w:val="0"/>
          <w:marTop w:val="0"/>
          <w:marBottom w:val="0"/>
          <w:divBdr>
            <w:top w:val="none" w:sz="0" w:space="0" w:color="auto"/>
            <w:left w:val="none" w:sz="0" w:space="0" w:color="auto"/>
            <w:bottom w:val="none" w:sz="0" w:space="0" w:color="auto"/>
            <w:right w:val="none" w:sz="0" w:space="0" w:color="auto"/>
          </w:divBdr>
        </w:div>
      </w:divsChild>
    </w:div>
    <w:div w:id="1374695946">
      <w:bodyDiv w:val="1"/>
      <w:marLeft w:val="0"/>
      <w:marRight w:val="0"/>
      <w:marTop w:val="0"/>
      <w:marBottom w:val="0"/>
      <w:divBdr>
        <w:top w:val="none" w:sz="0" w:space="0" w:color="auto"/>
        <w:left w:val="none" w:sz="0" w:space="0" w:color="auto"/>
        <w:bottom w:val="none" w:sz="0" w:space="0" w:color="auto"/>
        <w:right w:val="none" w:sz="0" w:space="0" w:color="auto"/>
      </w:divBdr>
    </w:div>
    <w:div w:id="1377393383">
      <w:bodyDiv w:val="1"/>
      <w:marLeft w:val="0"/>
      <w:marRight w:val="0"/>
      <w:marTop w:val="0"/>
      <w:marBottom w:val="0"/>
      <w:divBdr>
        <w:top w:val="none" w:sz="0" w:space="0" w:color="auto"/>
        <w:left w:val="none" w:sz="0" w:space="0" w:color="auto"/>
        <w:bottom w:val="none" w:sz="0" w:space="0" w:color="auto"/>
        <w:right w:val="none" w:sz="0" w:space="0" w:color="auto"/>
      </w:divBdr>
    </w:div>
    <w:div w:id="1386686929">
      <w:bodyDiv w:val="1"/>
      <w:marLeft w:val="0"/>
      <w:marRight w:val="0"/>
      <w:marTop w:val="0"/>
      <w:marBottom w:val="0"/>
      <w:divBdr>
        <w:top w:val="none" w:sz="0" w:space="0" w:color="auto"/>
        <w:left w:val="none" w:sz="0" w:space="0" w:color="auto"/>
        <w:bottom w:val="none" w:sz="0" w:space="0" w:color="auto"/>
        <w:right w:val="none" w:sz="0" w:space="0" w:color="auto"/>
      </w:divBdr>
      <w:divsChild>
        <w:div w:id="1103577894">
          <w:marLeft w:val="0"/>
          <w:marRight w:val="0"/>
          <w:marTop w:val="0"/>
          <w:marBottom w:val="0"/>
          <w:divBdr>
            <w:top w:val="none" w:sz="0" w:space="0" w:color="auto"/>
            <w:left w:val="none" w:sz="0" w:space="0" w:color="auto"/>
            <w:bottom w:val="none" w:sz="0" w:space="0" w:color="auto"/>
            <w:right w:val="none" w:sz="0" w:space="0" w:color="auto"/>
          </w:divBdr>
          <w:divsChild>
            <w:div w:id="1279995785">
              <w:marLeft w:val="0"/>
              <w:marRight w:val="0"/>
              <w:marTop w:val="0"/>
              <w:marBottom w:val="0"/>
              <w:divBdr>
                <w:top w:val="none" w:sz="0" w:space="0" w:color="auto"/>
                <w:left w:val="none" w:sz="0" w:space="0" w:color="auto"/>
                <w:bottom w:val="none" w:sz="0" w:space="0" w:color="auto"/>
                <w:right w:val="none" w:sz="0" w:space="0" w:color="auto"/>
              </w:divBdr>
            </w:div>
          </w:divsChild>
        </w:div>
        <w:div w:id="1547446650">
          <w:marLeft w:val="0"/>
          <w:marRight w:val="0"/>
          <w:marTop w:val="0"/>
          <w:marBottom w:val="0"/>
          <w:divBdr>
            <w:top w:val="none" w:sz="0" w:space="0" w:color="auto"/>
            <w:left w:val="none" w:sz="0" w:space="0" w:color="auto"/>
            <w:bottom w:val="none" w:sz="0" w:space="0" w:color="auto"/>
            <w:right w:val="none" w:sz="0" w:space="0" w:color="auto"/>
          </w:divBdr>
          <w:divsChild>
            <w:div w:id="624390271">
              <w:marLeft w:val="0"/>
              <w:marRight w:val="0"/>
              <w:marTop w:val="0"/>
              <w:marBottom w:val="0"/>
              <w:divBdr>
                <w:top w:val="none" w:sz="0" w:space="0" w:color="auto"/>
                <w:left w:val="none" w:sz="0" w:space="0" w:color="auto"/>
                <w:bottom w:val="none" w:sz="0" w:space="0" w:color="auto"/>
                <w:right w:val="none" w:sz="0" w:space="0" w:color="auto"/>
              </w:divBdr>
            </w:div>
          </w:divsChild>
        </w:div>
        <w:div w:id="656112139">
          <w:marLeft w:val="0"/>
          <w:marRight w:val="0"/>
          <w:marTop w:val="0"/>
          <w:marBottom w:val="0"/>
          <w:divBdr>
            <w:top w:val="none" w:sz="0" w:space="0" w:color="auto"/>
            <w:left w:val="none" w:sz="0" w:space="0" w:color="auto"/>
            <w:bottom w:val="none" w:sz="0" w:space="0" w:color="auto"/>
            <w:right w:val="none" w:sz="0" w:space="0" w:color="auto"/>
          </w:divBdr>
          <w:divsChild>
            <w:div w:id="1413694229">
              <w:marLeft w:val="0"/>
              <w:marRight w:val="0"/>
              <w:marTop w:val="0"/>
              <w:marBottom w:val="0"/>
              <w:divBdr>
                <w:top w:val="none" w:sz="0" w:space="0" w:color="auto"/>
                <w:left w:val="none" w:sz="0" w:space="0" w:color="auto"/>
                <w:bottom w:val="none" w:sz="0" w:space="0" w:color="auto"/>
                <w:right w:val="none" w:sz="0" w:space="0" w:color="auto"/>
              </w:divBdr>
            </w:div>
          </w:divsChild>
        </w:div>
        <w:div w:id="2020886580">
          <w:marLeft w:val="0"/>
          <w:marRight w:val="0"/>
          <w:marTop w:val="0"/>
          <w:marBottom w:val="0"/>
          <w:divBdr>
            <w:top w:val="none" w:sz="0" w:space="0" w:color="auto"/>
            <w:left w:val="none" w:sz="0" w:space="0" w:color="auto"/>
            <w:bottom w:val="none" w:sz="0" w:space="0" w:color="auto"/>
            <w:right w:val="none" w:sz="0" w:space="0" w:color="auto"/>
          </w:divBdr>
          <w:divsChild>
            <w:div w:id="624821702">
              <w:marLeft w:val="0"/>
              <w:marRight w:val="0"/>
              <w:marTop w:val="0"/>
              <w:marBottom w:val="0"/>
              <w:divBdr>
                <w:top w:val="none" w:sz="0" w:space="0" w:color="auto"/>
                <w:left w:val="none" w:sz="0" w:space="0" w:color="auto"/>
                <w:bottom w:val="none" w:sz="0" w:space="0" w:color="auto"/>
                <w:right w:val="none" w:sz="0" w:space="0" w:color="auto"/>
              </w:divBdr>
            </w:div>
          </w:divsChild>
        </w:div>
        <w:div w:id="2101287726">
          <w:marLeft w:val="0"/>
          <w:marRight w:val="0"/>
          <w:marTop w:val="0"/>
          <w:marBottom w:val="0"/>
          <w:divBdr>
            <w:top w:val="none" w:sz="0" w:space="0" w:color="auto"/>
            <w:left w:val="none" w:sz="0" w:space="0" w:color="auto"/>
            <w:bottom w:val="none" w:sz="0" w:space="0" w:color="auto"/>
            <w:right w:val="none" w:sz="0" w:space="0" w:color="auto"/>
          </w:divBdr>
          <w:divsChild>
            <w:div w:id="202400658">
              <w:marLeft w:val="0"/>
              <w:marRight w:val="0"/>
              <w:marTop w:val="0"/>
              <w:marBottom w:val="0"/>
              <w:divBdr>
                <w:top w:val="none" w:sz="0" w:space="0" w:color="auto"/>
                <w:left w:val="none" w:sz="0" w:space="0" w:color="auto"/>
                <w:bottom w:val="none" w:sz="0" w:space="0" w:color="auto"/>
                <w:right w:val="none" w:sz="0" w:space="0" w:color="auto"/>
              </w:divBdr>
            </w:div>
          </w:divsChild>
        </w:div>
        <w:div w:id="1449279611">
          <w:marLeft w:val="0"/>
          <w:marRight w:val="0"/>
          <w:marTop w:val="0"/>
          <w:marBottom w:val="0"/>
          <w:divBdr>
            <w:top w:val="none" w:sz="0" w:space="0" w:color="auto"/>
            <w:left w:val="none" w:sz="0" w:space="0" w:color="auto"/>
            <w:bottom w:val="none" w:sz="0" w:space="0" w:color="auto"/>
            <w:right w:val="none" w:sz="0" w:space="0" w:color="auto"/>
          </w:divBdr>
          <w:divsChild>
            <w:div w:id="1195574965">
              <w:marLeft w:val="0"/>
              <w:marRight w:val="0"/>
              <w:marTop w:val="0"/>
              <w:marBottom w:val="0"/>
              <w:divBdr>
                <w:top w:val="none" w:sz="0" w:space="0" w:color="auto"/>
                <w:left w:val="none" w:sz="0" w:space="0" w:color="auto"/>
                <w:bottom w:val="none" w:sz="0" w:space="0" w:color="auto"/>
                <w:right w:val="none" w:sz="0" w:space="0" w:color="auto"/>
              </w:divBdr>
            </w:div>
          </w:divsChild>
        </w:div>
        <w:div w:id="755439648">
          <w:marLeft w:val="0"/>
          <w:marRight w:val="0"/>
          <w:marTop w:val="0"/>
          <w:marBottom w:val="0"/>
          <w:divBdr>
            <w:top w:val="none" w:sz="0" w:space="0" w:color="auto"/>
            <w:left w:val="none" w:sz="0" w:space="0" w:color="auto"/>
            <w:bottom w:val="none" w:sz="0" w:space="0" w:color="auto"/>
            <w:right w:val="none" w:sz="0" w:space="0" w:color="auto"/>
          </w:divBdr>
          <w:divsChild>
            <w:div w:id="1008631771">
              <w:marLeft w:val="0"/>
              <w:marRight w:val="0"/>
              <w:marTop w:val="0"/>
              <w:marBottom w:val="0"/>
              <w:divBdr>
                <w:top w:val="none" w:sz="0" w:space="0" w:color="auto"/>
                <w:left w:val="none" w:sz="0" w:space="0" w:color="auto"/>
                <w:bottom w:val="none" w:sz="0" w:space="0" w:color="auto"/>
                <w:right w:val="none" w:sz="0" w:space="0" w:color="auto"/>
              </w:divBdr>
            </w:div>
          </w:divsChild>
        </w:div>
        <w:div w:id="827017847">
          <w:marLeft w:val="0"/>
          <w:marRight w:val="0"/>
          <w:marTop w:val="0"/>
          <w:marBottom w:val="0"/>
          <w:divBdr>
            <w:top w:val="none" w:sz="0" w:space="0" w:color="auto"/>
            <w:left w:val="none" w:sz="0" w:space="0" w:color="auto"/>
            <w:bottom w:val="none" w:sz="0" w:space="0" w:color="auto"/>
            <w:right w:val="none" w:sz="0" w:space="0" w:color="auto"/>
          </w:divBdr>
          <w:divsChild>
            <w:div w:id="8592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43079">
      <w:bodyDiv w:val="1"/>
      <w:marLeft w:val="0"/>
      <w:marRight w:val="0"/>
      <w:marTop w:val="0"/>
      <w:marBottom w:val="0"/>
      <w:divBdr>
        <w:top w:val="none" w:sz="0" w:space="0" w:color="auto"/>
        <w:left w:val="none" w:sz="0" w:space="0" w:color="auto"/>
        <w:bottom w:val="none" w:sz="0" w:space="0" w:color="auto"/>
        <w:right w:val="none" w:sz="0" w:space="0" w:color="auto"/>
      </w:divBdr>
      <w:divsChild>
        <w:div w:id="1238637070">
          <w:marLeft w:val="0"/>
          <w:marRight w:val="0"/>
          <w:marTop w:val="0"/>
          <w:marBottom w:val="0"/>
          <w:divBdr>
            <w:top w:val="none" w:sz="0" w:space="0" w:color="auto"/>
            <w:left w:val="none" w:sz="0" w:space="0" w:color="auto"/>
            <w:bottom w:val="none" w:sz="0" w:space="0" w:color="auto"/>
            <w:right w:val="none" w:sz="0" w:space="0" w:color="auto"/>
          </w:divBdr>
        </w:div>
        <w:div w:id="1025135599">
          <w:marLeft w:val="0"/>
          <w:marRight w:val="0"/>
          <w:marTop w:val="0"/>
          <w:marBottom w:val="0"/>
          <w:divBdr>
            <w:top w:val="none" w:sz="0" w:space="0" w:color="auto"/>
            <w:left w:val="none" w:sz="0" w:space="0" w:color="auto"/>
            <w:bottom w:val="none" w:sz="0" w:space="0" w:color="auto"/>
            <w:right w:val="none" w:sz="0" w:space="0" w:color="auto"/>
          </w:divBdr>
        </w:div>
        <w:div w:id="1818452541">
          <w:marLeft w:val="0"/>
          <w:marRight w:val="0"/>
          <w:marTop w:val="0"/>
          <w:marBottom w:val="0"/>
          <w:divBdr>
            <w:top w:val="none" w:sz="0" w:space="0" w:color="auto"/>
            <w:left w:val="none" w:sz="0" w:space="0" w:color="auto"/>
            <w:bottom w:val="none" w:sz="0" w:space="0" w:color="auto"/>
            <w:right w:val="none" w:sz="0" w:space="0" w:color="auto"/>
          </w:divBdr>
        </w:div>
      </w:divsChild>
    </w:div>
    <w:div w:id="1489327365">
      <w:bodyDiv w:val="1"/>
      <w:marLeft w:val="0"/>
      <w:marRight w:val="0"/>
      <w:marTop w:val="0"/>
      <w:marBottom w:val="0"/>
      <w:divBdr>
        <w:top w:val="none" w:sz="0" w:space="0" w:color="auto"/>
        <w:left w:val="none" w:sz="0" w:space="0" w:color="auto"/>
        <w:bottom w:val="none" w:sz="0" w:space="0" w:color="auto"/>
        <w:right w:val="none" w:sz="0" w:space="0" w:color="auto"/>
      </w:divBdr>
    </w:div>
    <w:div w:id="1500652409">
      <w:bodyDiv w:val="1"/>
      <w:marLeft w:val="0"/>
      <w:marRight w:val="0"/>
      <w:marTop w:val="0"/>
      <w:marBottom w:val="0"/>
      <w:divBdr>
        <w:top w:val="none" w:sz="0" w:space="0" w:color="auto"/>
        <w:left w:val="none" w:sz="0" w:space="0" w:color="auto"/>
        <w:bottom w:val="none" w:sz="0" w:space="0" w:color="auto"/>
        <w:right w:val="none" w:sz="0" w:space="0" w:color="auto"/>
      </w:divBdr>
    </w:div>
    <w:div w:id="1500735543">
      <w:bodyDiv w:val="1"/>
      <w:marLeft w:val="0"/>
      <w:marRight w:val="0"/>
      <w:marTop w:val="0"/>
      <w:marBottom w:val="0"/>
      <w:divBdr>
        <w:top w:val="none" w:sz="0" w:space="0" w:color="auto"/>
        <w:left w:val="none" w:sz="0" w:space="0" w:color="auto"/>
        <w:bottom w:val="none" w:sz="0" w:space="0" w:color="auto"/>
        <w:right w:val="none" w:sz="0" w:space="0" w:color="auto"/>
      </w:divBdr>
      <w:divsChild>
        <w:div w:id="1910458257">
          <w:marLeft w:val="0"/>
          <w:marRight w:val="0"/>
          <w:marTop w:val="0"/>
          <w:marBottom w:val="0"/>
          <w:divBdr>
            <w:top w:val="none" w:sz="0" w:space="0" w:color="auto"/>
            <w:left w:val="none" w:sz="0" w:space="0" w:color="auto"/>
            <w:bottom w:val="none" w:sz="0" w:space="0" w:color="auto"/>
            <w:right w:val="none" w:sz="0" w:space="0" w:color="auto"/>
          </w:divBdr>
        </w:div>
        <w:div w:id="511577453">
          <w:marLeft w:val="0"/>
          <w:marRight w:val="0"/>
          <w:marTop w:val="0"/>
          <w:marBottom w:val="0"/>
          <w:divBdr>
            <w:top w:val="none" w:sz="0" w:space="0" w:color="auto"/>
            <w:left w:val="none" w:sz="0" w:space="0" w:color="auto"/>
            <w:bottom w:val="none" w:sz="0" w:space="0" w:color="auto"/>
            <w:right w:val="none" w:sz="0" w:space="0" w:color="auto"/>
          </w:divBdr>
        </w:div>
        <w:div w:id="676538863">
          <w:marLeft w:val="0"/>
          <w:marRight w:val="0"/>
          <w:marTop w:val="0"/>
          <w:marBottom w:val="0"/>
          <w:divBdr>
            <w:top w:val="none" w:sz="0" w:space="0" w:color="auto"/>
            <w:left w:val="none" w:sz="0" w:space="0" w:color="auto"/>
            <w:bottom w:val="none" w:sz="0" w:space="0" w:color="auto"/>
            <w:right w:val="none" w:sz="0" w:space="0" w:color="auto"/>
          </w:divBdr>
        </w:div>
        <w:div w:id="1342047747">
          <w:marLeft w:val="0"/>
          <w:marRight w:val="0"/>
          <w:marTop w:val="0"/>
          <w:marBottom w:val="0"/>
          <w:divBdr>
            <w:top w:val="none" w:sz="0" w:space="0" w:color="auto"/>
            <w:left w:val="none" w:sz="0" w:space="0" w:color="auto"/>
            <w:bottom w:val="none" w:sz="0" w:space="0" w:color="auto"/>
            <w:right w:val="none" w:sz="0" w:space="0" w:color="auto"/>
          </w:divBdr>
        </w:div>
        <w:div w:id="263850475">
          <w:marLeft w:val="0"/>
          <w:marRight w:val="0"/>
          <w:marTop w:val="0"/>
          <w:marBottom w:val="0"/>
          <w:divBdr>
            <w:top w:val="none" w:sz="0" w:space="0" w:color="auto"/>
            <w:left w:val="none" w:sz="0" w:space="0" w:color="auto"/>
            <w:bottom w:val="none" w:sz="0" w:space="0" w:color="auto"/>
            <w:right w:val="none" w:sz="0" w:space="0" w:color="auto"/>
          </w:divBdr>
        </w:div>
        <w:div w:id="1565220902">
          <w:marLeft w:val="0"/>
          <w:marRight w:val="0"/>
          <w:marTop w:val="0"/>
          <w:marBottom w:val="0"/>
          <w:divBdr>
            <w:top w:val="none" w:sz="0" w:space="0" w:color="auto"/>
            <w:left w:val="none" w:sz="0" w:space="0" w:color="auto"/>
            <w:bottom w:val="none" w:sz="0" w:space="0" w:color="auto"/>
            <w:right w:val="none" w:sz="0" w:space="0" w:color="auto"/>
          </w:divBdr>
        </w:div>
        <w:div w:id="1081949760">
          <w:marLeft w:val="0"/>
          <w:marRight w:val="0"/>
          <w:marTop w:val="0"/>
          <w:marBottom w:val="0"/>
          <w:divBdr>
            <w:top w:val="none" w:sz="0" w:space="0" w:color="auto"/>
            <w:left w:val="none" w:sz="0" w:space="0" w:color="auto"/>
            <w:bottom w:val="none" w:sz="0" w:space="0" w:color="auto"/>
            <w:right w:val="none" w:sz="0" w:space="0" w:color="auto"/>
          </w:divBdr>
        </w:div>
        <w:div w:id="1672249102">
          <w:marLeft w:val="0"/>
          <w:marRight w:val="0"/>
          <w:marTop w:val="0"/>
          <w:marBottom w:val="0"/>
          <w:divBdr>
            <w:top w:val="none" w:sz="0" w:space="0" w:color="auto"/>
            <w:left w:val="none" w:sz="0" w:space="0" w:color="auto"/>
            <w:bottom w:val="none" w:sz="0" w:space="0" w:color="auto"/>
            <w:right w:val="none" w:sz="0" w:space="0" w:color="auto"/>
          </w:divBdr>
        </w:div>
        <w:div w:id="1736322302">
          <w:marLeft w:val="0"/>
          <w:marRight w:val="0"/>
          <w:marTop w:val="0"/>
          <w:marBottom w:val="0"/>
          <w:divBdr>
            <w:top w:val="none" w:sz="0" w:space="0" w:color="auto"/>
            <w:left w:val="none" w:sz="0" w:space="0" w:color="auto"/>
            <w:bottom w:val="none" w:sz="0" w:space="0" w:color="auto"/>
            <w:right w:val="none" w:sz="0" w:space="0" w:color="auto"/>
          </w:divBdr>
        </w:div>
        <w:div w:id="154078137">
          <w:marLeft w:val="0"/>
          <w:marRight w:val="0"/>
          <w:marTop w:val="0"/>
          <w:marBottom w:val="0"/>
          <w:divBdr>
            <w:top w:val="none" w:sz="0" w:space="0" w:color="auto"/>
            <w:left w:val="none" w:sz="0" w:space="0" w:color="auto"/>
            <w:bottom w:val="none" w:sz="0" w:space="0" w:color="auto"/>
            <w:right w:val="none" w:sz="0" w:space="0" w:color="auto"/>
          </w:divBdr>
        </w:div>
        <w:div w:id="1579749760">
          <w:marLeft w:val="0"/>
          <w:marRight w:val="0"/>
          <w:marTop w:val="0"/>
          <w:marBottom w:val="0"/>
          <w:divBdr>
            <w:top w:val="none" w:sz="0" w:space="0" w:color="auto"/>
            <w:left w:val="none" w:sz="0" w:space="0" w:color="auto"/>
            <w:bottom w:val="none" w:sz="0" w:space="0" w:color="auto"/>
            <w:right w:val="none" w:sz="0" w:space="0" w:color="auto"/>
          </w:divBdr>
        </w:div>
      </w:divsChild>
    </w:div>
    <w:div w:id="1531340726">
      <w:bodyDiv w:val="1"/>
      <w:marLeft w:val="0"/>
      <w:marRight w:val="0"/>
      <w:marTop w:val="0"/>
      <w:marBottom w:val="0"/>
      <w:divBdr>
        <w:top w:val="none" w:sz="0" w:space="0" w:color="auto"/>
        <w:left w:val="none" w:sz="0" w:space="0" w:color="auto"/>
        <w:bottom w:val="none" w:sz="0" w:space="0" w:color="auto"/>
        <w:right w:val="none" w:sz="0" w:space="0" w:color="auto"/>
      </w:divBdr>
      <w:divsChild>
        <w:div w:id="1139952299">
          <w:marLeft w:val="0"/>
          <w:marRight w:val="0"/>
          <w:marTop w:val="0"/>
          <w:marBottom w:val="0"/>
          <w:divBdr>
            <w:top w:val="none" w:sz="0" w:space="0" w:color="auto"/>
            <w:left w:val="none" w:sz="0" w:space="0" w:color="auto"/>
            <w:bottom w:val="none" w:sz="0" w:space="0" w:color="auto"/>
            <w:right w:val="none" w:sz="0" w:space="0" w:color="auto"/>
          </w:divBdr>
        </w:div>
        <w:div w:id="837160526">
          <w:marLeft w:val="0"/>
          <w:marRight w:val="0"/>
          <w:marTop w:val="0"/>
          <w:marBottom w:val="0"/>
          <w:divBdr>
            <w:top w:val="none" w:sz="0" w:space="0" w:color="auto"/>
            <w:left w:val="none" w:sz="0" w:space="0" w:color="auto"/>
            <w:bottom w:val="none" w:sz="0" w:space="0" w:color="auto"/>
            <w:right w:val="none" w:sz="0" w:space="0" w:color="auto"/>
          </w:divBdr>
        </w:div>
        <w:div w:id="1241981186">
          <w:marLeft w:val="0"/>
          <w:marRight w:val="0"/>
          <w:marTop w:val="0"/>
          <w:marBottom w:val="0"/>
          <w:divBdr>
            <w:top w:val="none" w:sz="0" w:space="0" w:color="auto"/>
            <w:left w:val="none" w:sz="0" w:space="0" w:color="auto"/>
            <w:bottom w:val="none" w:sz="0" w:space="0" w:color="auto"/>
            <w:right w:val="none" w:sz="0" w:space="0" w:color="auto"/>
          </w:divBdr>
        </w:div>
      </w:divsChild>
    </w:div>
    <w:div w:id="1651910145">
      <w:bodyDiv w:val="1"/>
      <w:marLeft w:val="0"/>
      <w:marRight w:val="0"/>
      <w:marTop w:val="0"/>
      <w:marBottom w:val="0"/>
      <w:divBdr>
        <w:top w:val="none" w:sz="0" w:space="0" w:color="auto"/>
        <w:left w:val="none" w:sz="0" w:space="0" w:color="auto"/>
        <w:bottom w:val="none" w:sz="0" w:space="0" w:color="auto"/>
        <w:right w:val="none" w:sz="0" w:space="0" w:color="auto"/>
      </w:divBdr>
      <w:divsChild>
        <w:div w:id="127476954">
          <w:marLeft w:val="0"/>
          <w:marRight w:val="0"/>
          <w:marTop w:val="0"/>
          <w:marBottom w:val="0"/>
          <w:divBdr>
            <w:top w:val="none" w:sz="0" w:space="0" w:color="auto"/>
            <w:left w:val="none" w:sz="0" w:space="0" w:color="auto"/>
            <w:bottom w:val="none" w:sz="0" w:space="0" w:color="auto"/>
            <w:right w:val="none" w:sz="0" w:space="0" w:color="auto"/>
          </w:divBdr>
          <w:divsChild>
            <w:div w:id="1574043668">
              <w:marLeft w:val="0"/>
              <w:marRight w:val="0"/>
              <w:marTop w:val="0"/>
              <w:marBottom w:val="0"/>
              <w:divBdr>
                <w:top w:val="none" w:sz="0" w:space="0" w:color="auto"/>
                <w:left w:val="none" w:sz="0" w:space="0" w:color="auto"/>
                <w:bottom w:val="none" w:sz="0" w:space="0" w:color="auto"/>
                <w:right w:val="none" w:sz="0" w:space="0" w:color="auto"/>
              </w:divBdr>
            </w:div>
          </w:divsChild>
        </w:div>
        <w:div w:id="830215783">
          <w:marLeft w:val="0"/>
          <w:marRight w:val="0"/>
          <w:marTop w:val="0"/>
          <w:marBottom w:val="0"/>
          <w:divBdr>
            <w:top w:val="none" w:sz="0" w:space="0" w:color="auto"/>
            <w:left w:val="none" w:sz="0" w:space="0" w:color="auto"/>
            <w:bottom w:val="none" w:sz="0" w:space="0" w:color="auto"/>
            <w:right w:val="none" w:sz="0" w:space="0" w:color="auto"/>
          </w:divBdr>
          <w:divsChild>
            <w:div w:id="1551187884">
              <w:marLeft w:val="0"/>
              <w:marRight w:val="0"/>
              <w:marTop w:val="0"/>
              <w:marBottom w:val="0"/>
              <w:divBdr>
                <w:top w:val="none" w:sz="0" w:space="0" w:color="auto"/>
                <w:left w:val="none" w:sz="0" w:space="0" w:color="auto"/>
                <w:bottom w:val="none" w:sz="0" w:space="0" w:color="auto"/>
                <w:right w:val="none" w:sz="0" w:space="0" w:color="auto"/>
              </w:divBdr>
            </w:div>
          </w:divsChild>
        </w:div>
        <w:div w:id="347295549">
          <w:marLeft w:val="0"/>
          <w:marRight w:val="0"/>
          <w:marTop w:val="0"/>
          <w:marBottom w:val="0"/>
          <w:divBdr>
            <w:top w:val="none" w:sz="0" w:space="0" w:color="auto"/>
            <w:left w:val="none" w:sz="0" w:space="0" w:color="auto"/>
            <w:bottom w:val="none" w:sz="0" w:space="0" w:color="auto"/>
            <w:right w:val="none" w:sz="0" w:space="0" w:color="auto"/>
          </w:divBdr>
          <w:divsChild>
            <w:div w:id="2146970414">
              <w:marLeft w:val="0"/>
              <w:marRight w:val="0"/>
              <w:marTop w:val="0"/>
              <w:marBottom w:val="0"/>
              <w:divBdr>
                <w:top w:val="none" w:sz="0" w:space="0" w:color="auto"/>
                <w:left w:val="none" w:sz="0" w:space="0" w:color="auto"/>
                <w:bottom w:val="none" w:sz="0" w:space="0" w:color="auto"/>
                <w:right w:val="none" w:sz="0" w:space="0" w:color="auto"/>
              </w:divBdr>
            </w:div>
          </w:divsChild>
        </w:div>
        <w:div w:id="1872985442">
          <w:marLeft w:val="0"/>
          <w:marRight w:val="0"/>
          <w:marTop w:val="0"/>
          <w:marBottom w:val="0"/>
          <w:divBdr>
            <w:top w:val="none" w:sz="0" w:space="0" w:color="auto"/>
            <w:left w:val="none" w:sz="0" w:space="0" w:color="auto"/>
            <w:bottom w:val="none" w:sz="0" w:space="0" w:color="auto"/>
            <w:right w:val="none" w:sz="0" w:space="0" w:color="auto"/>
          </w:divBdr>
          <w:divsChild>
            <w:div w:id="67776632">
              <w:marLeft w:val="0"/>
              <w:marRight w:val="0"/>
              <w:marTop w:val="0"/>
              <w:marBottom w:val="0"/>
              <w:divBdr>
                <w:top w:val="none" w:sz="0" w:space="0" w:color="auto"/>
                <w:left w:val="none" w:sz="0" w:space="0" w:color="auto"/>
                <w:bottom w:val="none" w:sz="0" w:space="0" w:color="auto"/>
                <w:right w:val="none" w:sz="0" w:space="0" w:color="auto"/>
              </w:divBdr>
            </w:div>
          </w:divsChild>
        </w:div>
        <w:div w:id="1149126053">
          <w:marLeft w:val="0"/>
          <w:marRight w:val="0"/>
          <w:marTop w:val="0"/>
          <w:marBottom w:val="0"/>
          <w:divBdr>
            <w:top w:val="none" w:sz="0" w:space="0" w:color="auto"/>
            <w:left w:val="none" w:sz="0" w:space="0" w:color="auto"/>
            <w:bottom w:val="none" w:sz="0" w:space="0" w:color="auto"/>
            <w:right w:val="none" w:sz="0" w:space="0" w:color="auto"/>
          </w:divBdr>
          <w:divsChild>
            <w:div w:id="1310817804">
              <w:marLeft w:val="0"/>
              <w:marRight w:val="0"/>
              <w:marTop w:val="0"/>
              <w:marBottom w:val="0"/>
              <w:divBdr>
                <w:top w:val="none" w:sz="0" w:space="0" w:color="auto"/>
                <w:left w:val="none" w:sz="0" w:space="0" w:color="auto"/>
                <w:bottom w:val="none" w:sz="0" w:space="0" w:color="auto"/>
                <w:right w:val="none" w:sz="0" w:space="0" w:color="auto"/>
              </w:divBdr>
            </w:div>
          </w:divsChild>
        </w:div>
        <w:div w:id="1412309644">
          <w:marLeft w:val="0"/>
          <w:marRight w:val="0"/>
          <w:marTop w:val="0"/>
          <w:marBottom w:val="0"/>
          <w:divBdr>
            <w:top w:val="none" w:sz="0" w:space="0" w:color="auto"/>
            <w:left w:val="none" w:sz="0" w:space="0" w:color="auto"/>
            <w:bottom w:val="none" w:sz="0" w:space="0" w:color="auto"/>
            <w:right w:val="none" w:sz="0" w:space="0" w:color="auto"/>
          </w:divBdr>
          <w:divsChild>
            <w:div w:id="1643806304">
              <w:marLeft w:val="0"/>
              <w:marRight w:val="0"/>
              <w:marTop w:val="0"/>
              <w:marBottom w:val="0"/>
              <w:divBdr>
                <w:top w:val="none" w:sz="0" w:space="0" w:color="auto"/>
                <w:left w:val="none" w:sz="0" w:space="0" w:color="auto"/>
                <w:bottom w:val="none" w:sz="0" w:space="0" w:color="auto"/>
                <w:right w:val="none" w:sz="0" w:space="0" w:color="auto"/>
              </w:divBdr>
            </w:div>
          </w:divsChild>
        </w:div>
        <w:div w:id="649214847">
          <w:marLeft w:val="0"/>
          <w:marRight w:val="0"/>
          <w:marTop w:val="0"/>
          <w:marBottom w:val="0"/>
          <w:divBdr>
            <w:top w:val="none" w:sz="0" w:space="0" w:color="auto"/>
            <w:left w:val="none" w:sz="0" w:space="0" w:color="auto"/>
            <w:bottom w:val="none" w:sz="0" w:space="0" w:color="auto"/>
            <w:right w:val="none" w:sz="0" w:space="0" w:color="auto"/>
          </w:divBdr>
          <w:divsChild>
            <w:div w:id="1707826717">
              <w:marLeft w:val="0"/>
              <w:marRight w:val="0"/>
              <w:marTop w:val="0"/>
              <w:marBottom w:val="0"/>
              <w:divBdr>
                <w:top w:val="none" w:sz="0" w:space="0" w:color="auto"/>
                <w:left w:val="none" w:sz="0" w:space="0" w:color="auto"/>
                <w:bottom w:val="none" w:sz="0" w:space="0" w:color="auto"/>
                <w:right w:val="none" w:sz="0" w:space="0" w:color="auto"/>
              </w:divBdr>
            </w:div>
          </w:divsChild>
        </w:div>
        <w:div w:id="80223791">
          <w:marLeft w:val="0"/>
          <w:marRight w:val="0"/>
          <w:marTop w:val="0"/>
          <w:marBottom w:val="0"/>
          <w:divBdr>
            <w:top w:val="none" w:sz="0" w:space="0" w:color="auto"/>
            <w:left w:val="none" w:sz="0" w:space="0" w:color="auto"/>
            <w:bottom w:val="none" w:sz="0" w:space="0" w:color="auto"/>
            <w:right w:val="none" w:sz="0" w:space="0" w:color="auto"/>
          </w:divBdr>
          <w:divsChild>
            <w:div w:id="528883771">
              <w:marLeft w:val="0"/>
              <w:marRight w:val="0"/>
              <w:marTop w:val="0"/>
              <w:marBottom w:val="0"/>
              <w:divBdr>
                <w:top w:val="none" w:sz="0" w:space="0" w:color="auto"/>
                <w:left w:val="none" w:sz="0" w:space="0" w:color="auto"/>
                <w:bottom w:val="none" w:sz="0" w:space="0" w:color="auto"/>
                <w:right w:val="none" w:sz="0" w:space="0" w:color="auto"/>
              </w:divBdr>
            </w:div>
          </w:divsChild>
        </w:div>
        <w:div w:id="376899007">
          <w:marLeft w:val="0"/>
          <w:marRight w:val="0"/>
          <w:marTop w:val="0"/>
          <w:marBottom w:val="0"/>
          <w:divBdr>
            <w:top w:val="none" w:sz="0" w:space="0" w:color="auto"/>
            <w:left w:val="none" w:sz="0" w:space="0" w:color="auto"/>
            <w:bottom w:val="none" w:sz="0" w:space="0" w:color="auto"/>
            <w:right w:val="none" w:sz="0" w:space="0" w:color="auto"/>
          </w:divBdr>
          <w:divsChild>
            <w:div w:id="54277391">
              <w:marLeft w:val="0"/>
              <w:marRight w:val="0"/>
              <w:marTop w:val="0"/>
              <w:marBottom w:val="0"/>
              <w:divBdr>
                <w:top w:val="none" w:sz="0" w:space="0" w:color="auto"/>
                <w:left w:val="none" w:sz="0" w:space="0" w:color="auto"/>
                <w:bottom w:val="none" w:sz="0" w:space="0" w:color="auto"/>
                <w:right w:val="none" w:sz="0" w:space="0" w:color="auto"/>
              </w:divBdr>
            </w:div>
          </w:divsChild>
        </w:div>
        <w:div w:id="1655601372">
          <w:marLeft w:val="0"/>
          <w:marRight w:val="0"/>
          <w:marTop w:val="0"/>
          <w:marBottom w:val="0"/>
          <w:divBdr>
            <w:top w:val="none" w:sz="0" w:space="0" w:color="auto"/>
            <w:left w:val="none" w:sz="0" w:space="0" w:color="auto"/>
            <w:bottom w:val="none" w:sz="0" w:space="0" w:color="auto"/>
            <w:right w:val="none" w:sz="0" w:space="0" w:color="auto"/>
          </w:divBdr>
          <w:divsChild>
            <w:div w:id="19081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97119">
      <w:bodyDiv w:val="1"/>
      <w:marLeft w:val="0"/>
      <w:marRight w:val="0"/>
      <w:marTop w:val="0"/>
      <w:marBottom w:val="0"/>
      <w:divBdr>
        <w:top w:val="none" w:sz="0" w:space="0" w:color="auto"/>
        <w:left w:val="none" w:sz="0" w:space="0" w:color="auto"/>
        <w:bottom w:val="none" w:sz="0" w:space="0" w:color="auto"/>
        <w:right w:val="none" w:sz="0" w:space="0" w:color="auto"/>
      </w:divBdr>
      <w:divsChild>
        <w:div w:id="1996571991">
          <w:marLeft w:val="0"/>
          <w:marRight w:val="0"/>
          <w:marTop w:val="0"/>
          <w:marBottom w:val="0"/>
          <w:divBdr>
            <w:top w:val="none" w:sz="0" w:space="0" w:color="auto"/>
            <w:left w:val="none" w:sz="0" w:space="0" w:color="auto"/>
            <w:bottom w:val="none" w:sz="0" w:space="0" w:color="auto"/>
            <w:right w:val="none" w:sz="0" w:space="0" w:color="auto"/>
          </w:divBdr>
        </w:div>
        <w:div w:id="1680113655">
          <w:marLeft w:val="0"/>
          <w:marRight w:val="0"/>
          <w:marTop w:val="0"/>
          <w:marBottom w:val="0"/>
          <w:divBdr>
            <w:top w:val="none" w:sz="0" w:space="0" w:color="auto"/>
            <w:left w:val="none" w:sz="0" w:space="0" w:color="auto"/>
            <w:bottom w:val="none" w:sz="0" w:space="0" w:color="auto"/>
            <w:right w:val="none" w:sz="0" w:space="0" w:color="auto"/>
          </w:divBdr>
        </w:div>
      </w:divsChild>
    </w:div>
    <w:div w:id="1758821839">
      <w:bodyDiv w:val="1"/>
      <w:marLeft w:val="0"/>
      <w:marRight w:val="0"/>
      <w:marTop w:val="0"/>
      <w:marBottom w:val="0"/>
      <w:divBdr>
        <w:top w:val="none" w:sz="0" w:space="0" w:color="auto"/>
        <w:left w:val="none" w:sz="0" w:space="0" w:color="auto"/>
        <w:bottom w:val="none" w:sz="0" w:space="0" w:color="auto"/>
        <w:right w:val="none" w:sz="0" w:space="0" w:color="auto"/>
      </w:divBdr>
      <w:divsChild>
        <w:div w:id="895892768">
          <w:marLeft w:val="0"/>
          <w:marRight w:val="0"/>
          <w:marTop w:val="0"/>
          <w:marBottom w:val="0"/>
          <w:divBdr>
            <w:top w:val="none" w:sz="0" w:space="0" w:color="auto"/>
            <w:left w:val="none" w:sz="0" w:space="0" w:color="auto"/>
            <w:bottom w:val="none" w:sz="0" w:space="0" w:color="auto"/>
            <w:right w:val="none" w:sz="0" w:space="0" w:color="auto"/>
          </w:divBdr>
        </w:div>
        <w:div w:id="922451296">
          <w:marLeft w:val="0"/>
          <w:marRight w:val="0"/>
          <w:marTop w:val="0"/>
          <w:marBottom w:val="0"/>
          <w:divBdr>
            <w:top w:val="none" w:sz="0" w:space="0" w:color="auto"/>
            <w:left w:val="none" w:sz="0" w:space="0" w:color="auto"/>
            <w:bottom w:val="none" w:sz="0" w:space="0" w:color="auto"/>
            <w:right w:val="none" w:sz="0" w:space="0" w:color="auto"/>
          </w:divBdr>
        </w:div>
      </w:divsChild>
    </w:div>
    <w:div w:id="1768501626">
      <w:bodyDiv w:val="1"/>
      <w:marLeft w:val="0"/>
      <w:marRight w:val="0"/>
      <w:marTop w:val="0"/>
      <w:marBottom w:val="0"/>
      <w:divBdr>
        <w:top w:val="none" w:sz="0" w:space="0" w:color="auto"/>
        <w:left w:val="none" w:sz="0" w:space="0" w:color="auto"/>
        <w:bottom w:val="none" w:sz="0" w:space="0" w:color="auto"/>
        <w:right w:val="none" w:sz="0" w:space="0" w:color="auto"/>
      </w:divBdr>
    </w:div>
    <w:div w:id="1834099620">
      <w:bodyDiv w:val="1"/>
      <w:marLeft w:val="0"/>
      <w:marRight w:val="0"/>
      <w:marTop w:val="0"/>
      <w:marBottom w:val="0"/>
      <w:divBdr>
        <w:top w:val="none" w:sz="0" w:space="0" w:color="auto"/>
        <w:left w:val="none" w:sz="0" w:space="0" w:color="auto"/>
        <w:bottom w:val="none" w:sz="0" w:space="0" w:color="auto"/>
        <w:right w:val="none" w:sz="0" w:space="0" w:color="auto"/>
      </w:divBdr>
    </w:div>
    <w:div w:id="1914971480">
      <w:bodyDiv w:val="1"/>
      <w:marLeft w:val="0"/>
      <w:marRight w:val="0"/>
      <w:marTop w:val="0"/>
      <w:marBottom w:val="0"/>
      <w:divBdr>
        <w:top w:val="none" w:sz="0" w:space="0" w:color="auto"/>
        <w:left w:val="none" w:sz="0" w:space="0" w:color="auto"/>
        <w:bottom w:val="none" w:sz="0" w:space="0" w:color="auto"/>
        <w:right w:val="none" w:sz="0" w:space="0" w:color="auto"/>
      </w:divBdr>
      <w:divsChild>
        <w:div w:id="1564296541">
          <w:marLeft w:val="0"/>
          <w:marRight w:val="0"/>
          <w:marTop w:val="0"/>
          <w:marBottom w:val="0"/>
          <w:divBdr>
            <w:top w:val="none" w:sz="0" w:space="0" w:color="auto"/>
            <w:left w:val="none" w:sz="0" w:space="0" w:color="auto"/>
            <w:bottom w:val="none" w:sz="0" w:space="0" w:color="auto"/>
            <w:right w:val="none" w:sz="0" w:space="0" w:color="auto"/>
          </w:divBdr>
        </w:div>
        <w:div w:id="1283878135">
          <w:marLeft w:val="0"/>
          <w:marRight w:val="0"/>
          <w:marTop w:val="0"/>
          <w:marBottom w:val="0"/>
          <w:divBdr>
            <w:top w:val="none" w:sz="0" w:space="0" w:color="auto"/>
            <w:left w:val="none" w:sz="0" w:space="0" w:color="auto"/>
            <w:bottom w:val="none" w:sz="0" w:space="0" w:color="auto"/>
            <w:right w:val="none" w:sz="0" w:space="0" w:color="auto"/>
          </w:divBdr>
        </w:div>
      </w:divsChild>
    </w:div>
    <w:div w:id="1953436369">
      <w:bodyDiv w:val="1"/>
      <w:marLeft w:val="0"/>
      <w:marRight w:val="0"/>
      <w:marTop w:val="0"/>
      <w:marBottom w:val="0"/>
      <w:divBdr>
        <w:top w:val="none" w:sz="0" w:space="0" w:color="auto"/>
        <w:left w:val="none" w:sz="0" w:space="0" w:color="auto"/>
        <w:bottom w:val="none" w:sz="0" w:space="0" w:color="auto"/>
        <w:right w:val="none" w:sz="0" w:space="0" w:color="auto"/>
      </w:divBdr>
    </w:div>
    <w:div w:id="1986662097">
      <w:bodyDiv w:val="1"/>
      <w:marLeft w:val="0"/>
      <w:marRight w:val="0"/>
      <w:marTop w:val="0"/>
      <w:marBottom w:val="0"/>
      <w:divBdr>
        <w:top w:val="none" w:sz="0" w:space="0" w:color="auto"/>
        <w:left w:val="none" w:sz="0" w:space="0" w:color="auto"/>
        <w:bottom w:val="none" w:sz="0" w:space="0" w:color="auto"/>
        <w:right w:val="none" w:sz="0" w:space="0" w:color="auto"/>
      </w:divBdr>
      <w:divsChild>
        <w:div w:id="1814102289">
          <w:marLeft w:val="0"/>
          <w:marRight w:val="0"/>
          <w:marTop w:val="0"/>
          <w:marBottom w:val="0"/>
          <w:divBdr>
            <w:top w:val="none" w:sz="0" w:space="0" w:color="auto"/>
            <w:left w:val="none" w:sz="0" w:space="0" w:color="auto"/>
            <w:bottom w:val="none" w:sz="0" w:space="0" w:color="auto"/>
            <w:right w:val="none" w:sz="0" w:space="0" w:color="auto"/>
          </w:divBdr>
          <w:divsChild>
            <w:div w:id="775249516">
              <w:marLeft w:val="0"/>
              <w:marRight w:val="0"/>
              <w:marTop w:val="0"/>
              <w:marBottom w:val="0"/>
              <w:divBdr>
                <w:top w:val="none" w:sz="0" w:space="0" w:color="auto"/>
                <w:left w:val="none" w:sz="0" w:space="0" w:color="auto"/>
                <w:bottom w:val="none" w:sz="0" w:space="0" w:color="auto"/>
                <w:right w:val="none" w:sz="0" w:space="0" w:color="auto"/>
              </w:divBdr>
            </w:div>
          </w:divsChild>
        </w:div>
        <w:div w:id="1534921848">
          <w:marLeft w:val="0"/>
          <w:marRight w:val="0"/>
          <w:marTop w:val="0"/>
          <w:marBottom w:val="0"/>
          <w:divBdr>
            <w:top w:val="none" w:sz="0" w:space="0" w:color="auto"/>
            <w:left w:val="none" w:sz="0" w:space="0" w:color="auto"/>
            <w:bottom w:val="none" w:sz="0" w:space="0" w:color="auto"/>
            <w:right w:val="none" w:sz="0" w:space="0" w:color="auto"/>
          </w:divBdr>
          <w:divsChild>
            <w:div w:id="1607735740">
              <w:marLeft w:val="0"/>
              <w:marRight w:val="0"/>
              <w:marTop w:val="0"/>
              <w:marBottom w:val="0"/>
              <w:divBdr>
                <w:top w:val="none" w:sz="0" w:space="0" w:color="auto"/>
                <w:left w:val="none" w:sz="0" w:space="0" w:color="auto"/>
                <w:bottom w:val="none" w:sz="0" w:space="0" w:color="auto"/>
                <w:right w:val="none" w:sz="0" w:space="0" w:color="auto"/>
              </w:divBdr>
            </w:div>
          </w:divsChild>
        </w:div>
        <w:div w:id="515388430">
          <w:marLeft w:val="0"/>
          <w:marRight w:val="0"/>
          <w:marTop w:val="0"/>
          <w:marBottom w:val="0"/>
          <w:divBdr>
            <w:top w:val="none" w:sz="0" w:space="0" w:color="auto"/>
            <w:left w:val="none" w:sz="0" w:space="0" w:color="auto"/>
            <w:bottom w:val="none" w:sz="0" w:space="0" w:color="auto"/>
            <w:right w:val="none" w:sz="0" w:space="0" w:color="auto"/>
          </w:divBdr>
          <w:divsChild>
            <w:div w:id="1409765396">
              <w:marLeft w:val="0"/>
              <w:marRight w:val="0"/>
              <w:marTop w:val="0"/>
              <w:marBottom w:val="0"/>
              <w:divBdr>
                <w:top w:val="none" w:sz="0" w:space="0" w:color="auto"/>
                <w:left w:val="none" w:sz="0" w:space="0" w:color="auto"/>
                <w:bottom w:val="none" w:sz="0" w:space="0" w:color="auto"/>
                <w:right w:val="none" w:sz="0" w:space="0" w:color="auto"/>
              </w:divBdr>
            </w:div>
          </w:divsChild>
        </w:div>
        <w:div w:id="1933783067">
          <w:marLeft w:val="0"/>
          <w:marRight w:val="0"/>
          <w:marTop w:val="0"/>
          <w:marBottom w:val="0"/>
          <w:divBdr>
            <w:top w:val="none" w:sz="0" w:space="0" w:color="auto"/>
            <w:left w:val="none" w:sz="0" w:space="0" w:color="auto"/>
            <w:bottom w:val="none" w:sz="0" w:space="0" w:color="auto"/>
            <w:right w:val="none" w:sz="0" w:space="0" w:color="auto"/>
          </w:divBdr>
          <w:divsChild>
            <w:div w:id="257635948">
              <w:marLeft w:val="0"/>
              <w:marRight w:val="0"/>
              <w:marTop w:val="0"/>
              <w:marBottom w:val="0"/>
              <w:divBdr>
                <w:top w:val="none" w:sz="0" w:space="0" w:color="auto"/>
                <w:left w:val="none" w:sz="0" w:space="0" w:color="auto"/>
                <w:bottom w:val="none" w:sz="0" w:space="0" w:color="auto"/>
                <w:right w:val="none" w:sz="0" w:space="0" w:color="auto"/>
              </w:divBdr>
            </w:div>
          </w:divsChild>
        </w:div>
        <w:div w:id="566842078">
          <w:marLeft w:val="0"/>
          <w:marRight w:val="0"/>
          <w:marTop w:val="0"/>
          <w:marBottom w:val="0"/>
          <w:divBdr>
            <w:top w:val="none" w:sz="0" w:space="0" w:color="auto"/>
            <w:left w:val="none" w:sz="0" w:space="0" w:color="auto"/>
            <w:bottom w:val="none" w:sz="0" w:space="0" w:color="auto"/>
            <w:right w:val="none" w:sz="0" w:space="0" w:color="auto"/>
          </w:divBdr>
          <w:divsChild>
            <w:div w:id="476460517">
              <w:marLeft w:val="0"/>
              <w:marRight w:val="0"/>
              <w:marTop w:val="0"/>
              <w:marBottom w:val="0"/>
              <w:divBdr>
                <w:top w:val="none" w:sz="0" w:space="0" w:color="auto"/>
                <w:left w:val="none" w:sz="0" w:space="0" w:color="auto"/>
                <w:bottom w:val="none" w:sz="0" w:space="0" w:color="auto"/>
                <w:right w:val="none" w:sz="0" w:space="0" w:color="auto"/>
              </w:divBdr>
            </w:div>
          </w:divsChild>
        </w:div>
        <w:div w:id="1095633591">
          <w:marLeft w:val="0"/>
          <w:marRight w:val="0"/>
          <w:marTop w:val="0"/>
          <w:marBottom w:val="0"/>
          <w:divBdr>
            <w:top w:val="none" w:sz="0" w:space="0" w:color="auto"/>
            <w:left w:val="none" w:sz="0" w:space="0" w:color="auto"/>
            <w:bottom w:val="none" w:sz="0" w:space="0" w:color="auto"/>
            <w:right w:val="none" w:sz="0" w:space="0" w:color="auto"/>
          </w:divBdr>
          <w:divsChild>
            <w:div w:id="510723494">
              <w:marLeft w:val="0"/>
              <w:marRight w:val="0"/>
              <w:marTop w:val="0"/>
              <w:marBottom w:val="0"/>
              <w:divBdr>
                <w:top w:val="none" w:sz="0" w:space="0" w:color="auto"/>
                <w:left w:val="none" w:sz="0" w:space="0" w:color="auto"/>
                <w:bottom w:val="none" w:sz="0" w:space="0" w:color="auto"/>
                <w:right w:val="none" w:sz="0" w:space="0" w:color="auto"/>
              </w:divBdr>
            </w:div>
          </w:divsChild>
        </w:div>
        <w:div w:id="1729568513">
          <w:marLeft w:val="0"/>
          <w:marRight w:val="0"/>
          <w:marTop w:val="0"/>
          <w:marBottom w:val="0"/>
          <w:divBdr>
            <w:top w:val="none" w:sz="0" w:space="0" w:color="auto"/>
            <w:left w:val="none" w:sz="0" w:space="0" w:color="auto"/>
            <w:bottom w:val="none" w:sz="0" w:space="0" w:color="auto"/>
            <w:right w:val="none" w:sz="0" w:space="0" w:color="auto"/>
          </w:divBdr>
          <w:divsChild>
            <w:div w:id="316540150">
              <w:marLeft w:val="0"/>
              <w:marRight w:val="0"/>
              <w:marTop w:val="0"/>
              <w:marBottom w:val="0"/>
              <w:divBdr>
                <w:top w:val="none" w:sz="0" w:space="0" w:color="auto"/>
                <w:left w:val="none" w:sz="0" w:space="0" w:color="auto"/>
                <w:bottom w:val="none" w:sz="0" w:space="0" w:color="auto"/>
                <w:right w:val="none" w:sz="0" w:space="0" w:color="auto"/>
              </w:divBdr>
            </w:div>
          </w:divsChild>
        </w:div>
        <w:div w:id="1354530505">
          <w:marLeft w:val="0"/>
          <w:marRight w:val="0"/>
          <w:marTop w:val="0"/>
          <w:marBottom w:val="0"/>
          <w:divBdr>
            <w:top w:val="none" w:sz="0" w:space="0" w:color="auto"/>
            <w:left w:val="none" w:sz="0" w:space="0" w:color="auto"/>
            <w:bottom w:val="none" w:sz="0" w:space="0" w:color="auto"/>
            <w:right w:val="none" w:sz="0" w:space="0" w:color="auto"/>
          </w:divBdr>
          <w:divsChild>
            <w:div w:id="16024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97579">
      <w:bodyDiv w:val="1"/>
      <w:marLeft w:val="0"/>
      <w:marRight w:val="0"/>
      <w:marTop w:val="0"/>
      <w:marBottom w:val="0"/>
      <w:divBdr>
        <w:top w:val="none" w:sz="0" w:space="0" w:color="auto"/>
        <w:left w:val="none" w:sz="0" w:space="0" w:color="auto"/>
        <w:bottom w:val="none" w:sz="0" w:space="0" w:color="auto"/>
        <w:right w:val="none" w:sz="0" w:space="0" w:color="auto"/>
      </w:divBdr>
      <w:divsChild>
        <w:div w:id="4483762">
          <w:marLeft w:val="0"/>
          <w:marRight w:val="0"/>
          <w:marTop w:val="0"/>
          <w:marBottom w:val="0"/>
          <w:divBdr>
            <w:top w:val="none" w:sz="0" w:space="0" w:color="auto"/>
            <w:left w:val="none" w:sz="0" w:space="0" w:color="auto"/>
            <w:bottom w:val="none" w:sz="0" w:space="0" w:color="auto"/>
            <w:right w:val="none" w:sz="0" w:space="0" w:color="auto"/>
          </w:divBdr>
        </w:div>
        <w:div w:id="1152261105">
          <w:marLeft w:val="0"/>
          <w:marRight w:val="0"/>
          <w:marTop w:val="0"/>
          <w:marBottom w:val="0"/>
          <w:divBdr>
            <w:top w:val="none" w:sz="0" w:space="0" w:color="auto"/>
            <w:left w:val="none" w:sz="0" w:space="0" w:color="auto"/>
            <w:bottom w:val="none" w:sz="0" w:space="0" w:color="auto"/>
            <w:right w:val="none" w:sz="0" w:space="0" w:color="auto"/>
          </w:divBdr>
        </w:div>
        <w:div w:id="728848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jnesh.Dharmat@bs.NTTDATA.COM"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123154\OneDrive%20-%20NTT%20DATA%20Business%20Solutions%20AG\Microsoft%20Teams%20Chat%20Files\NTT%20DATA%20Global%20Word%20Template%20-%20Copy%201%201%201%201.dotx" TargetMode="External"/></Relationships>
</file>

<file path=word/theme/theme1.xml><?xml version="1.0" encoding="utf-8"?>
<a:theme xmlns:a="http://schemas.openxmlformats.org/drawingml/2006/main" name="Office Theme">
  <a:themeElements>
    <a:clrScheme name="Custom 51">
      <a:dk1>
        <a:srgbClr val="FFFFFF"/>
      </a:dk1>
      <a:lt1>
        <a:srgbClr val="070F26"/>
      </a:lt1>
      <a:dk2>
        <a:srgbClr val="2E404D"/>
      </a:dk2>
      <a:lt2>
        <a:srgbClr val="0072BC"/>
      </a:lt2>
      <a:accent1>
        <a:srgbClr val="19A3FC"/>
      </a:accent1>
      <a:accent2>
        <a:srgbClr val="00DFED"/>
      </a:accent2>
      <a:accent3>
        <a:srgbClr val="00CB5D"/>
      </a:accent3>
      <a:accent4>
        <a:srgbClr val="FFC400"/>
      </a:accent4>
      <a:accent5>
        <a:srgbClr val="FF7A00"/>
      </a:accent5>
      <a:accent6>
        <a:srgbClr val="949494"/>
      </a:accent6>
      <a:hlink>
        <a:srgbClr val="005B96"/>
      </a:hlink>
      <a:folHlink>
        <a:srgbClr val="0072B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DEE3AE64097F14289A03A2461EFFFC8" ma:contentTypeVersion="18" ma:contentTypeDescription="Create a new document." ma:contentTypeScope="" ma:versionID="373b60245726ae3e6184b33906947a11">
  <xsd:schema xmlns:xsd="http://www.w3.org/2001/XMLSchema" xmlns:xs="http://www.w3.org/2001/XMLSchema" xmlns:p="http://schemas.microsoft.com/office/2006/metadata/properties" xmlns:ns2="e640c006-df09-47c8-9f17-5b08d3d76421" xmlns:ns3="a1795bec-5470-4c64-a077-21966ea2a86b" targetNamespace="http://schemas.microsoft.com/office/2006/metadata/properties" ma:root="true" ma:fieldsID="ea452212d4f542b0c98a42631ff98c55" ns2:_="" ns3:_="">
    <xsd:import namespace="e640c006-df09-47c8-9f17-5b08d3d76421"/>
    <xsd:import namespace="a1795bec-5470-4c64-a077-21966ea2a86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0c006-df09-47c8-9f17-5b08d3d764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44951b-1b3b-4f09-8d96-1e2cbb0c29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795bec-5470-4c64-a077-21966ea2a86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3fbc234-76b6-4432-ba68-c4a7c234ef99}" ma:internalName="TaxCatchAll" ma:showField="CatchAllData" ma:web="a1795bec-5470-4c64-a077-21966ea2a8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1795bec-5470-4c64-a077-21966ea2a86b" xsi:nil="true"/>
    <lcf76f155ced4ddcb4097134ff3c332f xmlns="e640c006-df09-47c8-9f17-5b08d3d7642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033E51-A133-484E-A999-B47BB42AC722}">
  <ds:schemaRefs>
    <ds:schemaRef ds:uri="http://schemas.microsoft.com/sharepoint/v3/contenttype/forms"/>
  </ds:schemaRefs>
</ds:datastoreItem>
</file>

<file path=customXml/itemProps2.xml><?xml version="1.0" encoding="utf-8"?>
<ds:datastoreItem xmlns:ds="http://schemas.openxmlformats.org/officeDocument/2006/customXml" ds:itemID="{06A539AB-E1D5-4418-A01F-2006E354F4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40c006-df09-47c8-9f17-5b08d3d76421"/>
    <ds:schemaRef ds:uri="a1795bec-5470-4c64-a077-21966ea2a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BD03B9-BFAB-42BE-8091-69031DD3A8CE}">
  <ds:schemaRefs>
    <ds:schemaRef ds:uri="http://schemas.openxmlformats.org/officeDocument/2006/bibliography"/>
  </ds:schemaRefs>
</ds:datastoreItem>
</file>

<file path=customXml/itemProps4.xml><?xml version="1.0" encoding="utf-8"?>
<ds:datastoreItem xmlns:ds="http://schemas.openxmlformats.org/officeDocument/2006/customXml" ds:itemID="{B6ADF4F3-5389-4261-BA50-D9C1C4EE966F}">
  <ds:schemaRefs>
    <ds:schemaRef ds:uri="http://schemas.microsoft.com/office/2006/metadata/properties"/>
    <ds:schemaRef ds:uri="http://schemas.microsoft.com/office/infopath/2007/PartnerControls"/>
    <ds:schemaRef ds:uri="a1795bec-5470-4c64-a077-21966ea2a86b"/>
    <ds:schemaRef ds:uri="e640c006-df09-47c8-9f17-5b08d3d76421"/>
  </ds:schemaRefs>
</ds:datastoreItem>
</file>

<file path=docMetadata/LabelInfo.xml><?xml version="1.0" encoding="utf-8"?>
<clbl:labelList xmlns:clbl="http://schemas.microsoft.com/office/2020/mipLabelMetadata">
  <clbl:label id="{ec3fe26b-7d76-4b37-8465-ecc347eca3f0}" enabled="1" method="Standard" siteId="{46c4de19-0ffc-4c54-aa86-ee7274afa9d7}" removed="0"/>
</clbl:labelList>
</file>

<file path=docProps/app.xml><?xml version="1.0" encoding="utf-8"?>
<Properties xmlns="http://schemas.openxmlformats.org/officeDocument/2006/extended-properties" xmlns:vt="http://schemas.openxmlformats.org/officeDocument/2006/docPropsVTypes">
  <Template>NTT DATA Global Word Template - Copy 1 1 1 1</Template>
  <TotalTime>159</TotalTime>
  <Pages>21</Pages>
  <Words>3740</Words>
  <Characters>21321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NTT DATA Business Solutions</Company>
  <LinksUpToDate>false</LinksUpToDate>
  <CharactersWithSpaces>25011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Nagla, Aanchal</dc:creator>
  <cp:keywords/>
  <dc:description/>
  <cp:lastModifiedBy>Aparajita, Aparajita</cp:lastModifiedBy>
  <cp:revision>63</cp:revision>
  <cp:lastPrinted>2026-03-23T08:55:00Z</cp:lastPrinted>
  <dcterms:created xsi:type="dcterms:W3CDTF">2026-06-23T11:13:00Z</dcterms:created>
  <dcterms:modified xsi:type="dcterms:W3CDTF">2026-07-20T06:52:00Z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37e5cc-ed1f-4ad6-a881-35c0f1c6f3d8_Enabled">
    <vt:lpwstr>true</vt:lpwstr>
  </property>
  <property fmtid="{D5CDD505-2E9C-101B-9397-08002B2CF9AE}" pid="3" name="MSIP_Label_4637e5cc-ed1f-4ad6-a881-35c0f1c6f3d8_SetDate">
    <vt:lpwstr>2023-07-27T09:24:30Z</vt:lpwstr>
  </property>
  <property fmtid="{D5CDD505-2E9C-101B-9397-08002B2CF9AE}" pid="4" name="MSIP_Label_4637e5cc-ed1f-4ad6-a881-35c0f1c6f3d8_Method">
    <vt:lpwstr>Standard</vt:lpwstr>
  </property>
  <property fmtid="{D5CDD505-2E9C-101B-9397-08002B2CF9AE}" pid="5" name="MSIP_Label_4637e5cc-ed1f-4ad6-a881-35c0f1c6f3d8_Name">
    <vt:lpwstr>General</vt:lpwstr>
  </property>
  <property fmtid="{D5CDD505-2E9C-101B-9397-08002B2CF9AE}" pid="6" name="MSIP_Label_4637e5cc-ed1f-4ad6-a881-35c0f1c6f3d8_SiteId">
    <vt:lpwstr>e3cf3c98-a978-465f-8254-9d541eeea73c</vt:lpwstr>
  </property>
  <property fmtid="{D5CDD505-2E9C-101B-9397-08002B2CF9AE}" pid="7" name="MSIP_Label_4637e5cc-ed1f-4ad6-a881-35c0f1c6f3d8_ActionId">
    <vt:lpwstr>08988646-045d-4317-80d0-b25e5da4eed3</vt:lpwstr>
  </property>
  <property fmtid="{D5CDD505-2E9C-101B-9397-08002B2CF9AE}" pid="8" name="MSIP_Label_4637e5cc-ed1f-4ad6-a881-35c0f1c6f3d8_ContentBits">
    <vt:lpwstr>0</vt:lpwstr>
  </property>
  <property fmtid="{D5CDD505-2E9C-101B-9397-08002B2CF9AE}" pid="9" name="Client">
    <vt:lpwstr/>
  </property>
  <property fmtid="{D5CDD505-2E9C-101B-9397-08002B2CF9AE}" pid="10" name="Security">
    <vt:lpwstr>General</vt:lpwstr>
  </property>
  <property fmtid="{D5CDD505-2E9C-101B-9397-08002B2CF9AE}" pid="11" name="ContentTypeId">
    <vt:lpwstr>0x010100BDEE3AE64097F14289A03A2461EFFFC8</vt:lpwstr>
  </property>
  <property fmtid="{D5CDD505-2E9C-101B-9397-08002B2CF9AE}" pid="12" name="_dlc_DocIdItemGuid">
    <vt:lpwstr>f40f45ac-4477-4c90-a82f-ef0710930987</vt:lpwstr>
  </property>
  <property fmtid="{D5CDD505-2E9C-101B-9397-08002B2CF9AE}" pid="13" name="MSIP_Label_defa4170-0d19-0005-0004-bc88714345d2_Enabled">
    <vt:lpwstr>true</vt:lpwstr>
  </property>
  <property fmtid="{D5CDD505-2E9C-101B-9397-08002B2CF9AE}" pid="14" name="MSIP_Label_defa4170-0d19-0005-0004-bc88714345d2_SetDate">
    <vt:lpwstr>2023-12-12T14:07:12Z</vt:lpwstr>
  </property>
  <property fmtid="{D5CDD505-2E9C-101B-9397-08002B2CF9AE}" pid="15" name="MSIP_Label_defa4170-0d19-0005-0004-bc88714345d2_Method">
    <vt:lpwstr>Standard</vt:lpwstr>
  </property>
  <property fmtid="{D5CDD505-2E9C-101B-9397-08002B2CF9AE}" pid="16" name="MSIP_Label_defa4170-0d19-0005-0004-bc88714345d2_Name">
    <vt:lpwstr>defa4170-0d19-0005-0004-bc88714345d2</vt:lpwstr>
  </property>
  <property fmtid="{D5CDD505-2E9C-101B-9397-08002B2CF9AE}" pid="17" name="MSIP_Label_defa4170-0d19-0005-0004-bc88714345d2_SiteId">
    <vt:lpwstr>0c04581c-5044-411c-9911-636d102879c5</vt:lpwstr>
  </property>
  <property fmtid="{D5CDD505-2E9C-101B-9397-08002B2CF9AE}" pid="18" name="MSIP_Label_defa4170-0d19-0005-0004-bc88714345d2_ActionId">
    <vt:lpwstr>c0e77592-857b-40a4-b63d-eb068cb52261</vt:lpwstr>
  </property>
  <property fmtid="{D5CDD505-2E9C-101B-9397-08002B2CF9AE}" pid="19" name="MSIP_Label_defa4170-0d19-0005-0004-bc88714345d2_ContentBits">
    <vt:lpwstr>0</vt:lpwstr>
  </property>
  <property fmtid="{D5CDD505-2E9C-101B-9397-08002B2CF9AE}" pid="20" name="ClassificationContentMarkingHeaderShapeIds">
    <vt:lpwstr>605d4065,469ba9af,480195b3</vt:lpwstr>
  </property>
  <property fmtid="{D5CDD505-2E9C-101B-9397-08002B2CF9AE}" pid="21" name="ClassificationContentMarkingHeaderFontProps">
    <vt:lpwstr>#008000,12,Aptos</vt:lpwstr>
  </property>
  <property fmtid="{D5CDD505-2E9C-101B-9397-08002B2CF9AE}" pid="22" name="ClassificationContentMarkingHeaderText">
    <vt:lpwstr>RESTRICTED</vt:lpwstr>
  </property>
</Properties>
</file>