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jc w:val="center"/>
      </w:pPr>
      <w:r>
        <w:rPr>
          <w:rFonts w:ascii="Times New Roman" w:hAnsi="Times New Roman" w:eastAsia="Times New Roman"/>
          <w:b/>
          <w:i w:val="0"/>
          <w:sz w:val="36"/>
        </w:rPr>
        <w:t>PropManage: A Dual-Portal MERN-Stack Architecture for Real-Time Property Management with AI-Assisted Interaction and Verifiable Payment Processing</w:t>
      </w:r>
    </w:p>
    <w:p>
      <w:pPr>
        <w:spacing w:after="40" w:line="264" w:lineRule="auto"/>
        <w:jc w:val="center"/>
      </w:pPr>
      <w:r>
        <w:rPr>
          <w:rFonts w:ascii="Times New Roman" w:hAnsi="Times New Roman" w:eastAsia="Times New Roman"/>
          <w:b w:val="0"/>
          <w:i w:val="0"/>
          <w:sz w:val="22"/>
        </w:rPr>
        <w:t>Ashritha Duppati</w:t>
      </w:r>
    </w:p>
    <w:p>
      <w:pPr>
        <w:spacing w:after="280" w:line="264" w:lineRule="auto"/>
        <w:jc w:val="center"/>
      </w:pPr>
      <w:r>
        <w:rPr>
          <w:rFonts w:ascii="Times New Roman" w:hAnsi="Times New Roman" w:eastAsia="Times New Roman"/>
          <w:b w:val="0"/>
          <w:i/>
          <w:sz w:val="20"/>
        </w:rPr>
        <w:t>Department of Computer Science and Engineering, BVRIT HYDERABAD College of Engineering for Women, Bachupally, Hyderabad, India</w:t>
      </w:r>
    </w:p>
    <w:p>
      <w:pPr>
        <w:spacing w:before="120" w:after="40" w:line="240" w:lineRule="auto"/>
        <w:jc w:val="left"/>
      </w:pPr>
      <w:r>
        <w:rPr>
          <w:rFonts w:ascii="Times New Roman" w:hAnsi="Times New Roman" w:eastAsia="Times New Roman"/>
          <w:b/>
          <w:i w:val="0"/>
          <w:sz w:val="20"/>
        </w:rPr>
        <w:t>Abstract</w:t>
      </w:r>
    </w:p>
    <w:p>
      <w:pPr>
        <w:spacing w:line="240" w:lineRule="auto" w:after="120"/>
        <w:jc w:val="both"/>
      </w:pPr>
      <w:r>
        <w:rPr>
          <w:rFonts w:ascii="Times New Roman" w:hAnsi="Times New Roman" w:eastAsia="Times New Roman"/>
          <w:b w:val="0"/>
          <w:i w:val="0"/>
          <w:sz w:val="20"/>
        </w:rPr>
        <w:t>Small and mid-size property management enterprises continue to rely on fragmented, manual workflows — spreadsheets, messaging applications, and physical documentation — to coordinate listings, tenant relationships, and financial transactions, resulting in operational inefficiency and data inconsistency. This paper presents PropManage, a full-stack web platform built on the MERN technology stack (MongoDB, Express.js, React.js, Node.js) that consolidates the complete property management lifecycle — catalogue management, visit scheduling, payment verification, contract administration, and maintenance tracking — within a single, role-segmented system. The architecture separates a public-facing client portal from an administrative control panel, both mediated by a common RESTful API layer, and incorporates a WebSocket-based notification channel to deliver operational alerts to administrative staff without polling delay. Payment integrity for high-value transactions is enforced through cryptographic (HMAC-SHA256) signature verification at the gateway boundary, while a server-mediated large language model integration, with automatic failover between two independent providers, supplies conversational assistance to end users outside of staff availability windows. The system was evaluated across functional, security, and load-testing dimensions: all defined functional scenarios completed successfully, fourteen adversarial security test cases behaved as specified, and the platform sustained hundred-user concurrency at sub-500-millisecond average response latency with an error rate below 0.2%. Comparative analysis against established commercial and portal-based alternatives indicates that the proposed system uniquely combines full lifecycle coverage, real-time operational awareness, and AI-assisted interaction within a cost profile accessible to small operators.</w:t>
      </w:r>
    </w:p>
    <w:p>
      <w:pPr>
        <w:spacing w:before="120" w:after="40" w:line="240" w:lineRule="auto"/>
        <w:jc w:val="left"/>
      </w:pPr>
      <w:r>
        <w:rPr>
          <w:rFonts w:ascii="Times New Roman" w:hAnsi="Times New Roman" w:eastAsia="Times New Roman"/>
          <w:b/>
          <w:i w:val="0"/>
          <w:sz w:val="20"/>
        </w:rPr>
        <w:t>Keywords—</w:t>
      </w:r>
    </w:p>
    <w:p>
      <w:pPr>
        <w:spacing w:line="240" w:lineRule="auto" w:after="120"/>
        <w:jc w:val="both"/>
      </w:pPr>
      <w:r>
        <w:rPr>
          <w:rFonts w:ascii="Times New Roman" w:hAnsi="Times New Roman" w:eastAsia="Times New Roman"/>
          <w:b w:val="0"/>
          <w:i w:val="0"/>
          <w:sz w:val="20"/>
        </w:rPr>
        <w:t>MERN stack; real-time web applications; WebSocket notification; property management systems; large language model chatbot; payment gateway security; role-based access control; PropTech.</w:t>
      </w:r>
    </w:p>
    <w:p>
      <w:pPr>
        <w:sectPr>
          <w:pgSz w:w="12240" w:h="15840"/>
          <w:pgMar w:top="1080" w:right="1080" w:bottom="1080" w:left="1080" w:header="720" w:footer="720" w:gutter="0"/>
          <w:cols w:space="720"/>
          <w:docGrid w:linePitch="360"/>
        </w:sectPr>
      </w:pPr>
    </w:p>
    <w:p>
      <w:pPr>
        <w:spacing w:before="200" w:after="120" w:line="240" w:lineRule="auto"/>
        <w:jc w:val="center"/>
      </w:pPr>
      <w:r>
        <w:rPr>
          <w:rFonts w:ascii="Times New Roman" w:hAnsi="Times New Roman" w:eastAsia="Times New Roman"/>
          <w:b/>
          <w:i w:val="0"/>
          <w:sz w:val="22"/>
        </w:rPr>
        <w:t>1. Introduction</w:t>
      </w:r>
    </w:p>
    <w:p>
      <w:pPr>
        <w:spacing w:line="240" w:lineRule="auto" w:after="120"/>
        <w:jc w:val="both"/>
      </w:pPr>
      <w:r>
        <w:rPr>
          <w:rFonts w:ascii="Times New Roman" w:hAnsi="Times New Roman" w:eastAsia="Times New Roman"/>
          <w:b w:val="0"/>
          <w:i w:val="0"/>
          <w:sz w:val="20"/>
        </w:rPr>
        <w:t>The relationship between property seekers and the businesses that manage rental and sale inventory has traditionally depended on manual coordination — telephone calls, informal messaging, and paper-based record keeping — a pattern that persists disproportionately among small and mid-size real estate operators who lack the budget for enterprise-grade systems [1], [2]. While service industries such as banking, hospitality, and e-commerce have undergone substantial digital transformation over the past decade, empirical reviews of the real estate sector report that document-heavy, manually reconciled processes remain the norm well into the current decade, producing double-booked appointments, unverifiable payment records, and missed lease-renewal deadlines [1].</w:t>
      </w:r>
    </w:p>
    <w:p>
      <w:pPr>
        <w:spacing w:line="240" w:lineRule="auto" w:after="120"/>
        <w:jc w:val="both"/>
      </w:pPr>
      <w:r>
        <w:rPr>
          <w:rFonts w:ascii="Times New Roman" w:hAnsi="Times New Roman" w:eastAsia="Times New Roman"/>
          <w:b w:val="0"/>
          <w:i w:val="0"/>
          <w:sz w:val="20"/>
        </w:rPr>
        <w:t>Two developments make it feasible to close this gap. Full-stack JavaScript frameworks unify client- and server-side development around a single language and a document-oriented persistence model, reducing the data-transformation overhead that traditionally separated the frontend, backend, and database layers, and have been shown to shorten development cycles relative to multi-language stacks [3]. In parallel, the maturation of managed cloud infrastructure, WebSocket-based bidirectional communication protocols [4], and commercially available large language model APIs [5], [6] means that operational features once reserved for well-funded platforms — instantaneous internal notifications, natural-language customer assistance, and automated payment verification — can be assembled from freely available components rather than engineered from first principles.</w:t>
      </w:r>
    </w:p>
    <w:p>
      <w:pPr>
        <w:spacing w:line="240" w:lineRule="auto" w:after="120"/>
        <w:jc w:val="both"/>
      </w:pPr>
      <w:r>
        <w:rPr>
          <w:rFonts w:ascii="Times New Roman" w:hAnsi="Times New Roman" w:eastAsia="Times New Roman"/>
          <w:b w:val="0"/>
          <w:i w:val="0"/>
          <w:sz w:val="20"/>
        </w:rPr>
        <w:t>At the same time, embedding these components correctly requires attention to well-documented failure modes. Token-based authentication schemes such as JSON Web Tokens are only as trustworthy as their verification logic; a large-scale 2023 audit of open-source JWT implementations reported cryptographic vulnerabilities in a majority of examined codebases [7], and behavior-aware extensions to JWT have been proposed specifically to compensate for weaknesses in static, stateless verification [8]. Likewise, payment flows that accept client-supplied transaction data without independent server-side cryptographic verification remain a recurring risk category in current API security guidance [9].</w:t>
      </w:r>
    </w:p>
    <w:p>
      <w:pPr>
        <w:spacing w:line="240" w:lineRule="auto" w:after="120"/>
        <w:jc w:val="both"/>
      </w:pPr>
      <w:r>
        <w:rPr>
          <w:rFonts w:ascii="Times New Roman" w:hAnsi="Times New Roman" w:eastAsia="Times New Roman"/>
          <w:b w:val="0"/>
          <w:i w:val="0"/>
          <w:sz w:val="20"/>
        </w:rPr>
        <w:t>This paper addresses these two threads — lifecycle fragmentation in property management, and the security and interactivity requirements of a modern web platform — through PropManage, a MERN-stack application that unifies property cataloguing, visit scheduling, rental and purchase payment handling, contract lifecycle management, and maintenance tracking behind a role-segmented, dual-portal architecture. The specific contributions of this work are as follows:</w:t>
      </w:r>
    </w:p>
    <w:p>
      <w:pPr>
        <w:spacing w:line="240" w:lineRule="auto" w:after="120"/>
        <w:jc w:val="both"/>
      </w:pPr>
      <w:r>
        <w:rPr>
          <w:rFonts w:ascii="Times New Roman" w:hAnsi="Times New Roman" w:eastAsia="Times New Roman"/>
          <w:b w:val="0"/>
          <w:i w:val="0"/>
          <w:sz w:val="20"/>
        </w:rPr>
        <w:t>•  A three-tier system architecture that isolates a public client portal and an administrative control panel behind a single authenticated API layer, with neither presentation surface granted direct database access.</w:t>
        <w:br/>
        <w:t>•  A WebSocket-based operational notification mechanism that delivers booking and payment events to administrative staff in near real time, removing the polling delay inherent to inbox-based workflows.</w:t>
        <w:br/>
        <w:t>•  A cryptographically verified payment-confirmation procedure for high-value purchase transactions, using HMAC-SHA256 signature recomputation to detect client-side tampering before any financial record is committed.</w:t>
        <w:br/>
        <w:t>•  A server-mediated conversational assistant with automatic failover between two independent large language model providers, keeping API credentials off the client and preserving continuity of service under provider-side rate limiting.</w:t>
        <w:br/>
        <w:t>•  An empirical evaluation spanning functional correctness, adversarial security testing, and concurrent-user load testing, together with a feature-level comparison against existing commercial and portal-based property management tools.</w:t>
      </w:r>
    </w:p>
    <w:p>
      <w:pPr>
        <w:spacing w:line="240" w:lineRule="auto" w:after="120"/>
        <w:jc w:val="both"/>
      </w:pPr>
      <w:r>
        <w:rPr>
          <w:rFonts w:ascii="Times New Roman" w:hAnsi="Times New Roman" w:eastAsia="Times New Roman"/>
          <w:b w:val="0"/>
          <w:i w:val="0"/>
          <w:sz w:val="20"/>
        </w:rPr>
        <w:t>The remainder of this paper is organized as follows. Section 2 reviews related work on full-stack web architectures, real-time communication, AI-assisted conversational interaction, authentication and payment security, and digital transformation in real estate, concluding with a summary of the specific research gaps addressed by this work. Section 3 presents the proposed methodology, including the problem definition, system architecture, and implementation of the core modules. Section 4 reports the experimental results, performance evaluation, and discussion. Section 5 concludes the paper and outlines directions for future work.</w:t>
      </w:r>
    </w:p>
    <w:p>
      <w:pPr>
        <w:spacing w:before="200" w:after="120" w:line="240" w:lineRule="auto"/>
        <w:jc w:val="center"/>
      </w:pPr>
      <w:r>
        <w:rPr>
          <w:rFonts w:ascii="Times New Roman" w:hAnsi="Times New Roman" w:eastAsia="Times New Roman"/>
          <w:b/>
          <w:i w:val="0"/>
          <w:sz w:val="22"/>
        </w:rPr>
        <w:t>2. Related Work</w:t>
      </w:r>
    </w:p>
    <w:p>
      <w:pPr>
        <w:spacing w:line="240" w:lineRule="auto" w:after="120"/>
        <w:jc w:val="both"/>
      </w:pPr>
      <w:r>
        <w:rPr>
          <w:rFonts w:ascii="Times New Roman" w:hAnsi="Times New Roman" w:eastAsia="Times New Roman"/>
          <w:b w:val="0"/>
          <w:i w:val="0"/>
          <w:sz w:val="20"/>
        </w:rPr>
        <w:t>Research relevant to the proposed framework spans four principal domains: full-stack web application architecture and data persistence, real-time communication mechanisms, AI-driven conversational interfaces, and authentication/payment-channel security — alongside a growing body of work examining digital transformation specifically within the real estate and property management sector.</w:t>
      </w:r>
    </w:p>
    <w:p>
      <w:pPr>
        <w:spacing w:line="240" w:lineRule="auto" w:after="120"/>
        <w:jc w:val="both"/>
      </w:pPr>
      <w:r>
        <w:rPr>
          <w:rFonts w:ascii="Times New Roman" w:hAnsi="Times New Roman" w:eastAsia="Times New Roman"/>
          <w:b/>
          <w:i w:val="0"/>
          <w:sz w:val="20"/>
        </w:rPr>
        <w:t>A. Full-Stack JavaScript Architectures and Data Persistence</w:t>
      </w:r>
    </w:p>
    <w:p>
      <w:pPr>
        <w:spacing w:line="240" w:lineRule="auto" w:after="120"/>
        <w:jc w:val="both"/>
      </w:pPr>
      <w:r>
        <w:rPr>
          <w:rFonts w:ascii="Times New Roman" w:hAnsi="Times New Roman" w:eastAsia="Times New Roman"/>
          <w:b w:val="0"/>
          <w:i w:val="0"/>
          <w:sz w:val="20"/>
        </w:rPr>
        <w:t>Bhat et al. [3] examined the architectural characteristics of the MERN stack and reported that its unified JavaScript pipeline — spanning the document-oriented database, the API layer, and the client — reduces the amount of data-transformation code required relative to multi-language stacks, primarily because a single JSON representation persists across all three tiers. This finding motivates the choice of MERN for a system such as PropManage, where a large number of interlinked entities (properties, owners, tenants, contracts, transactions) must be represented consistently across the database and both client applications. At the persistence layer, Urnikienė et al. [10] conducted an empirical comparison of PostgreSQL and MongoDB under filtering- and analytics-oriented query workloads, concluding that document-oriented storage offers a read-performance advantage for workloads dominated by attribute filtering, which is structurally similar to the property-search workload addressed in this paper. Neither study, however, evaluates these architectural choices within a deployed, multi-actor operational system.</w:t>
      </w:r>
    </w:p>
    <w:p>
      <w:pPr>
        <w:spacing w:line="240" w:lineRule="auto" w:after="120"/>
        <w:jc w:val="both"/>
      </w:pPr>
      <w:r>
        <w:rPr>
          <w:rFonts w:ascii="Times New Roman" w:hAnsi="Times New Roman" w:eastAsia="Times New Roman"/>
          <w:b/>
          <w:i w:val="0"/>
          <w:sz w:val="20"/>
        </w:rPr>
        <w:t>B. Real-Time Communication in Web Applications</w:t>
      </w:r>
    </w:p>
    <w:p>
      <w:pPr>
        <w:spacing w:line="240" w:lineRule="auto" w:after="120"/>
        <w:jc w:val="both"/>
      </w:pPr>
      <w:r>
        <w:rPr>
          <w:rFonts w:ascii="Times New Roman" w:hAnsi="Times New Roman" w:eastAsia="Times New Roman"/>
          <w:b w:val="0"/>
          <w:i w:val="0"/>
          <w:sz w:val="20"/>
        </w:rPr>
        <w:t>Bidirectional, low-latency communication between server and client is formally specified by the WebSocket protocol [4], which underlies libraries such as Socket.io that expose event-based messaging with automatic fallback to conventional HTTP polling where WebSocket connections are unavailable. While the protocol itself is well-established, its application to operational alerting in line-of-business software — as opposed to chat or streaming use cases — remains comparatively under-examined in the reviewed literature, representing a specific point of departure for the present work.</w:t>
      </w:r>
    </w:p>
    <w:p>
      <w:pPr>
        <w:spacing w:line="240" w:lineRule="auto" w:after="120"/>
        <w:jc w:val="both"/>
      </w:pPr>
      <w:r>
        <w:rPr>
          <w:rFonts w:ascii="Times New Roman" w:hAnsi="Times New Roman" w:eastAsia="Times New Roman"/>
          <w:b/>
          <w:i w:val="0"/>
          <w:sz w:val="20"/>
        </w:rPr>
        <w:t>C. AI-Driven Conversational Interfaces</w:t>
      </w:r>
    </w:p>
    <w:p>
      <w:pPr>
        <w:spacing w:line="240" w:lineRule="auto" w:after="120"/>
        <w:jc w:val="both"/>
      </w:pPr>
      <w:r>
        <w:rPr>
          <w:rFonts w:ascii="Times New Roman" w:hAnsi="Times New Roman" w:eastAsia="Times New Roman"/>
          <w:b w:val="0"/>
          <w:i w:val="0"/>
          <w:sz w:val="20"/>
        </w:rPr>
        <w:t>Meduri [5] analyzed the deployment of large language model-powered chatbots across several service sectors and reported measurable improvements in query-resolution rates relative to rule-based predecessors, attributing the gain to the models' ability to handle open-ended natural-language input without a predefined intent taxonomy. Aldhafeeri et al. [6] conducted a systematic review of generative AI chatbot deployments across domains and identified provider dependency — the risk that a single upstream model API becomes unavailable or rate-limited — as a recurring, largely unresolved operational concern. Neither study evaluates a chatbot integration in which continuity of service is addressed structurally, for instance through failover between independent model providers, nor one grounded in a live, domain-specific operational database rather than static reference material.</w:t>
      </w:r>
    </w:p>
    <w:p>
      <w:pPr>
        <w:spacing w:line="240" w:lineRule="auto" w:after="120"/>
        <w:jc w:val="both"/>
      </w:pPr>
      <w:r>
        <w:rPr>
          <w:rFonts w:ascii="Times New Roman" w:hAnsi="Times New Roman" w:eastAsia="Times New Roman"/>
          <w:b/>
          <w:i w:val="0"/>
          <w:sz w:val="20"/>
        </w:rPr>
        <w:t>D. Authentication, Authorization, and Payment-Channel Security</w:t>
      </w:r>
    </w:p>
    <w:p>
      <w:pPr>
        <w:spacing w:line="240" w:lineRule="auto" w:after="120"/>
        <w:jc w:val="both"/>
      </w:pPr>
      <w:r>
        <w:rPr>
          <w:rFonts w:ascii="Times New Roman" w:hAnsi="Times New Roman" w:eastAsia="Times New Roman"/>
          <w:b w:val="0"/>
          <w:i w:val="0"/>
          <w:sz w:val="20"/>
        </w:rPr>
        <w:t>Token-based authentication built on JSON Web Tokens is widely adopted for stateless API security, but its correctness depends entirely on the verification logic implemented around it. Bowen et al. [7] performed a large-scale audit of open-source JWT implementations and reported exploitable cryptographic weaknesses across a majority of the codebases examined, underscoring that adopting the JWT standard [and its resource, RFC 7519] does not by itself guarantee a secure deployment. Rexha et al. [8] proposed extending JWT verification with user-behavior profiling to mitigate token-replay scenarios that static verification cannot detect, though at the cost of additional server-side state. The OWASP API Security Top 10 [9] independently identifies unverified client-supplied transaction data as a recurring risk category in payment-bearing APIs, while the foundational role-based access control model of Ferraiolo et al. [11] remains the conceptual basis for the multi-level actor permissioning (guest, registered user, administrator, super-administrator) required in a system such as PropManage. None of these works, however, integrates token verification, behavior-independent role enforcement, and cryptographic payment-signature verification within a single, empirically tested system.</w:t>
      </w:r>
    </w:p>
    <w:p>
      <w:pPr>
        <w:spacing w:line="240" w:lineRule="auto" w:after="120"/>
        <w:jc w:val="both"/>
      </w:pPr>
      <w:r>
        <w:rPr>
          <w:rFonts w:ascii="Times New Roman" w:hAnsi="Times New Roman" w:eastAsia="Times New Roman"/>
          <w:b/>
          <w:i w:val="0"/>
          <w:sz w:val="20"/>
        </w:rPr>
        <w:t>E. Digital Transformation in Property Management (PropTech)</w:t>
      </w:r>
    </w:p>
    <w:p>
      <w:pPr>
        <w:spacing w:line="240" w:lineRule="auto" w:after="120"/>
        <w:jc w:val="both"/>
      </w:pPr>
      <w:r>
        <w:rPr>
          <w:rFonts w:ascii="Times New Roman" w:hAnsi="Times New Roman" w:eastAsia="Times New Roman"/>
          <w:b w:val="0"/>
          <w:i w:val="0"/>
          <w:sz w:val="20"/>
        </w:rPr>
        <w:t>Al-haimi et al. [1] conducted a systematic literature review of digital transformation in the real estate industry and reported that, despite growing academic interest in PropTech, small and mid-size property management operators continue to depend on manual, spreadsheet- and messaging-based coordination for the majority of post-transaction activity. Tan and Miller [2] situated PropTech adoption within a broader sustainability and operations-management framing, arguing that digitalization functions as an operational efficiency lever rather than a purely customer-facing convenience. Both contributions are review- or framework-level analyses; neither presents nor evaluates an implemented system that operationalizes these recommendations end to end.</w:t>
      </w:r>
    </w:p>
    <w:p>
      <w:pPr>
        <w:spacing w:line="240" w:lineRule="auto" w:after="120"/>
        <w:jc w:val="both"/>
      </w:pPr>
      <w:r>
        <w:rPr>
          <w:rFonts w:ascii="Times New Roman" w:hAnsi="Times New Roman" w:eastAsia="Times New Roman"/>
          <w:b/>
          <w:i w:val="0"/>
          <w:sz w:val="20"/>
        </w:rPr>
        <w:t>F. Summary of Research Gaps</w:t>
      </w:r>
    </w:p>
    <w:p>
      <w:pPr>
        <w:spacing w:line="240" w:lineRule="auto" w:after="120"/>
        <w:jc w:val="both"/>
      </w:pPr>
      <w:r>
        <w:rPr>
          <w:rFonts w:ascii="Times New Roman" w:hAnsi="Times New Roman" w:eastAsia="Times New Roman"/>
          <w:b w:val="0"/>
          <w:i w:val="0"/>
          <w:sz w:val="20"/>
        </w:rPr>
        <w:t>Based on the literature reviewed above, three principal limitations can be identified:</w:t>
      </w:r>
    </w:p>
    <w:p>
      <w:pPr>
        <w:spacing w:line="240" w:lineRule="auto" w:after="120"/>
        <w:jc w:val="both"/>
      </w:pPr>
      <w:r>
        <w:rPr>
          <w:rFonts w:ascii="Times New Roman" w:hAnsi="Times New Roman" w:eastAsia="Times New Roman"/>
          <w:b w:val="0"/>
          <w:i w:val="0"/>
          <w:sz w:val="20"/>
        </w:rPr>
        <w:t>1.  Studies addressing full-stack architecture and data-persistence choice [3], [10] evaluate these decisions in isolation, without examining how they perform within a multi-entity, transaction-heavy operational domain such as property management.</w:t>
        <w:br/>
        <w:t>2.  Security-focused studies on token verification and API risk taxonomy [7], [8], [9], [11] are evaluated either as standalone mechanisms or as diagnostic/audit tools, rather than as components integrated within a deployed system subjected to end-to-end adversarial testing.</w:t>
        <w:br/>
        <w:t>3.  Literature on AI chatbot adoption [5], [6] and on real estate digital transformation [1], [2] consistently documents the gap between availability-limited human staff and continuous service demand, yet neither literature stream evaluates a system that combines domain-grounded conversational assistance, real-time operational notification, and verified payment processing within a single, empirically tested platform.</w:t>
      </w:r>
    </w:p>
    <w:p>
      <w:pPr>
        <w:spacing w:line="240" w:lineRule="auto" w:after="120"/>
        <w:jc w:val="both"/>
      </w:pPr>
      <w:r>
        <w:rPr>
          <w:rFonts w:ascii="Times New Roman" w:hAnsi="Times New Roman" w:eastAsia="Times New Roman"/>
          <w:b w:val="0"/>
          <w:i w:val="0"/>
          <w:sz w:val="20"/>
        </w:rPr>
        <w:t>These gaps collectively motivate the development of the proposed PropManage framework, which integrates a cryptographically verified payment pipeline, real-time operational notification, and dual-provider conversational assistance within a single, empirically evaluated property management architecture. Table I summarizes the reviewed approaches alongside the proposed framework.</w:t>
      </w:r>
    </w:p>
    <w:p>
      <w:pPr>
        <w:spacing w:before="80" w:after="200"/>
        <w:jc w:val="center"/>
      </w:pPr>
      <w:r>
        <w:rPr>
          <w:rFonts w:ascii="Times New Roman" w:hAnsi="Times New Roman" w:eastAsia="Times New Roman"/>
          <w:b/>
          <w:i w:val="0"/>
          <w:sz w:val="18"/>
        </w:rPr>
        <w:t>Table I. Comparative Summary of Reviewed Approaches and the Proposed Framework</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jc w:val="center"/>
            </w:pPr>
            <w:r/>
            <w:r>
              <w:rPr>
                <w:rFonts w:ascii="Times New Roman" w:hAnsi="Times New Roman" w:eastAsia="Times New Roman"/>
                <w:b/>
                <w:i w:val="0"/>
                <w:sz w:val="18"/>
              </w:rPr>
              <w:t>Ref</w:t>
            </w:r>
          </w:p>
        </w:tc>
        <w:tc>
          <w:tcPr>
            <w:tcW w:type="dxa" w:w="2520"/>
          </w:tcPr>
          <w:p>
            <w:pPr>
              <w:jc w:val="center"/>
            </w:pPr>
            <w:r/>
            <w:r>
              <w:rPr>
                <w:rFonts w:ascii="Times New Roman" w:hAnsi="Times New Roman" w:eastAsia="Times New Roman"/>
                <w:b/>
                <w:i w:val="0"/>
                <w:sz w:val="18"/>
              </w:rPr>
              <w:t>Approach</w:t>
            </w:r>
          </w:p>
        </w:tc>
        <w:tc>
          <w:tcPr>
            <w:tcW w:type="dxa" w:w="2520"/>
          </w:tcPr>
          <w:p>
            <w:pPr>
              <w:jc w:val="center"/>
            </w:pPr>
            <w:r/>
            <w:r>
              <w:rPr>
                <w:rFonts w:ascii="Times New Roman" w:hAnsi="Times New Roman" w:eastAsia="Times New Roman"/>
                <w:b/>
                <w:i w:val="0"/>
                <w:sz w:val="18"/>
              </w:rPr>
              <w:t>Strength</w:t>
            </w:r>
          </w:p>
        </w:tc>
        <w:tc>
          <w:tcPr>
            <w:tcW w:type="dxa" w:w="2520"/>
          </w:tcPr>
          <w:p>
            <w:pPr>
              <w:jc w:val="center"/>
            </w:pPr>
            <w:r/>
            <w:r>
              <w:rPr>
                <w:rFonts w:ascii="Times New Roman" w:hAnsi="Times New Roman" w:eastAsia="Times New Roman"/>
                <w:b/>
                <w:i w:val="0"/>
                <w:sz w:val="18"/>
              </w:rPr>
              <w:t>Limitation</w:t>
            </w:r>
          </w:p>
        </w:tc>
      </w:tr>
      <w:tr>
        <w:tc>
          <w:tcPr>
            <w:tcW w:type="dxa" w:w="2520"/>
          </w:tcPr>
          <w:p>
            <w:pPr>
              <w:jc w:val="left"/>
            </w:pPr>
            <w:r/>
            <w:r>
              <w:rPr>
                <w:rFonts w:ascii="Times New Roman" w:hAnsi="Times New Roman" w:eastAsia="Times New Roman"/>
                <w:b w:val="0"/>
                <w:i w:val="0"/>
                <w:sz w:val="17"/>
              </w:rPr>
              <w:t>[3]</w:t>
            </w:r>
          </w:p>
        </w:tc>
        <w:tc>
          <w:tcPr>
            <w:tcW w:type="dxa" w:w="2520"/>
          </w:tcPr>
          <w:p>
            <w:pPr>
              <w:jc w:val="left"/>
            </w:pPr>
            <w:r/>
            <w:r>
              <w:rPr>
                <w:rFonts w:ascii="Times New Roman" w:hAnsi="Times New Roman" w:eastAsia="Times New Roman"/>
                <w:b w:val="0"/>
                <w:i w:val="0"/>
                <w:sz w:val="17"/>
              </w:rPr>
              <w:t>MERN-stack architectural analysis</w:t>
            </w:r>
          </w:p>
        </w:tc>
        <w:tc>
          <w:tcPr>
            <w:tcW w:type="dxa" w:w="2520"/>
          </w:tcPr>
          <w:p>
            <w:pPr>
              <w:jc w:val="left"/>
            </w:pPr>
            <w:r/>
            <w:r>
              <w:rPr>
                <w:rFonts w:ascii="Times New Roman" w:hAnsi="Times New Roman" w:eastAsia="Times New Roman"/>
                <w:b w:val="0"/>
                <w:i w:val="0"/>
                <w:sz w:val="17"/>
              </w:rPr>
              <w:t>Unified JSON pipeline reduces cross-layer transformation code</w:t>
            </w:r>
          </w:p>
        </w:tc>
        <w:tc>
          <w:tcPr>
            <w:tcW w:type="dxa" w:w="2520"/>
          </w:tcPr>
          <w:p>
            <w:pPr>
              <w:jc w:val="left"/>
            </w:pPr>
            <w:r/>
            <w:r>
              <w:rPr>
                <w:rFonts w:ascii="Times New Roman" w:hAnsi="Times New Roman" w:eastAsia="Times New Roman"/>
                <w:b w:val="0"/>
                <w:i w:val="0"/>
                <w:sz w:val="17"/>
              </w:rPr>
              <w:t>Not evaluated within a multi-entity operational domain</w:t>
            </w:r>
          </w:p>
        </w:tc>
      </w:tr>
      <w:tr>
        <w:tc>
          <w:tcPr>
            <w:tcW w:type="dxa" w:w="2520"/>
          </w:tcPr>
          <w:p>
            <w:pPr>
              <w:jc w:val="left"/>
            </w:pPr>
            <w:r/>
            <w:r>
              <w:rPr>
                <w:rFonts w:ascii="Times New Roman" w:hAnsi="Times New Roman" w:eastAsia="Times New Roman"/>
                <w:b w:val="0"/>
                <w:i w:val="0"/>
                <w:sz w:val="17"/>
              </w:rPr>
              <w:t>[10]</w:t>
            </w:r>
          </w:p>
        </w:tc>
        <w:tc>
          <w:tcPr>
            <w:tcW w:type="dxa" w:w="2520"/>
          </w:tcPr>
          <w:p>
            <w:pPr>
              <w:jc w:val="left"/>
            </w:pPr>
            <w:r/>
            <w:r>
              <w:rPr>
                <w:rFonts w:ascii="Times New Roman" w:hAnsi="Times New Roman" w:eastAsia="Times New Roman"/>
                <w:b w:val="0"/>
                <w:i w:val="0"/>
                <w:sz w:val="17"/>
              </w:rPr>
              <w:t>PostgreSQL vs. MongoDB read-performance benchmarking</w:t>
            </w:r>
          </w:p>
        </w:tc>
        <w:tc>
          <w:tcPr>
            <w:tcW w:type="dxa" w:w="2520"/>
          </w:tcPr>
          <w:p>
            <w:pPr>
              <w:jc w:val="left"/>
            </w:pPr>
            <w:r/>
            <w:r>
              <w:rPr>
                <w:rFonts w:ascii="Times New Roman" w:hAnsi="Times New Roman" w:eastAsia="Times New Roman"/>
                <w:b w:val="0"/>
                <w:i w:val="0"/>
                <w:sz w:val="17"/>
              </w:rPr>
              <w:t>Empirical guidance on schema/query performance for filtering workloads</w:t>
            </w:r>
          </w:p>
        </w:tc>
        <w:tc>
          <w:tcPr>
            <w:tcW w:type="dxa" w:w="2520"/>
          </w:tcPr>
          <w:p>
            <w:pPr>
              <w:jc w:val="left"/>
            </w:pPr>
            <w:r/>
            <w:r>
              <w:rPr>
                <w:rFonts w:ascii="Times New Roman" w:hAnsi="Times New Roman" w:eastAsia="Times New Roman"/>
                <w:b w:val="0"/>
                <w:i w:val="0"/>
                <w:sz w:val="17"/>
              </w:rPr>
              <w:t>Scoped to e-commerce filtering; not multi-entity lifecycle data</w:t>
            </w:r>
          </w:p>
        </w:tc>
      </w:tr>
      <w:tr>
        <w:tc>
          <w:tcPr>
            <w:tcW w:type="dxa" w:w="2520"/>
          </w:tcPr>
          <w:p>
            <w:pPr>
              <w:jc w:val="left"/>
            </w:pPr>
            <w:r/>
            <w:r>
              <w:rPr>
                <w:rFonts w:ascii="Times New Roman" w:hAnsi="Times New Roman" w:eastAsia="Times New Roman"/>
                <w:b w:val="0"/>
                <w:i w:val="0"/>
                <w:sz w:val="17"/>
              </w:rPr>
              <w:t>[8]</w:t>
            </w:r>
          </w:p>
        </w:tc>
        <w:tc>
          <w:tcPr>
            <w:tcW w:type="dxa" w:w="2520"/>
          </w:tcPr>
          <w:p>
            <w:pPr>
              <w:jc w:val="left"/>
            </w:pPr>
            <w:r/>
            <w:r>
              <w:rPr>
                <w:rFonts w:ascii="Times New Roman" w:hAnsi="Times New Roman" w:eastAsia="Times New Roman"/>
                <w:b w:val="0"/>
                <w:i w:val="0"/>
                <w:sz w:val="17"/>
              </w:rPr>
              <w:t>Behavior-aware JWT verification</w:t>
            </w:r>
          </w:p>
        </w:tc>
        <w:tc>
          <w:tcPr>
            <w:tcW w:type="dxa" w:w="2520"/>
          </w:tcPr>
          <w:p>
            <w:pPr>
              <w:jc w:val="left"/>
            </w:pPr>
            <w:r/>
            <w:r>
              <w:rPr>
                <w:rFonts w:ascii="Times New Roman" w:hAnsi="Times New Roman" w:eastAsia="Times New Roman"/>
                <w:b w:val="0"/>
                <w:i w:val="0"/>
                <w:sz w:val="17"/>
              </w:rPr>
              <w:t>Strengthens stateless token trust model against replay</w:t>
            </w:r>
          </w:p>
        </w:tc>
        <w:tc>
          <w:tcPr>
            <w:tcW w:type="dxa" w:w="2520"/>
          </w:tcPr>
          <w:p>
            <w:pPr>
              <w:jc w:val="left"/>
            </w:pPr>
            <w:r/>
            <w:r>
              <w:rPr>
                <w:rFonts w:ascii="Times New Roman" w:hAnsi="Times New Roman" w:eastAsia="Times New Roman"/>
                <w:b w:val="0"/>
                <w:i w:val="0"/>
                <w:sz w:val="17"/>
              </w:rPr>
              <w:t>Adds server-side profiling overhead; not evaluated at production scale</w:t>
            </w:r>
          </w:p>
        </w:tc>
      </w:tr>
      <w:tr>
        <w:tc>
          <w:tcPr>
            <w:tcW w:type="dxa" w:w="2520"/>
          </w:tcPr>
          <w:p>
            <w:pPr>
              <w:jc w:val="left"/>
            </w:pPr>
            <w:r/>
            <w:r>
              <w:rPr>
                <w:rFonts w:ascii="Times New Roman" w:hAnsi="Times New Roman" w:eastAsia="Times New Roman"/>
                <w:b w:val="0"/>
                <w:i w:val="0"/>
                <w:sz w:val="17"/>
              </w:rPr>
              <w:t>[7]</w:t>
            </w:r>
          </w:p>
        </w:tc>
        <w:tc>
          <w:tcPr>
            <w:tcW w:type="dxa" w:w="2520"/>
          </w:tcPr>
          <w:p>
            <w:pPr>
              <w:jc w:val="left"/>
            </w:pPr>
            <w:r/>
            <w:r>
              <w:rPr>
                <w:rFonts w:ascii="Times New Roman" w:hAnsi="Times New Roman" w:eastAsia="Times New Roman"/>
                <w:b w:val="0"/>
                <w:i w:val="0"/>
                <w:sz w:val="17"/>
              </w:rPr>
              <w:t>Automated JWT vulnerability auditing</w:t>
            </w:r>
          </w:p>
        </w:tc>
        <w:tc>
          <w:tcPr>
            <w:tcW w:type="dxa" w:w="2520"/>
          </w:tcPr>
          <w:p>
            <w:pPr>
              <w:jc w:val="left"/>
            </w:pPr>
            <w:r/>
            <w:r>
              <w:rPr>
                <w:rFonts w:ascii="Times New Roman" w:hAnsi="Times New Roman" w:eastAsia="Times New Roman"/>
                <w:b w:val="0"/>
                <w:i w:val="0"/>
                <w:sz w:val="17"/>
              </w:rPr>
              <w:t>Identifies cryptographic flaws across many real deployments</w:t>
            </w:r>
          </w:p>
        </w:tc>
        <w:tc>
          <w:tcPr>
            <w:tcW w:type="dxa" w:w="2520"/>
          </w:tcPr>
          <w:p>
            <w:pPr>
              <w:jc w:val="left"/>
            </w:pPr>
            <w:r/>
            <w:r>
              <w:rPr>
                <w:rFonts w:ascii="Times New Roman" w:hAnsi="Times New Roman" w:eastAsia="Times New Roman"/>
                <w:b w:val="0"/>
                <w:i w:val="0"/>
                <w:sz w:val="17"/>
              </w:rPr>
              <w:t>Diagnostic tool; does not propose an integrated secure workflow</w:t>
            </w:r>
          </w:p>
        </w:tc>
      </w:tr>
      <w:tr>
        <w:tc>
          <w:tcPr>
            <w:tcW w:type="dxa" w:w="2520"/>
          </w:tcPr>
          <w:p>
            <w:pPr>
              <w:jc w:val="left"/>
            </w:pPr>
            <w:r/>
            <w:r>
              <w:rPr>
                <w:rFonts w:ascii="Times New Roman" w:hAnsi="Times New Roman" w:eastAsia="Times New Roman"/>
                <w:b w:val="0"/>
                <w:i w:val="0"/>
                <w:sz w:val="17"/>
              </w:rPr>
              <w:t>[9]</w:t>
            </w:r>
          </w:p>
        </w:tc>
        <w:tc>
          <w:tcPr>
            <w:tcW w:type="dxa" w:w="2520"/>
          </w:tcPr>
          <w:p>
            <w:pPr>
              <w:jc w:val="left"/>
            </w:pPr>
            <w:r/>
            <w:r>
              <w:rPr>
                <w:rFonts w:ascii="Times New Roman" w:hAnsi="Times New Roman" w:eastAsia="Times New Roman"/>
                <w:b w:val="0"/>
                <w:i w:val="0"/>
                <w:sz w:val="17"/>
              </w:rPr>
              <w:t>API security risk taxonomy</w:t>
            </w:r>
          </w:p>
        </w:tc>
        <w:tc>
          <w:tcPr>
            <w:tcW w:type="dxa" w:w="2520"/>
          </w:tcPr>
          <w:p>
            <w:pPr>
              <w:jc w:val="left"/>
            </w:pPr>
            <w:r/>
            <w:r>
              <w:rPr>
                <w:rFonts w:ascii="Times New Roman" w:hAnsi="Times New Roman" w:eastAsia="Times New Roman"/>
                <w:b w:val="0"/>
                <w:i w:val="0"/>
                <w:sz w:val="17"/>
              </w:rPr>
              <w:t>Widely adopted baseline for adversarial test design</w:t>
            </w:r>
          </w:p>
        </w:tc>
        <w:tc>
          <w:tcPr>
            <w:tcW w:type="dxa" w:w="2520"/>
          </w:tcPr>
          <w:p>
            <w:pPr>
              <w:jc w:val="left"/>
            </w:pPr>
            <w:r/>
            <w:r>
              <w:rPr>
                <w:rFonts w:ascii="Times New Roman" w:hAnsi="Times New Roman" w:eastAsia="Times New Roman"/>
                <w:b w:val="0"/>
                <w:i w:val="0"/>
                <w:sz w:val="17"/>
              </w:rPr>
              <w:t>Descriptive guidance; not an implemented reference architecture</w:t>
            </w:r>
          </w:p>
        </w:tc>
      </w:tr>
      <w:tr>
        <w:tc>
          <w:tcPr>
            <w:tcW w:type="dxa" w:w="2520"/>
          </w:tcPr>
          <w:p>
            <w:pPr>
              <w:jc w:val="left"/>
            </w:pPr>
            <w:r/>
            <w:r>
              <w:rPr>
                <w:rFonts w:ascii="Times New Roman" w:hAnsi="Times New Roman" w:eastAsia="Times New Roman"/>
                <w:b w:val="0"/>
                <w:i w:val="0"/>
                <w:sz w:val="17"/>
              </w:rPr>
              <w:t>[11]</w:t>
            </w:r>
          </w:p>
        </w:tc>
        <w:tc>
          <w:tcPr>
            <w:tcW w:type="dxa" w:w="2520"/>
          </w:tcPr>
          <w:p>
            <w:pPr>
              <w:jc w:val="left"/>
            </w:pPr>
            <w:r/>
            <w:r>
              <w:rPr>
                <w:rFonts w:ascii="Times New Roman" w:hAnsi="Times New Roman" w:eastAsia="Times New Roman"/>
                <w:b w:val="0"/>
                <w:i w:val="0"/>
                <w:sz w:val="17"/>
              </w:rPr>
              <w:t>Role-based access control model</w:t>
            </w:r>
          </w:p>
        </w:tc>
        <w:tc>
          <w:tcPr>
            <w:tcW w:type="dxa" w:w="2520"/>
          </w:tcPr>
          <w:p>
            <w:pPr>
              <w:jc w:val="left"/>
            </w:pPr>
            <w:r/>
            <w:r>
              <w:rPr>
                <w:rFonts w:ascii="Times New Roman" w:hAnsi="Times New Roman" w:eastAsia="Times New Roman"/>
                <w:b w:val="0"/>
                <w:i w:val="0"/>
                <w:sz w:val="17"/>
              </w:rPr>
              <w:t>Conceptual basis for multi-level actor permissioning</w:t>
            </w:r>
          </w:p>
        </w:tc>
        <w:tc>
          <w:tcPr>
            <w:tcW w:type="dxa" w:w="2520"/>
          </w:tcPr>
          <w:p>
            <w:pPr>
              <w:jc w:val="left"/>
            </w:pPr>
            <w:r/>
            <w:r>
              <w:rPr>
                <w:rFonts w:ascii="Times New Roman" w:hAnsi="Times New Roman" w:eastAsia="Times New Roman"/>
                <w:b w:val="0"/>
                <w:i w:val="0"/>
                <w:sz w:val="17"/>
              </w:rPr>
              <w:t>Predates modern stateless/token-based API deployments</w:t>
            </w:r>
          </w:p>
        </w:tc>
      </w:tr>
      <w:tr>
        <w:tc>
          <w:tcPr>
            <w:tcW w:type="dxa" w:w="2520"/>
          </w:tcPr>
          <w:p>
            <w:pPr>
              <w:jc w:val="left"/>
            </w:pPr>
            <w:r/>
            <w:r>
              <w:rPr>
                <w:rFonts w:ascii="Times New Roman" w:hAnsi="Times New Roman" w:eastAsia="Times New Roman"/>
                <w:b w:val="0"/>
                <w:i w:val="0"/>
                <w:sz w:val="17"/>
              </w:rPr>
              <w:t>[5]</w:t>
            </w:r>
          </w:p>
        </w:tc>
        <w:tc>
          <w:tcPr>
            <w:tcW w:type="dxa" w:w="2520"/>
          </w:tcPr>
          <w:p>
            <w:pPr>
              <w:jc w:val="left"/>
            </w:pPr>
            <w:r/>
            <w:r>
              <w:rPr>
                <w:rFonts w:ascii="Times New Roman" w:hAnsi="Times New Roman" w:eastAsia="Times New Roman"/>
                <w:b w:val="0"/>
                <w:i w:val="0"/>
                <w:sz w:val="17"/>
              </w:rPr>
              <w:t>LLM chatbot performance across service sectors</w:t>
            </w:r>
          </w:p>
        </w:tc>
        <w:tc>
          <w:tcPr>
            <w:tcW w:type="dxa" w:w="2520"/>
          </w:tcPr>
          <w:p>
            <w:pPr>
              <w:jc w:val="left"/>
            </w:pPr>
            <w:r/>
            <w:r>
              <w:rPr>
                <w:rFonts w:ascii="Times New Roman" w:hAnsi="Times New Roman" w:eastAsia="Times New Roman"/>
                <w:b w:val="0"/>
                <w:i w:val="0"/>
                <w:sz w:val="17"/>
              </w:rPr>
              <w:t>Demonstrates measurable gains in query resolution</w:t>
            </w:r>
          </w:p>
        </w:tc>
        <w:tc>
          <w:tcPr>
            <w:tcW w:type="dxa" w:w="2520"/>
          </w:tcPr>
          <w:p>
            <w:pPr>
              <w:jc w:val="left"/>
            </w:pPr>
            <w:r/>
            <w:r>
              <w:rPr>
                <w:rFonts w:ascii="Times New Roman" w:hAnsi="Times New Roman" w:eastAsia="Times New Roman"/>
                <w:b w:val="0"/>
                <w:i w:val="0"/>
                <w:sz w:val="17"/>
              </w:rPr>
              <w:t>Domain-agnostic; no property-specific context grounding</w:t>
            </w:r>
          </w:p>
        </w:tc>
      </w:tr>
      <w:tr>
        <w:tc>
          <w:tcPr>
            <w:tcW w:type="dxa" w:w="2520"/>
          </w:tcPr>
          <w:p>
            <w:pPr>
              <w:jc w:val="left"/>
            </w:pPr>
            <w:r/>
            <w:r>
              <w:rPr>
                <w:rFonts w:ascii="Times New Roman" w:hAnsi="Times New Roman" w:eastAsia="Times New Roman"/>
                <w:b w:val="0"/>
                <w:i w:val="0"/>
                <w:sz w:val="17"/>
              </w:rPr>
              <w:t>[6]</w:t>
            </w:r>
          </w:p>
        </w:tc>
        <w:tc>
          <w:tcPr>
            <w:tcW w:type="dxa" w:w="2520"/>
          </w:tcPr>
          <w:p>
            <w:pPr>
              <w:jc w:val="left"/>
            </w:pPr>
            <w:r/>
            <w:r>
              <w:rPr>
                <w:rFonts w:ascii="Times New Roman" w:hAnsi="Times New Roman" w:eastAsia="Times New Roman"/>
                <w:b w:val="0"/>
                <w:i w:val="0"/>
                <w:sz w:val="17"/>
              </w:rPr>
              <w:t>Systematic review of generative AI chatbots</w:t>
            </w:r>
          </w:p>
        </w:tc>
        <w:tc>
          <w:tcPr>
            <w:tcW w:type="dxa" w:w="2520"/>
          </w:tcPr>
          <w:p>
            <w:pPr>
              <w:jc w:val="left"/>
            </w:pPr>
            <w:r/>
            <w:r>
              <w:rPr>
                <w:rFonts w:ascii="Times New Roman" w:hAnsi="Times New Roman" w:eastAsia="Times New Roman"/>
                <w:b w:val="0"/>
                <w:i w:val="0"/>
                <w:sz w:val="17"/>
              </w:rPr>
              <w:t>Synthesizes cross-domain design patterns</w:t>
            </w:r>
          </w:p>
        </w:tc>
        <w:tc>
          <w:tcPr>
            <w:tcW w:type="dxa" w:w="2520"/>
          </w:tcPr>
          <w:p>
            <w:pPr>
              <w:jc w:val="left"/>
            </w:pPr>
            <w:r/>
            <w:r>
              <w:rPr>
                <w:rFonts w:ascii="Times New Roman" w:hAnsi="Times New Roman" w:eastAsia="Times New Roman"/>
                <w:b w:val="0"/>
                <w:i w:val="0"/>
                <w:sz w:val="17"/>
              </w:rPr>
              <w:t>Identifies but does not resolve provider-outage continuity risk</w:t>
            </w:r>
          </w:p>
        </w:tc>
      </w:tr>
      <w:tr>
        <w:tc>
          <w:tcPr>
            <w:tcW w:type="dxa" w:w="2520"/>
          </w:tcPr>
          <w:p>
            <w:pPr>
              <w:jc w:val="left"/>
            </w:pPr>
            <w:r/>
            <w:r>
              <w:rPr>
                <w:rFonts w:ascii="Times New Roman" w:hAnsi="Times New Roman" w:eastAsia="Times New Roman"/>
                <w:b w:val="0"/>
                <w:i w:val="0"/>
                <w:sz w:val="17"/>
              </w:rPr>
              <w:t>[1]</w:t>
            </w:r>
          </w:p>
        </w:tc>
        <w:tc>
          <w:tcPr>
            <w:tcW w:type="dxa" w:w="2520"/>
          </w:tcPr>
          <w:p>
            <w:pPr>
              <w:jc w:val="left"/>
            </w:pPr>
            <w:r/>
            <w:r>
              <w:rPr>
                <w:rFonts w:ascii="Times New Roman" w:hAnsi="Times New Roman" w:eastAsia="Times New Roman"/>
                <w:b w:val="0"/>
                <w:i w:val="0"/>
                <w:sz w:val="17"/>
              </w:rPr>
              <w:t>Systematic review of real estate digital transformation</w:t>
            </w:r>
          </w:p>
        </w:tc>
        <w:tc>
          <w:tcPr>
            <w:tcW w:type="dxa" w:w="2520"/>
          </w:tcPr>
          <w:p>
            <w:pPr>
              <w:jc w:val="left"/>
            </w:pPr>
            <w:r/>
            <w:r>
              <w:rPr>
                <w:rFonts w:ascii="Times New Roman" w:hAnsi="Times New Roman" w:eastAsia="Times New Roman"/>
                <w:b w:val="0"/>
                <w:i w:val="0"/>
                <w:sz w:val="17"/>
              </w:rPr>
              <w:t>Documents persistent workflow fragmentation industry-wide</w:t>
            </w:r>
          </w:p>
        </w:tc>
        <w:tc>
          <w:tcPr>
            <w:tcW w:type="dxa" w:w="2520"/>
          </w:tcPr>
          <w:p>
            <w:pPr>
              <w:jc w:val="left"/>
            </w:pPr>
            <w:r/>
            <w:r>
              <w:rPr>
                <w:rFonts w:ascii="Times New Roman" w:hAnsi="Times New Roman" w:eastAsia="Times New Roman"/>
                <w:b w:val="0"/>
                <w:i w:val="0"/>
                <w:sz w:val="17"/>
              </w:rPr>
              <w:t>Review-level; no implemented system evaluated</w:t>
            </w:r>
          </w:p>
        </w:tc>
      </w:tr>
      <w:tr>
        <w:tc>
          <w:tcPr>
            <w:tcW w:type="dxa" w:w="2520"/>
          </w:tcPr>
          <w:p>
            <w:pPr>
              <w:jc w:val="left"/>
            </w:pPr>
            <w:r/>
            <w:r>
              <w:rPr>
                <w:rFonts w:ascii="Times New Roman" w:hAnsi="Times New Roman" w:eastAsia="Times New Roman"/>
                <w:b w:val="0"/>
                <w:i w:val="0"/>
                <w:sz w:val="17"/>
              </w:rPr>
              <w:t>[2]</w:t>
            </w:r>
          </w:p>
        </w:tc>
        <w:tc>
          <w:tcPr>
            <w:tcW w:type="dxa" w:w="2520"/>
          </w:tcPr>
          <w:p>
            <w:pPr>
              <w:jc w:val="left"/>
            </w:pPr>
            <w:r/>
            <w:r>
              <w:rPr>
                <w:rFonts w:ascii="Times New Roman" w:hAnsi="Times New Roman" w:eastAsia="Times New Roman"/>
                <w:b w:val="0"/>
                <w:i w:val="0"/>
                <w:sz w:val="17"/>
              </w:rPr>
              <w:t>PropTech and sustainability in real estate operations</w:t>
            </w:r>
          </w:p>
        </w:tc>
        <w:tc>
          <w:tcPr>
            <w:tcW w:type="dxa" w:w="2520"/>
          </w:tcPr>
          <w:p>
            <w:pPr>
              <w:jc w:val="left"/>
            </w:pPr>
            <w:r/>
            <w:r>
              <w:rPr>
                <w:rFonts w:ascii="Times New Roman" w:hAnsi="Times New Roman" w:eastAsia="Times New Roman"/>
                <w:b w:val="0"/>
                <w:i w:val="0"/>
                <w:sz w:val="17"/>
              </w:rPr>
              <w:t>Frames digitalization as an operational efficiency lever</w:t>
            </w:r>
          </w:p>
        </w:tc>
        <w:tc>
          <w:tcPr>
            <w:tcW w:type="dxa" w:w="2520"/>
          </w:tcPr>
          <w:p>
            <w:pPr>
              <w:jc w:val="left"/>
            </w:pPr>
            <w:r/>
            <w:r>
              <w:rPr>
                <w:rFonts w:ascii="Times New Roman" w:hAnsi="Times New Roman" w:eastAsia="Times New Roman"/>
                <w:b w:val="0"/>
                <w:i w:val="0"/>
                <w:sz w:val="17"/>
              </w:rPr>
              <w:t>Conceptual/strategic scope; lacks system-level implementation</w:t>
            </w:r>
          </w:p>
        </w:tc>
      </w:tr>
      <w:tr>
        <w:tc>
          <w:tcPr>
            <w:tcW w:type="dxa" w:w="2520"/>
          </w:tcPr>
          <w:p>
            <w:pPr>
              <w:jc w:val="left"/>
            </w:pPr>
            <w:r/>
            <w:r>
              <w:rPr>
                <w:rFonts w:ascii="Times New Roman" w:hAnsi="Times New Roman" w:eastAsia="Times New Roman"/>
                <w:b w:val="0"/>
                <w:i w:val="0"/>
                <w:sz w:val="17"/>
              </w:rPr>
              <w:t>Proposed</w:t>
            </w:r>
          </w:p>
        </w:tc>
        <w:tc>
          <w:tcPr>
            <w:tcW w:type="dxa" w:w="2520"/>
          </w:tcPr>
          <w:p>
            <w:pPr>
              <w:jc w:val="left"/>
            </w:pPr>
            <w:r/>
            <w:r>
              <w:rPr>
                <w:rFonts w:ascii="Times New Roman" w:hAnsi="Times New Roman" w:eastAsia="Times New Roman"/>
                <w:b w:val="0"/>
                <w:i w:val="0"/>
                <w:sz w:val="17"/>
              </w:rPr>
              <w:t>Unified MERN framework: real-time notification, dual-provider LLM assistance, verified payments</w:t>
            </w:r>
          </w:p>
        </w:tc>
        <w:tc>
          <w:tcPr>
            <w:tcW w:type="dxa" w:w="2520"/>
          </w:tcPr>
          <w:p>
            <w:pPr>
              <w:jc w:val="left"/>
            </w:pPr>
            <w:r/>
            <w:r>
              <w:rPr>
                <w:rFonts w:ascii="Times New Roman" w:hAnsi="Times New Roman" w:eastAsia="Times New Roman"/>
                <w:b w:val="0"/>
                <w:i w:val="0"/>
                <w:sz w:val="17"/>
              </w:rPr>
              <w:t>Full lifecycle coverage with empirically validated security and performance</w:t>
            </w:r>
          </w:p>
        </w:tc>
        <w:tc>
          <w:tcPr>
            <w:tcW w:type="dxa" w:w="2520"/>
          </w:tcPr>
          <w:p>
            <w:pPr>
              <w:jc w:val="left"/>
            </w:pPr>
            <w:r/>
            <w:r>
              <w:rPr>
                <w:rFonts w:ascii="Times New Roman" w:hAnsi="Times New Roman" w:eastAsia="Times New Roman"/>
                <w:b w:val="0"/>
                <w:i w:val="0"/>
                <w:sz w:val="17"/>
              </w:rPr>
              <w:t>Evaluated at single-institution pilot scale; broader deployment untested</w:t>
            </w:r>
          </w:p>
        </w:tc>
      </w:tr>
    </w:tbl>
    <w:p>
      <w:pPr>
        <w:spacing w:after="80"/>
      </w:pPr>
    </w:p>
    <w:p>
      <w:pPr>
        <w:spacing w:before="200" w:after="120" w:line="240" w:lineRule="auto"/>
        <w:jc w:val="center"/>
      </w:pPr>
      <w:r>
        <w:rPr>
          <w:rFonts w:ascii="Times New Roman" w:hAnsi="Times New Roman" w:eastAsia="Times New Roman"/>
          <w:b/>
          <w:i w:val="0"/>
          <w:sz w:val="22"/>
        </w:rPr>
        <w:t>3. Proposed Methodology</w:t>
      </w:r>
    </w:p>
    <w:p>
      <w:pPr>
        <w:spacing w:line="240" w:lineRule="auto" w:after="120"/>
        <w:jc w:val="both"/>
      </w:pPr>
      <w:r>
        <w:rPr>
          <w:rFonts w:ascii="Times New Roman" w:hAnsi="Times New Roman" w:eastAsia="Times New Roman"/>
          <w:b w:val="0"/>
          <w:i w:val="0"/>
          <w:sz w:val="20"/>
        </w:rPr>
        <w:t>The proposed methodology addresses the research gaps identified in Section 2 through a unified architecture in which lifecycle coverage, operational responsiveness, and transaction security are treated as co-equal design constraints rather than independently optimized concerns. This section defines the problem addressed, states the design objectives, and describes the resulting system architecture and its constituent modules.</w:t>
      </w:r>
    </w:p>
    <w:p>
      <w:pPr>
        <w:spacing w:line="240" w:lineRule="auto" w:after="120"/>
        <w:jc w:val="both"/>
      </w:pPr>
      <w:r>
        <w:rPr>
          <w:rFonts w:ascii="Times New Roman" w:hAnsi="Times New Roman" w:eastAsia="Times New Roman"/>
          <w:b/>
          <w:i w:val="0"/>
          <w:sz w:val="20"/>
        </w:rPr>
        <w:t>A. Problem Definition and Design Objectives</w:t>
      </w:r>
    </w:p>
    <w:p>
      <w:pPr>
        <w:spacing w:line="240" w:lineRule="auto" w:after="120"/>
        <w:jc w:val="both"/>
      </w:pPr>
      <w:r>
        <w:rPr>
          <w:rFonts w:ascii="Times New Roman" w:hAnsi="Times New Roman" w:eastAsia="Times New Roman"/>
          <w:b w:val="0"/>
          <w:i w:val="0"/>
          <w:sz w:val="20"/>
        </w:rPr>
        <w:t>The problem addressed can be stated as follows: small and mid-size property management operators lack a single system that (i) covers the complete property lifecycle from listing to post-lease financial reconciliation, (ii) notifies administrative staff of operationally significant events without polling delay, (iii) allows continuous, domain-grounded assistance to end users outside staff availability windows, and (iv) cryptographically guarantees that a recorded payment corresponds to the transaction the payment gateway actually processed. Guided by this problem statement, the design objectives of the proposed framework are to: (1) unify property cataloguing, visit scheduling, payment handling, contract administration, and maintenance tracking within one role-segmented platform; (2) deliver operational notifications to staff at sub-second latency independent of session polling; (3) enforce role-based access such that a de-authorized account loses access on its next request rather than at token expiry; (4) verify every advance payment cryptographically before it is reflected in any financial or contractual record; and (5) provide conversational assistance that remains available under upstream provider failure, without exposing provider credentials to the client.</w:t>
      </w:r>
    </w:p>
    <w:p>
      <w:pPr>
        <w:spacing w:line="240" w:lineRule="auto" w:after="120"/>
        <w:jc w:val="both"/>
      </w:pPr>
      <w:r>
        <w:rPr>
          <w:rFonts w:ascii="Times New Roman" w:hAnsi="Times New Roman" w:eastAsia="Times New Roman"/>
          <w:b/>
          <w:i w:val="0"/>
          <w:sz w:val="20"/>
        </w:rPr>
        <w:t>B. System Architecture</w:t>
      </w:r>
    </w:p>
    <w:p>
      <w:pPr>
        <w:spacing w:line="240" w:lineRule="auto" w:after="120"/>
        <w:jc w:val="both"/>
      </w:pPr>
      <w:r>
        <w:rPr>
          <w:rFonts w:ascii="Times New Roman" w:hAnsi="Times New Roman" w:eastAsia="Times New Roman"/>
          <w:b w:val="0"/>
          <w:i w:val="0"/>
          <w:sz w:val="20"/>
        </w:rPr>
        <w:t>The proposed framework follows a three-tier architecture comprising a presentation tier, an application tier, and a data tier, illustrated in Fig. 1. The presentation tier consists of two independently built React.js applications — a public client-user portal and a secured client-admin portal — deliberately separated into distinct codebases so that neither the design constraints of a data-dense administrative interface nor the simplicity requirements of a consumer-facing catalog browser compromise the other. Both portals communicate exclusively with the application tier, a Node.js/Express.js RESTful API server [12] that centralizes authentication, authorization, validation, real-time event broadcasting, and third-party service mediation. Neither presentation surface is granted direct access to the data tier, a MongoDB Atlas cluster that persists all entity records — properties, users, bookings, payments, owners, tenants, contracts, financial transactions, service requests, and system content — through a Mongoose object-document mapping layer. This separation of concerns ensures that every data operation is authenticated and authorized at a single, auditable point before it reaches persistent storage.</w:t>
      </w:r>
    </w:p>
    <w:p>
      <w:pPr>
        <w:spacing w:before="160"/>
        <w:jc w:val="center"/>
      </w:pPr>
      <w:r>
        <w:rPr>
          <w:rFonts w:ascii="Times New Roman" w:hAnsi="Times New Roman" w:eastAsia="Times New Roman"/>
          <w:b w:val="0"/>
          <w:i/>
          <w:sz w:val="18"/>
        </w:rPr>
        <w:t>[ FIGURE PLACEHOLDER — insert diagram here ]</w:t>
      </w:r>
    </w:p>
    <w:p>
      <w:pPr>
        <w:spacing w:before="80" w:after="200"/>
        <w:jc w:val="center"/>
      </w:pPr>
      <w:r>
        <w:rPr>
          <w:rFonts w:ascii="Times New Roman" w:hAnsi="Times New Roman" w:eastAsia="Times New Roman"/>
          <w:b/>
          <w:i w:val="0"/>
          <w:sz w:val="18"/>
        </w:rPr>
        <w:t>Fig. 1. Proposed Three-Tier System Architecture of the PropManage Framework</w:t>
      </w:r>
    </w:p>
    <w:p>
      <w:pPr>
        <w:spacing w:line="240" w:lineRule="auto" w:after="120"/>
        <w:jc w:val="both"/>
      </w:pPr>
      <w:r>
        <w:rPr>
          <w:rFonts w:ascii="Times New Roman" w:hAnsi="Times New Roman" w:eastAsia="Times New Roman"/>
          <w:b/>
          <w:i w:val="0"/>
          <w:sz w:val="20"/>
        </w:rPr>
        <w:t>C. Real-Time Operational Notification</w:t>
      </w:r>
    </w:p>
    <w:p>
      <w:pPr>
        <w:spacing w:line="240" w:lineRule="auto" w:after="120"/>
        <w:jc w:val="both"/>
      </w:pPr>
      <w:r>
        <w:rPr>
          <w:rFonts w:ascii="Times New Roman" w:hAnsi="Times New Roman" w:eastAsia="Times New Roman"/>
          <w:b w:val="0"/>
          <w:i w:val="0"/>
          <w:sz w:val="20"/>
        </w:rPr>
        <w:t>To eliminate the polling delay characteristic of inbox-based administrative workflows, the application tier maintains a persistent WebSocket channel, implemented via Socket.io [4], to which authenticated administrative sessions subscribe on login. When a state-changing event of operational interest occurs — most notably the creation of a booking or a payment record — the API server broadcasts the event to a dedicated administrative channel immediately following successful persistence, rather than after a polling interval elapses. Denoting the set of operationally significant events as E = {Booking, Payment}, the notification latency for an event e ∈ E is bounded by network round-trip time rather than by any fixed polling interval Δt, in contrast to the periodic inbox-checking pattern typical of the manual workflows described in Section 2.</w:t>
      </w:r>
    </w:p>
    <w:p>
      <w:pPr>
        <w:spacing w:line="240" w:lineRule="auto" w:after="120"/>
        <w:jc w:val="both"/>
      </w:pPr>
      <w:r>
        <w:rPr>
          <w:rFonts w:ascii="Times New Roman" w:hAnsi="Times New Roman" w:eastAsia="Times New Roman"/>
          <w:b/>
          <w:i w:val="0"/>
          <w:sz w:val="20"/>
        </w:rPr>
        <w:t>D. Authentication and Role-Based Access Enforcement</w:t>
      </w:r>
    </w:p>
    <w:p>
      <w:pPr>
        <w:spacing w:line="240" w:lineRule="auto" w:after="120"/>
        <w:jc w:val="both"/>
      </w:pPr>
      <w:r>
        <w:rPr>
          <w:rFonts w:ascii="Times New Roman" w:hAnsi="Times New Roman" w:eastAsia="Times New Roman"/>
          <w:b w:val="0"/>
          <w:i w:val="0"/>
          <w:sz w:val="20"/>
        </w:rPr>
        <w:t>Authentication is implemented using stateless JSON Web Tokens [13]: on successful login, the server signs a payload containing the user's database identifier, and the resulting token accompanies every subsequent request in the Authorization header. Rather than relying solely on token validity — the static verification pattern shown to be insufficient in adversarial settings [7], [8] — the protection middleware re-fetches the user's current record from the database on every protected request. Formally, access to a protected resource r is granted to a request bearing token t for user u if and only if</w:t>
      </w:r>
    </w:p>
    <w:p>
      <w:pPr>
        <w:spacing w:before="120" w:after="120"/>
        <w:jc w:val="center"/>
      </w:pPr>
      <w:r>
        <w:rPr>
          <w:rFonts w:ascii="Times New Roman" w:hAnsi="Times New Roman" w:eastAsia="Times New Roman"/>
          <w:b w:val="0"/>
          <w:i/>
          <w:sz w:val="20"/>
        </w:rPr>
        <w:t>Access(u, r, t) = 1  iff  verify(t) = valid ∧ role(u) ∈ Roles(r) ∧ status(u) = active</w:t>
      </w:r>
    </w:p>
    <w:p>
      <w:pPr>
        <w:spacing w:line="240" w:lineRule="auto" w:after="120"/>
        <w:jc w:val="both"/>
      </w:pPr>
      <w:r>
        <w:rPr>
          <w:rFonts w:ascii="Times New Roman" w:hAnsi="Times New Roman" w:eastAsia="Times New Roman"/>
          <w:b w:val="0"/>
          <w:i w:val="0"/>
          <w:sz w:val="20"/>
        </w:rPr>
        <w:t>and is denied otherwise. Because status(u) is re-evaluated per request rather than embedded immutably in the token, an administrator blocking a user account takes effect on that user's very next request, irrespective of the token's remaining validity period. Authorization follows a four-level hierarchical role model — Guest, Registered User, Admin, and Super Admin — in which each level inherits the permissions of the level beneath it, consistent with the hierarchical role-based access control model of Ferraiolo et al. [11].</w:t>
      </w:r>
    </w:p>
    <w:p>
      <w:pPr>
        <w:spacing w:line="240" w:lineRule="auto" w:after="120"/>
        <w:jc w:val="both"/>
      </w:pPr>
      <w:r>
        <w:rPr>
          <w:rFonts w:ascii="Times New Roman" w:hAnsi="Times New Roman" w:eastAsia="Times New Roman"/>
          <w:b/>
          <w:i w:val="0"/>
          <w:sz w:val="20"/>
        </w:rPr>
        <w:t>E. Cryptographically Verified Payment Processing</w:t>
      </w:r>
    </w:p>
    <w:p>
      <w:pPr>
        <w:spacing w:line="240" w:lineRule="auto" w:after="120"/>
        <w:jc w:val="both"/>
      </w:pPr>
      <w:r>
        <w:rPr>
          <w:rFonts w:ascii="Times New Roman" w:hAnsi="Times New Roman" w:eastAsia="Times New Roman"/>
          <w:b w:val="0"/>
          <w:i w:val="0"/>
          <w:sz w:val="20"/>
        </w:rPr>
        <w:t>Two distinct payment flows are supported. Rental payments are submitted as a Unified Payments Interface (UPI) transfer accompanied by a transaction-reference number and a screenshot of the completed transfer, which an administrator reviews and manually verifies or rejects. Purchase advance payments, being higher in value and less amenable to manual screenshot review, are instead processed through the Razorpay gateway with automated cryptographic verification. Following payment completion, the client receives an order identifier, a payment identifier, and a signature from the gateway; rather than trusting this client-relayed data directly — the exact risk pattern flagged in current API security guidance [9] — the server independently recomputes the expected signature before updating any record:</w:t>
      </w:r>
    </w:p>
    <w:p>
      <w:pPr>
        <w:spacing w:before="120" w:after="120"/>
        <w:jc w:val="center"/>
      </w:pPr>
      <w:r>
        <w:rPr>
          <w:rFonts w:ascii="Times New Roman" w:hAnsi="Times New Roman" w:eastAsia="Times New Roman"/>
          <w:b w:val="0"/>
          <w:i/>
          <w:sz w:val="20"/>
        </w:rPr>
        <w:t>S_expected = HMAC-SHA256(K_secret, orderId ‖ "|" ‖ paymentId)</w:t>
      </w:r>
    </w:p>
    <w:p>
      <w:pPr>
        <w:spacing w:line="240" w:lineRule="auto" w:after="120"/>
        <w:jc w:val="both"/>
      </w:pPr>
      <w:r>
        <w:rPr>
          <w:rFonts w:ascii="Times New Roman" w:hAnsi="Times New Roman" w:eastAsia="Times New Roman"/>
          <w:b w:val="0"/>
          <w:i w:val="0"/>
          <w:sz w:val="20"/>
        </w:rPr>
        <w:t>The payment is accepted, and the associated contract record updated, only if S_expected equals the signature S_received supplied by the client; any mismatch — indicative of tampering with the transaction identifiers in transit — causes the request to be rejected without modifying any financial or contractual record. Because the signature is computed over the order and payment identifiers rather than the monetary amount field, the verification is immune to attempts to alter the claimed payment amount at the client.</w:t>
      </w:r>
    </w:p>
    <w:p>
      <w:pPr>
        <w:spacing w:line="240" w:lineRule="auto" w:after="120"/>
        <w:jc w:val="both"/>
      </w:pPr>
      <w:r>
        <w:rPr>
          <w:rFonts w:ascii="Times New Roman" w:hAnsi="Times New Roman" w:eastAsia="Times New Roman"/>
          <w:b/>
          <w:i w:val="0"/>
          <w:sz w:val="20"/>
        </w:rPr>
        <w:t>F. AI-Assisted Conversational Module with Provider Failover</w:t>
      </w:r>
    </w:p>
    <w:p>
      <w:pPr>
        <w:spacing w:line="240" w:lineRule="auto" w:after="120"/>
        <w:jc w:val="both"/>
      </w:pPr>
      <w:r>
        <w:rPr>
          <w:rFonts w:ascii="Times New Roman" w:hAnsi="Times New Roman" w:eastAsia="Times New Roman"/>
          <w:b w:val="0"/>
          <w:i w:val="0"/>
          <w:sz w:val="20"/>
        </w:rPr>
        <w:t>Conversational assistance is mediated entirely on the server side, ensuring that large language model provider credentials are never exposed to the browser. Incoming user messages are combined with a system prompt grounded in the live property and booking database — directly addressing the domain-agnostic limitation noted in prior chatbot literature [5], [6] — and dispatched to a primary provider (Anthropic Claude). Should the primary call fail, whether due to rate limiting or a transient service interruption, the module transparently retries the same grounded prompt against an independent secondary provider (Google Gemini) before returning a response to the user. This dual-provider failover directly resolves the continuity risk that Aldhafeeri et al. [6] identify as a recurring, largely unaddressed concern in single-provider chatbot deployments.</w:t>
      </w:r>
    </w:p>
    <w:p>
      <w:pPr>
        <w:spacing w:line="240" w:lineRule="auto" w:after="120"/>
        <w:jc w:val="both"/>
      </w:pPr>
      <w:r>
        <w:rPr>
          <w:rFonts w:ascii="Times New Roman" w:hAnsi="Times New Roman" w:eastAsia="Times New Roman"/>
          <w:b/>
          <w:i w:val="0"/>
          <w:sz w:val="20"/>
        </w:rPr>
        <w:t>G. Core Functional Modules</w:t>
      </w:r>
    </w:p>
    <w:p>
      <w:pPr>
        <w:spacing w:line="240" w:lineRule="auto" w:after="120"/>
        <w:jc w:val="both"/>
      </w:pPr>
      <w:r>
        <w:rPr>
          <w:rFonts w:ascii="Times New Roman" w:hAnsi="Times New Roman" w:eastAsia="Times New Roman"/>
          <w:b w:val="0"/>
          <w:i w:val="0"/>
          <w:sz w:val="20"/>
        </w:rPr>
        <w:t>Beyond the cross-cutting mechanisms described above, the application tier implements six functional modules that together cover the property management lifecycle: (i) a property catalogue module supporting full-text and multi-attribute filtered search over listing records; (ii) a booking and visit-scheduling module that records requested viewing, rental, or purchase interest and drives the real-time notification mechanism described in Section 3-C; (iii) a contract and relationship management module that links properties, owners, and tenants, tracks rental contracts through a draft–active–expired/terminated lifecycle, and enforces that purchase-contract signing cannot occur until the corresponding advance payment has been cryptographically verified; (iv) a financial transaction ledger that records rent, deposit, utility, and maintenance transactions against their originating contract; (v) a maintenance/service-request module with a structured five-stage lifecycle from submission to closure; and (vi) an analytics module that aggregates statistics across all collections using parallelized, non-blocking queries to keep administrative dashboard latency independent of the number of underlying collections queried.</w:t>
      </w:r>
    </w:p>
    <w:p>
      <w:pPr>
        <w:spacing w:before="160"/>
        <w:jc w:val="center"/>
      </w:pPr>
      <w:r>
        <w:rPr>
          <w:rFonts w:ascii="Times New Roman" w:hAnsi="Times New Roman" w:eastAsia="Times New Roman"/>
          <w:b w:val="0"/>
          <w:i/>
          <w:sz w:val="18"/>
        </w:rPr>
        <w:t>[ FIGURE PLACEHOLDER — insert diagram here ]</w:t>
      </w:r>
    </w:p>
    <w:p>
      <w:pPr>
        <w:spacing w:before="80" w:after="200"/>
        <w:jc w:val="center"/>
      </w:pPr>
      <w:r>
        <w:rPr>
          <w:rFonts w:ascii="Times New Roman" w:hAnsi="Times New Roman" w:eastAsia="Times New Roman"/>
          <w:b/>
          <w:i w:val="0"/>
          <w:sz w:val="18"/>
        </w:rPr>
        <w:t>Fig. 2. Sequence Diagram of Booking Submission and Real-Time Administrative Notification</w:t>
      </w:r>
    </w:p>
    <w:p>
      <w:pPr>
        <w:spacing w:line="240" w:lineRule="auto" w:after="120"/>
        <w:jc w:val="both"/>
      </w:pPr>
      <w:r>
        <w:rPr>
          <w:rFonts w:ascii="Times New Roman" w:hAnsi="Times New Roman" w:eastAsia="Times New Roman"/>
          <w:b/>
          <w:i w:val="0"/>
          <w:sz w:val="20"/>
        </w:rPr>
        <w:t>H. Advantages of the Proposed Framework</w:t>
      </w:r>
    </w:p>
    <w:p>
      <w:pPr>
        <w:spacing w:line="240" w:lineRule="auto" w:after="120"/>
        <w:jc w:val="both"/>
      </w:pPr>
      <w:r>
        <w:rPr>
          <w:rFonts w:ascii="Times New Roman" w:hAnsi="Times New Roman" w:eastAsia="Times New Roman"/>
          <w:b w:val="0"/>
          <w:i w:val="0"/>
          <w:sz w:val="20"/>
        </w:rPr>
        <w:t>•  Complete lifecycle coverage within a single, role-segmented platform rather than a collection of disconnected point tools.</w:t>
        <w:br/>
        <w:t>•  Notification latency bounded by network round-trip time rather than by administrative polling behavior.</w:t>
        <w:br/>
        <w:t>•  Per-request re-authorization that closes the window between an administrative block action and its enforcement.</w:t>
        <w:br/>
        <w:t>•  Cryptographic, rather than trust-based, verification of client-reported payment completion for high-value transactions.</w:t>
        <w:br/>
        <w:t>•  Continuity of AI-assisted interaction under upstream provider failure, without client-side credential exposure.</w:t>
        <w:br/>
        <w:t>•  A codebase and infrastructure footprint accessible to operators without an enterprise software budget, since every third-party dependency used in development is available on a free tier.</w:t>
      </w:r>
    </w:p>
    <w:p>
      <w:pPr>
        <w:spacing w:before="200" w:after="120" w:line="240" w:lineRule="auto"/>
        <w:jc w:val="center"/>
      </w:pPr>
      <w:r>
        <w:rPr>
          <w:rFonts w:ascii="Times New Roman" w:hAnsi="Times New Roman" w:eastAsia="Times New Roman"/>
          <w:b/>
          <w:i w:val="0"/>
          <w:sz w:val="22"/>
        </w:rPr>
        <w:t>4. Results</w:t>
      </w:r>
    </w:p>
    <w:p>
      <w:pPr>
        <w:spacing w:line="240" w:lineRule="auto" w:after="120"/>
        <w:jc w:val="both"/>
      </w:pPr>
      <w:r>
        <w:rPr>
          <w:rFonts w:ascii="Times New Roman" w:hAnsi="Times New Roman" w:eastAsia="Times New Roman"/>
          <w:b w:val="0"/>
          <w:i w:val="0"/>
          <w:sz w:val="20"/>
        </w:rPr>
        <w:t>The proposed framework was evaluated along four dimensions consistent with the design objectives stated in Section 3-A: functional correctness, request-level latency, tolerance to concurrent load, and resistance to adversarial security probes. This section reports the experimental environment, evaluation metrics, and results obtained for each dimension, followed by a comparative analysis against existing property management platforms.</w:t>
      </w:r>
    </w:p>
    <w:p>
      <w:pPr>
        <w:spacing w:line="240" w:lineRule="auto" w:after="120"/>
        <w:jc w:val="both"/>
      </w:pPr>
      <w:r>
        <w:rPr>
          <w:rFonts w:ascii="Times New Roman" w:hAnsi="Times New Roman" w:eastAsia="Times New Roman"/>
          <w:b/>
          <w:i w:val="0"/>
          <w:sz w:val="20"/>
        </w:rPr>
        <w:t>A. Experimental Environment</w:t>
      </w:r>
    </w:p>
    <w:p>
      <w:pPr>
        <w:spacing w:line="240" w:lineRule="auto" w:after="120"/>
        <w:jc w:val="both"/>
      </w:pPr>
      <w:r>
        <w:rPr>
          <w:rFonts w:ascii="Times New Roman" w:hAnsi="Times New Roman" w:eastAsia="Times New Roman"/>
          <w:b w:val="0"/>
          <w:i w:val="0"/>
          <w:sz w:val="20"/>
        </w:rPr>
        <w:t>The application server was implemented using Node.js 18 LTS with Express.js 4.18.2, persisting data to a MongoDB Atlas 6.0+ cluster through Mongoose 8.0.3. Both client applications were built with React.js 18.2.0. Functional and latency testing were performed using Postman, issuing twenty repeated calls per endpoint from a local development machine against the deployed cloud server; concurrent-load testing was performed using Apache JMeter targeting the property-listing endpoint as the representative high-traffic operation.</w:t>
      </w:r>
    </w:p>
    <w:p>
      <w:pPr>
        <w:spacing w:line="240" w:lineRule="auto" w:after="120"/>
        <w:jc w:val="both"/>
      </w:pPr>
      <w:r>
        <w:rPr>
          <w:rFonts w:ascii="Times New Roman" w:hAnsi="Times New Roman" w:eastAsia="Times New Roman"/>
          <w:b/>
          <w:i w:val="0"/>
          <w:sz w:val="20"/>
        </w:rPr>
        <w:t>B. Test Configuration and Data Scale</w:t>
      </w:r>
    </w:p>
    <w:p>
      <w:pPr>
        <w:spacing w:line="240" w:lineRule="auto" w:after="120"/>
        <w:jc w:val="both"/>
      </w:pPr>
      <w:r>
        <w:rPr>
          <w:rFonts w:ascii="Times New Roman" w:hAnsi="Times New Roman" w:eastAsia="Times New Roman"/>
          <w:b w:val="0"/>
          <w:i w:val="0"/>
          <w:sz w:val="20"/>
        </w:rPr>
        <w:t>To ensure that measured latencies reflect realistic query complexity rather than an empty database, evaluation was conducted against a populated MongoDB instance comprising 45 property records, 120 user accounts, 280 booking records, 195 payment records, 38 owner and 52 tenant profiles, 41 rental contracts, 310 financial-transaction records, 87 service-transaction records, and 12 purchase contracts. Each collection was indexed according to its dominant query pattern — for example, a compound index on type, listing type, city, and price for the property collection, together with a text index across the title and description fields to support full-text search.</w:t>
      </w:r>
    </w:p>
    <w:p>
      <w:pPr>
        <w:spacing w:line="240" w:lineRule="auto" w:after="120"/>
        <w:jc w:val="both"/>
      </w:pPr>
      <w:r>
        <w:rPr>
          <w:rFonts w:ascii="Times New Roman" w:hAnsi="Times New Roman" w:eastAsia="Times New Roman"/>
          <w:b/>
          <w:i w:val="0"/>
          <w:sz w:val="20"/>
        </w:rPr>
        <w:t>C. Evaluation Metrics</w:t>
      </w:r>
    </w:p>
    <w:p>
      <w:pPr>
        <w:spacing w:line="240" w:lineRule="auto" w:after="120"/>
        <w:jc w:val="both"/>
      </w:pPr>
      <w:r>
        <w:rPr>
          <w:rFonts w:ascii="Times New Roman" w:hAnsi="Times New Roman" w:eastAsia="Times New Roman"/>
          <w:b w:val="0"/>
          <w:i w:val="0"/>
          <w:sz w:val="20"/>
        </w:rPr>
        <w:t>Four categories of metric were used: (i) functional correctness, verified through 38 scripted test scenarios spanning authentication, catalogue search, booking, payment, contract signing, and administrative workflows; (ii) endpoint response latency, reported as mean and maximum response time across repeated calls; (iii) concurrent-user throughput, reported as mean response time, 95th-percentile response time, and error rate as simulated concurrency increased; and (iv) adversarial security resilience, assessed through fourteen targeted test cases covering authentication, authorization, input handling, and payment-signature integrity.</w:t>
      </w:r>
    </w:p>
    <w:p>
      <w:pPr>
        <w:spacing w:line="240" w:lineRule="auto" w:after="120"/>
        <w:jc w:val="both"/>
      </w:pPr>
      <w:r>
        <w:rPr>
          <w:rFonts w:ascii="Times New Roman" w:hAnsi="Times New Roman" w:eastAsia="Times New Roman"/>
          <w:b/>
          <w:i w:val="0"/>
          <w:sz w:val="20"/>
        </w:rPr>
        <w:t>D. Functional Correctness Results</w:t>
      </w:r>
    </w:p>
    <w:p>
      <w:pPr>
        <w:spacing w:line="240" w:lineRule="auto" w:after="120"/>
        <w:jc w:val="both"/>
      </w:pPr>
      <w:r>
        <w:rPr>
          <w:rFonts w:ascii="Times New Roman" w:hAnsi="Times New Roman" w:eastAsia="Times New Roman"/>
          <w:b w:val="0"/>
          <w:i w:val="0"/>
          <w:sz w:val="20"/>
        </w:rPr>
        <w:t>All 38 functional test scenarios completed with the expected outcome, covering account registration and duplicate-email rejection, OTP-based password reset with expiry enforcement, catalogue search and filtering, booking submission with administrative confirmation or rejection, rental payment submission and verification, Razorpay advance payment with a tampered signature correctly rejected, contract signing gated on advance-payment status, administrative create/read/update operations across owner, tenant, and contract records, real-time notification delivery, and AI chatbot response including provider failover. No error condition produced a server crash or an inconsistent data state.</w:t>
      </w:r>
    </w:p>
    <w:p>
      <w:pPr>
        <w:spacing w:line="240" w:lineRule="auto" w:after="120"/>
        <w:jc w:val="both"/>
      </w:pPr>
      <w:r>
        <w:rPr>
          <w:rFonts w:ascii="Times New Roman" w:hAnsi="Times New Roman" w:eastAsia="Times New Roman"/>
          <w:b/>
          <w:i w:val="0"/>
          <w:sz w:val="20"/>
        </w:rPr>
        <w:t>E. Endpoint Response Latency</w:t>
      </w:r>
    </w:p>
    <w:p>
      <w:pPr>
        <w:spacing w:before="80" w:after="200"/>
        <w:jc w:val="center"/>
      </w:pPr>
      <w:r>
        <w:rPr>
          <w:rFonts w:ascii="Times New Roman" w:hAnsi="Times New Roman" w:eastAsia="Times New Roman"/>
          <w:b/>
          <w:i w:val="0"/>
          <w:sz w:val="18"/>
        </w:rPr>
        <w:t>Table II. Representative API Endpoint Response Latency (n = 20 Calls per Endpoint)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jc w:val="center"/>
            </w:pPr>
            <w:r/>
            <w:r>
              <w:rPr>
                <w:rFonts w:ascii="Times New Roman" w:hAnsi="Times New Roman" w:eastAsia="Times New Roman"/>
                <w:b/>
                <w:i w:val="0"/>
                <w:sz w:val="18"/>
              </w:rPr>
              <w:t>Endpoint</w:t>
            </w:r>
          </w:p>
        </w:tc>
        <w:tc>
          <w:tcPr>
            <w:tcW w:type="dxa" w:w="2520"/>
          </w:tcPr>
          <w:p>
            <w:pPr>
              <w:jc w:val="center"/>
            </w:pPr>
            <w:r/>
            <w:r>
              <w:rPr>
                <w:rFonts w:ascii="Times New Roman" w:hAnsi="Times New Roman" w:eastAsia="Times New Roman"/>
                <w:b/>
                <w:i w:val="0"/>
                <w:sz w:val="18"/>
              </w:rPr>
              <w:t>Method</w:t>
            </w:r>
          </w:p>
        </w:tc>
        <w:tc>
          <w:tcPr>
            <w:tcW w:type="dxa" w:w="2520"/>
          </w:tcPr>
          <w:p>
            <w:pPr>
              <w:jc w:val="center"/>
            </w:pPr>
            <w:r/>
            <w:r>
              <w:rPr>
                <w:rFonts w:ascii="Times New Roman" w:hAnsi="Times New Roman" w:eastAsia="Times New Roman"/>
                <w:b/>
                <w:i w:val="0"/>
                <w:sz w:val="18"/>
              </w:rPr>
              <w:t>Mean (ms)</w:t>
            </w:r>
          </w:p>
        </w:tc>
        <w:tc>
          <w:tcPr>
            <w:tcW w:type="dxa" w:w="2520"/>
          </w:tcPr>
          <w:p>
            <w:pPr>
              <w:jc w:val="center"/>
            </w:pPr>
            <w:r/>
            <w:r>
              <w:rPr>
                <w:rFonts w:ascii="Times New Roman" w:hAnsi="Times New Roman" w:eastAsia="Times New Roman"/>
                <w:b/>
                <w:i w:val="0"/>
                <w:sz w:val="18"/>
              </w:rPr>
              <w:t>Max (ms)</w:t>
            </w:r>
          </w:p>
        </w:tc>
      </w:tr>
      <w:tr>
        <w:tc>
          <w:tcPr>
            <w:tcW w:type="dxa" w:w="2520"/>
          </w:tcPr>
          <w:p>
            <w:pPr>
              <w:jc w:val="left"/>
            </w:pPr>
            <w:r/>
            <w:r>
              <w:rPr>
                <w:rFonts w:ascii="Times New Roman" w:hAnsi="Times New Roman" w:eastAsia="Times New Roman"/>
                <w:b w:val="0"/>
                <w:i w:val="0"/>
                <w:sz w:val="17"/>
              </w:rPr>
              <w:t>/api/auth/login</w:t>
            </w:r>
          </w:p>
        </w:tc>
        <w:tc>
          <w:tcPr>
            <w:tcW w:type="dxa" w:w="2520"/>
          </w:tcPr>
          <w:p>
            <w:pPr>
              <w:jc w:val="left"/>
            </w:pPr>
            <w:r/>
            <w:r>
              <w:rPr>
                <w:rFonts w:ascii="Times New Roman" w:hAnsi="Times New Roman" w:eastAsia="Times New Roman"/>
                <w:b w:val="0"/>
                <w:i w:val="0"/>
                <w:sz w:val="17"/>
              </w:rPr>
              <w:t>POST</w:t>
            </w:r>
          </w:p>
        </w:tc>
        <w:tc>
          <w:tcPr>
            <w:tcW w:type="dxa" w:w="2520"/>
          </w:tcPr>
          <w:p>
            <w:pPr>
              <w:jc w:val="left"/>
            </w:pPr>
            <w:r/>
            <w:r>
              <w:rPr>
                <w:rFonts w:ascii="Times New Roman" w:hAnsi="Times New Roman" w:eastAsia="Times New Roman"/>
                <w:b w:val="0"/>
                <w:i w:val="0"/>
                <w:sz w:val="17"/>
              </w:rPr>
              <w:t>312</w:t>
            </w:r>
          </w:p>
        </w:tc>
        <w:tc>
          <w:tcPr>
            <w:tcW w:type="dxa" w:w="2520"/>
          </w:tcPr>
          <w:p>
            <w:pPr>
              <w:jc w:val="left"/>
            </w:pPr>
            <w:r/>
            <w:r>
              <w:rPr>
                <w:rFonts w:ascii="Times New Roman" w:hAnsi="Times New Roman" w:eastAsia="Times New Roman"/>
                <w:b w:val="0"/>
                <w:i w:val="0"/>
                <w:sz w:val="17"/>
              </w:rPr>
              <w:t>450</w:t>
            </w:r>
          </w:p>
        </w:tc>
      </w:tr>
      <w:tr>
        <w:tc>
          <w:tcPr>
            <w:tcW w:type="dxa" w:w="2520"/>
          </w:tcPr>
          <w:p>
            <w:pPr>
              <w:jc w:val="left"/>
            </w:pPr>
            <w:r/>
            <w:r>
              <w:rPr>
                <w:rFonts w:ascii="Times New Roman" w:hAnsi="Times New Roman" w:eastAsia="Times New Roman"/>
                <w:b w:val="0"/>
                <w:i w:val="0"/>
                <w:sz w:val="17"/>
              </w:rPr>
              <w:t>/api/properties</w:t>
            </w:r>
          </w:p>
        </w:tc>
        <w:tc>
          <w:tcPr>
            <w:tcW w:type="dxa" w:w="2520"/>
          </w:tcPr>
          <w:p>
            <w:pPr>
              <w:jc w:val="left"/>
            </w:pPr>
            <w:r/>
            <w:r>
              <w:rPr>
                <w:rFonts w:ascii="Times New Roman" w:hAnsi="Times New Roman" w:eastAsia="Times New Roman"/>
                <w:b w:val="0"/>
                <w:i w:val="0"/>
                <w:sz w:val="17"/>
              </w:rPr>
              <w:t>GET</w:t>
            </w:r>
          </w:p>
        </w:tc>
        <w:tc>
          <w:tcPr>
            <w:tcW w:type="dxa" w:w="2520"/>
          </w:tcPr>
          <w:p>
            <w:pPr>
              <w:jc w:val="left"/>
            </w:pPr>
            <w:r/>
            <w:r>
              <w:rPr>
                <w:rFonts w:ascii="Times New Roman" w:hAnsi="Times New Roman" w:eastAsia="Times New Roman"/>
                <w:b w:val="0"/>
                <w:i w:val="0"/>
                <w:sz w:val="17"/>
              </w:rPr>
              <w:t>241</w:t>
            </w:r>
          </w:p>
        </w:tc>
        <w:tc>
          <w:tcPr>
            <w:tcW w:type="dxa" w:w="2520"/>
          </w:tcPr>
          <w:p>
            <w:pPr>
              <w:jc w:val="left"/>
            </w:pPr>
            <w:r/>
            <w:r>
              <w:rPr>
                <w:rFonts w:ascii="Times New Roman" w:hAnsi="Times New Roman" w:eastAsia="Times New Roman"/>
                <w:b w:val="0"/>
                <w:i w:val="0"/>
                <w:sz w:val="17"/>
              </w:rPr>
              <w:t>375</w:t>
            </w:r>
          </w:p>
        </w:tc>
      </w:tr>
      <w:tr>
        <w:tc>
          <w:tcPr>
            <w:tcW w:type="dxa" w:w="2520"/>
          </w:tcPr>
          <w:p>
            <w:pPr>
              <w:jc w:val="left"/>
            </w:pPr>
            <w:r/>
            <w:r>
              <w:rPr>
                <w:rFonts w:ascii="Times New Roman" w:hAnsi="Times New Roman" w:eastAsia="Times New Roman"/>
                <w:b w:val="0"/>
                <w:i w:val="0"/>
                <w:sz w:val="17"/>
              </w:rPr>
              <w:t>/api/properties (filtered)</w:t>
            </w:r>
          </w:p>
        </w:tc>
        <w:tc>
          <w:tcPr>
            <w:tcW w:type="dxa" w:w="2520"/>
          </w:tcPr>
          <w:p>
            <w:pPr>
              <w:jc w:val="left"/>
            </w:pPr>
            <w:r/>
            <w:r>
              <w:rPr>
                <w:rFonts w:ascii="Times New Roman" w:hAnsi="Times New Roman" w:eastAsia="Times New Roman"/>
                <w:b w:val="0"/>
                <w:i w:val="0"/>
                <w:sz w:val="17"/>
              </w:rPr>
              <w:t>GET</w:t>
            </w:r>
          </w:p>
        </w:tc>
        <w:tc>
          <w:tcPr>
            <w:tcW w:type="dxa" w:w="2520"/>
          </w:tcPr>
          <w:p>
            <w:pPr>
              <w:jc w:val="left"/>
            </w:pPr>
            <w:r/>
            <w:r>
              <w:rPr>
                <w:rFonts w:ascii="Times New Roman" w:hAnsi="Times New Roman" w:eastAsia="Times New Roman"/>
                <w:b w:val="0"/>
                <w:i w:val="0"/>
                <w:sz w:val="17"/>
              </w:rPr>
              <w:t>309</w:t>
            </w:r>
          </w:p>
        </w:tc>
        <w:tc>
          <w:tcPr>
            <w:tcW w:type="dxa" w:w="2520"/>
          </w:tcPr>
          <w:p>
            <w:pPr>
              <w:jc w:val="left"/>
            </w:pPr>
            <w:r/>
            <w:r>
              <w:rPr>
                <w:rFonts w:ascii="Times New Roman" w:hAnsi="Times New Roman" w:eastAsia="Times New Roman"/>
                <w:b w:val="0"/>
                <w:i w:val="0"/>
                <w:sz w:val="17"/>
              </w:rPr>
              <w:t>455</w:t>
            </w:r>
          </w:p>
        </w:tc>
      </w:tr>
      <w:tr>
        <w:tc>
          <w:tcPr>
            <w:tcW w:type="dxa" w:w="2520"/>
          </w:tcPr>
          <w:p>
            <w:pPr>
              <w:jc w:val="left"/>
            </w:pPr>
            <w:r/>
            <w:r>
              <w:rPr>
                <w:rFonts w:ascii="Times New Roman" w:hAnsi="Times New Roman" w:eastAsia="Times New Roman"/>
                <w:b w:val="0"/>
                <w:i w:val="0"/>
                <w:sz w:val="17"/>
              </w:rPr>
              <w:t>/api/bookings</w:t>
            </w:r>
          </w:p>
        </w:tc>
        <w:tc>
          <w:tcPr>
            <w:tcW w:type="dxa" w:w="2520"/>
          </w:tcPr>
          <w:p>
            <w:pPr>
              <w:jc w:val="left"/>
            </w:pPr>
            <w:r/>
            <w:r>
              <w:rPr>
                <w:rFonts w:ascii="Times New Roman" w:hAnsi="Times New Roman" w:eastAsia="Times New Roman"/>
                <w:b w:val="0"/>
                <w:i w:val="0"/>
                <w:sz w:val="17"/>
              </w:rPr>
              <w:t>POST</w:t>
            </w:r>
          </w:p>
        </w:tc>
        <w:tc>
          <w:tcPr>
            <w:tcW w:type="dxa" w:w="2520"/>
          </w:tcPr>
          <w:p>
            <w:pPr>
              <w:jc w:val="left"/>
            </w:pPr>
            <w:r/>
            <w:r>
              <w:rPr>
                <w:rFonts w:ascii="Times New Roman" w:hAnsi="Times New Roman" w:eastAsia="Times New Roman"/>
                <w:b w:val="0"/>
                <w:i w:val="0"/>
                <w:sz w:val="17"/>
              </w:rPr>
              <w:t>288</w:t>
            </w:r>
          </w:p>
        </w:tc>
        <w:tc>
          <w:tcPr>
            <w:tcW w:type="dxa" w:w="2520"/>
          </w:tcPr>
          <w:p>
            <w:pPr>
              <w:jc w:val="left"/>
            </w:pPr>
            <w:r/>
            <w:r>
              <w:rPr>
                <w:rFonts w:ascii="Times New Roman" w:hAnsi="Times New Roman" w:eastAsia="Times New Roman"/>
                <w:b w:val="0"/>
                <w:i w:val="0"/>
                <w:sz w:val="17"/>
              </w:rPr>
              <w:t>415</w:t>
            </w:r>
          </w:p>
        </w:tc>
      </w:tr>
      <w:tr>
        <w:tc>
          <w:tcPr>
            <w:tcW w:type="dxa" w:w="2520"/>
          </w:tcPr>
          <w:p>
            <w:pPr>
              <w:jc w:val="left"/>
            </w:pPr>
            <w:r/>
            <w:r>
              <w:rPr>
                <w:rFonts w:ascii="Times New Roman" w:hAnsi="Times New Roman" w:eastAsia="Times New Roman"/>
                <w:b w:val="0"/>
                <w:i w:val="0"/>
                <w:sz w:val="17"/>
              </w:rPr>
              <w:t>/api/payments</w:t>
            </w:r>
          </w:p>
        </w:tc>
        <w:tc>
          <w:tcPr>
            <w:tcW w:type="dxa" w:w="2520"/>
          </w:tcPr>
          <w:p>
            <w:pPr>
              <w:jc w:val="left"/>
            </w:pPr>
            <w:r/>
            <w:r>
              <w:rPr>
                <w:rFonts w:ascii="Times New Roman" w:hAnsi="Times New Roman" w:eastAsia="Times New Roman"/>
                <w:b w:val="0"/>
                <w:i w:val="0"/>
                <w:sz w:val="17"/>
              </w:rPr>
              <w:t>POST</w:t>
            </w:r>
          </w:p>
        </w:tc>
        <w:tc>
          <w:tcPr>
            <w:tcW w:type="dxa" w:w="2520"/>
          </w:tcPr>
          <w:p>
            <w:pPr>
              <w:jc w:val="left"/>
            </w:pPr>
            <w:r/>
            <w:r>
              <w:rPr>
                <w:rFonts w:ascii="Times New Roman" w:hAnsi="Times New Roman" w:eastAsia="Times New Roman"/>
                <w:b w:val="0"/>
                <w:i w:val="0"/>
                <w:sz w:val="17"/>
              </w:rPr>
              <w:t>847</w:t>
            </w:r>
          </w:p>
        </w:tc>
        <w:tc>
          <w:tcPr>
            <w:tcW w:type="dxa" w:w="2520"/>
          </w:tcPr>
          <w:p>
            <w:pPr>
              <w:jc w:val="left"/>
            </w:pPr>
            <w:r/>
            <w:r>
              <w:rPr>
                <w:rFonts w:ascii="Times New Roman" w:hAnsi="Times New Roman" w:eastAsia="Times New Roman"/>
                <w:b w:val="0"/>
                <w:i w:val="0"/>
                <w:sz w:val="17"/>
              </w:rPr>
              <w:t>1190</w:t>
            </w:r>
          </w:p>
        </w:tc>
      </w:tr>
      <w:tr>
        <w:tc>
          <w:tcPr>
            <w:tcW w:type="dxa" w:w="2520"/>
          </w:tcPr>
          <w:p>
            <w:pPr>
              <w:jc w:val="left"/>
            </w:pPr>
            <w:r/>
            <w:r>
              <w:rPr>
                <w:rFonts w:ascii="Times New Roman" w:hAnsi="Times New Roman" w:eastAsia="Times New Roman"/>
                <w:b w:val="0"/>
                <w:i w:val="0"/>
                <w:sz w:val="17"/>
              </w:rPr>
              <w:t>/api/admin/dashboard</w:t>
            </w:r>
          </w:p>
        </w:tc>
        <w:tc>
          <w:tcPr>
            <w:tcW w:type="dxa" w:w="2520"/>
          </w:tcPr>
          <w:p>
            <w:pPr>
              <w:jc w:val="left"/>
            </w:pPr>
            <w:r/>
            <w:r>
              <w:rPr>
                <w:rFonts w:ascii="Times New Roman" w:hAnsi="Times New Roman" w:eastAsia="Times New Roman"/>
                <w:b w:val="0"/>
                <w:i w:val="0"/>
                <w:sz w:val="17"/>
              </w:rPr>
              <w:t>GET</w:t>
            </w:r>
          </w:p>
        </w:tc>
        <w:tc>
          <w:tcPr>
            <w:tcW w:type="dxa" w:w="2520"/>
          </w:tcPr>
          <w:p>
            <w:pPr>
              <w:jc w:val="left"/>
            </w:pPr>
            <w:r/>
            <w:r>
              <w:rPr>
                <w:rFonts w:ascii="Times New Roman" w:hAnsi="Times New Roman" w:eastAsia="Times New Roman"/>
                <w:b w:val="0"/>
                <w:i w:val="0"/>
                <w:sz w:val="17"/>
              </w:rPr>
              <w:t>574</w:t>
            </w:r>
          </w:p>
        </w:tc>
        <w:tc>
          <w:tcPr>
            <w:tcW w:type="dxa" w:w="2520"/>
          </w:tcPr>
          <w:p>
            <w:pPr>
              <w:jc w:val="left"/>
            </w:pPr>
            <w:r/>
            <w:r>
              <w:rPr>
                <w:rFonts w:ascii="Times New Roman" w:hAnsi="Times New Roman" w:eastAsia="Times New Roman"/>
                <w:b w:val="0"/>
                <w:i w:val="0"/>
                <w:sz w:val="17"/>
              </w:rPr>
              <w:t>815</w:t>
            </w:r>
          </w:p>
        </w:tc>
      </w:tr>
      <w:tr>
        <w:tc>
          <w:tcPr>
            <w:tcW w:type="dxa" w:w="2520"/>
          </w:tcPr>
          <w:p>
            <w:pPr>
              <w:jc w:val="left"/>
            </w:pPr>
            <w:r/>
            <w:r>
              <w:rPr>
                <w:rFonts w:ascii="Times New Roman" w:hAnsi="Times New Roman" w:eastAsia="Times New Roman"/>
                <w:b w:val="0"/>
                <w:i w:val="0"/>
                <w:sz w:val="17"/>
              </w:rPr>
              <w:t>/api/purchase-contracts/create-payment</w:t>
            </w:r>
          </w:p>
        </w:tc>
        <w:tc>
          <w:tcPr>
            <w:tcW w:type="dxa" w:w="2520"/>
          </w:tcPr>
          <w:p>
            <w:pPr>
              <w:jc w:val="left"/>
            </w:pPr>
            <w:r/>
            <w:r>
              <w:rPr>
                <w:rFonts w:ascii="Times New Roman" w:hAnsi="Times New Roman" w:eastAsia="Times New Roman"/>
                <w:b w:val="0"/>
                <w:i w:val="0"/>
                <w:sz w:val="17"/>
              </w:rPr>
              <w:t>POST</w:t>
            </w:r>
          </w:p>
        </w:tc>
        <w:tc>
          <w:tcPr>
            <w:tcW w:type="dxa" w:w="2520"/>
          </w:tcPr>
          <w:p>
            <w:pPr>
              <w:jc w:val="left"/>
            </w:pPr>
            <w:r/>
            <w:r>
              <w:rPr>
                <w:rFonts w:ascii="Times New Roman" w:hAnsi="Times New Roman" w:eastAsia="Times New Roman"/>
                <w:b w:val="0"/>
                <w:i w:val="0"/>
                <w:sz w:val="17"/>
              </w:rPr>
              <w:t>1189</w:t>
            </w:r>
          </w:p>
        </w:tc>
        <w:tc>
          <w:tcPr>
            <w:tcW w:type="dxa" w:w="2520"/>
          </w:tcPr>
          <w:p>
            <w:pPr>
              <w:jc w:val="left"/>
            </w:pPr>
            <w:r/>
            <w:r>
              <w:rPr>
                <w:rFonts w:ascii="Times New Roman" w:hAnsi="Times New Roman" w:eastAsia="Times New Roman"/>
                <w:b w:val="0"/>
                <w:i w:val="0"/>
                <w:sz w:val="17"/>
              </w:rPr>
              <w:t>1760</w:t>
            </w:r>
          </w:p>
        </w:tc>
      </w:tr>
      <w:tr>
        <w:tc>
          <w:tcPr>
            <w:tcW w:type="dxa" w:w="2520"/>
          </w:tcPr>
          <w:p>
            <w:pPr>
              <w:jc w:val="left"/>
            </w:pPr>
            <w:r/>
            <w:r>
              <w:rPr>
                <w:rFonts w:ascii="Times New Roman" w:hAnsi="Times New Roman" w:eastAsia="Times New Roman"/>
                <w:b w:val="0"/>
                <w:i w:val="0"/>
                <w:sz w:val="17"/>
              </w:rPr>
              <w:t>/api/ai</w:t>
            </w:r>
          </w:p>
        </w:tc>
        <w:tc>
          <w:tcPr>
            <w:tcW w:type="dxa" w:w="2520"/>
          </w:tcPr>
          <w:p>
            <w:pPr>
              <w:jc w:val="left"/>
            </w:pPr>
            <w:r/>
            <w:r>
              <w:rPr>
                <w:rFonts w:ascii="Times New Roman" w:hAnsi="Times New Roman" w:eastAsia="Times New Roman"/>
                <w:b w:val="0"/>
                <w:i w:val="0"/>
                <w:sz w:val="17"/>
              </w:rPr>
              <w:t>POST</w:t>
            </w:r>
          </w:p>
        </w:tc>
        <w:tc>
          <w:tcPr>
            <w:tcW w:type="dxa" w:w="2520"/>
          </w:tcPr>
          <w:p>
            <w:pPr>
              <w:jc w:val="left"/>
            </w:pPr>
            <w:r/>
            <w:r>
              <w:rPr>
                <w:rFonts w:ascii="Times New Roman" w:hAnsi="Times New Roman" w:eastAsia="Times New Roman"/>
                <w:b w:val="0"/>
                <w:i w:val="0"/>
                <w:sz w:val="17"/>
              </w:rPr>
              <w:t>2080</w:t>
            </w:r>
          </w:p>
        </w:tc>
        <w:tc>
          <w:tcPr>
            <w:tcW w:type="dxa" w:w="2520"/>
          </w:tcPr>
          <w:p>
            <w:pPr>
              <w:jc w:val="left"/>
            </w:pPr>
            <w:r/>
            <w:r>
              <w:rPr>
                <w:rFonts w:ascii="Times New Roman" w:hAnsi="Times New Roman" w:eastAsia="Times New Roman"/>
                <w:b w:val="0"/>
                <w:i w:val="0"/>
                <w:sz w:val="17"/>
              </w:rPr>
              <w:t>3490</w:t>
            </w:r>
          </w:p>
        </w:tc>
      </w:tr>
    </w:tbl>
    <w:p>
      <w:pPr>
        <w:spacing w:after="80"/>
      </w:pPr>
    </w:p>
    <w:p>
      <w:pPr>
        <w:spacing w:line="240" w:lineRule="auto" w:after="120"/>
        <w:jc w:val="both"/>
      </w:pPr>
      <w:r>
        <w:rPr>
          <w:rFonts w:ascii="Times New Roman" w:hAnsi="Times New Roman" w:eastAsia="Times New Roman"/>
          <w:b w:val="0"/>
          <w:i w:val="0"/>
          <w:sz w:val="20"/>
        </w:rPr>
        <w:t>All measured endpoints remained within their respective service-level targets. The payments endpoint exhibits higher latency because it performs a file upload to Cloudinary prior to writing the database record; the AI endpoint is the slowest overall, reflecting the round-trip to an external large language model provider, but remains within the range considered acceptable for asynchronous, chat-style interaction.</w:t>
      </w:r>
    </w:p>
    <w:p>
      <w:pPr>
        <w:spacing w:line="240" w:lineRule="auto" w:after="120"/>
        <w:jc w:val="both"/>
      </w:pPr>
      <w:r>
        <w:rPr>
          <w:rFonts w:ascii="Times New Roman" w:hAnsi="Times New Roman" w:eastAsia="Times New Roman"/>
          <w:b/>
          <w:i w:val="0"/>
          <w:sz w:val="20"/>
        </w:rPr>
        <w:t>F. Concurrent-User Load</w:t>
      </w:r>
    </w:p>
    <w:p>
      <w:pPr>
        <w:spacing w:before="80" w:after="200"/>
        <w:jc w:val="center"/>
      </w:pPr>
      <w:r>
        <w:rPr>
          <w:rFonts w:ascii="Times New Roman" w:hAnsi="Times New Roman" w:eastAsia="Times New Roman"/>
          <w:b/>
          <w:i w:val="0"/>
          <w:sz w:val="18"/>
        </w:rPr>
        <w:t>Table III. Concurrent-User Load Test Results (Property-Listing Endpoint)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jc w:val="center"/>
            </w:pPr>
            <w:r/>
            <w:r>
              <w:rPr>
                <w:rFonts w:ascii="Times New Roman" w:hAnsi="Times New Roman" w:eastAsia="Times New Roman"/>
                <w:b/>
                <w:i w:val="0"/>
                <w:sz w:val="18"/>
              </w:rPr>
              <w:t>Concurrent Users</w:t>
            </w:r>
          </w:p>
        </w:tc>
        <w:tc>
          <w:tcPr>
            <w:tcW w:type="dxa" w:w="2520"/>
          </w:tcPr>
          <w:p>
            <w:pPr>
              <w:jc w:val="center"/>
            </w:pPr>
            <w:r/>
            <w:r>
              <w:rPr>
                <w:rFonts w:ascii="Times New Roman" w:hAnsi="Times New Roman" w:eastAsia="Times New Roman"/>
                <w:b/>
                <w:i w:val="0"/>
                <w:sz w:val="18"/>
              </w:rPr>
              <w:t>Mean Response (ms)</w:t>
            </w:r>
          </w:p>
        </w:tc>
        <w:tc>
          <w:tcPr>
            <w:tcW w:type="dxa" w:w="2520"/>
          </w:tcPr>
          <w:p>
            <w:pPr>
              <w:jc w:val="center"/>
            </w:pPr>
            <w:r/>
            <w:r>
              <w:rPr>
                <w:rFonts w:ascii="Times New Roman" w:hAnsi="Times New Roman" w:eastAsia="Times New Roman"/>
                <w:b/>
                <w:i w:val="0"/>
                <w:sz w:val="18"/>
              </w:rPr>
              <w:t>95th Percentile (ms)</w:t>
            </w:r>
          </w:p>
        </w:tc>
        <w:tc>
          <w:tcPr>
            <w:tcW w:type="dxa" w:w="2520"/>
          </w:tcPr>
          <w:p>
            <w:pPr>
              <w:jc w:val="center"/>
            </w:pPr>
            <w:r/>
            <w:r>
              <w:rPr>
                <w:rFonts w:ascii="Times New Roman" w:hAnsi="Times New Roman" w:eastAsia="Times New Roman"/>
                <w:b/>
                <w:i w:val="0"/>
                <w:sz w:val="18"/>
              </w:rPr>
              <w:t>Error Rate</w:t>
            </w:r>
          </w:p>
        </w:tc>
      </w:tr>
      <w:tr>
        <w:tc>
          <w:tcPr>
            <w:tcW w:type="dxa" w:w="2520"/>
          </w:tcPr>
          <w:p>
            <w:pPr>
              <w:jc w:val="left"/>
            </w:pPr>
            <w:r/>
            <w:r>
              <w:rPr>
                <w:rFonts w:ascii="Times New Roman" w:hAnsi="Times New Roman" w:eastAsia="Times New Roman"/>
                <w:b w:val="0"/>
                <w:i w:val="0"/>
                <w:sz w:val="17"/>
              </w:rPr>
              <w:t>10</w:t>
            </w:r>
          </w:p>
        </w:tc>
        <w:tc>
          <w:tcPr>
            <w:tcW w:type="dxa" w:w="2520"/>
          </w:tcPr>
          <w:p>
            <w:pPr>
              <w:jc w:val="left"/>
            </w:pPr>
            <w:r/>
            <w:r>
              <w:rPr>
                <w:rFonts w:ascii="Times New Roman" w:hAnsi="Times New Roman" w:eastAsia="Times New Roman"/>
                <w:b w:val="0"/>
                <w:i w:val="0"/>
                <w:sz w:val="17"/>
              </w:rPr>
              <w:t>218</w:t>
            </w:r>
          </w:p>
        </w:tc>
        <w:tc>
          <w:tcPr>
            <w:tcW w:type="dxa" w:w="2520"/>
          </w:tcPr>
          <w:p>
            <w:pPr>
              <w:jc w:val="left"/>
            </w:pPr>
            <w:r/>
            <w:r>
              <w:rPr>
                <w:rFonts w:ascii="Times New Roman" w:hAnsi="Times New Roman" w:eastAsia="Times New Roman"/>
                <w:b w:val="0"/>
                <w:i w:val="0"/>
                <w:sz w:val="17"/>
              </w:rPr>
              <w:t>305</w:t>
            </w:r>
          </w:p>
        </w:tc>
        <w:tc>
          <w:tcPr>
            <w:tcW w:type="dxa" w:w="2520"/>
          </w:tcPr>
          <w:p>
            <w:pPr>
              <w:jc w:val="left"/>
            </w:pPr>
            <w:r/>
            <w:r>
              <w:rPr>
                <w:rFonts w:ascii="Times New Roman" w:hAnsi="Times New Roman" w:eastAsia="Times New Roman"/>
                <w:b w:val="0"/>
                <w:i w:val="0"/>
                <w:sz w:val="17"/>
              </w:rPr>
              <w:t>0.00%</w:t>
            </w:r>
          </w:p>
        </w:tc>
      </w:tr>
      <w:tr>
        <w:tc>
          <w:tcPr>
            <w:tcW w:type="dxa" w:w="2520"/>
          </w:tcPr>
          <w:p>
            <w:pPr>
              <w:jc w:val="left"/>
            </w:pPr>
            <w:r/>
            <w:r>
              <w:rPr>
                <w:rFonts w:ascii="Times New Roman" w:hAnsi="Times New Roman" w:eastAsia="Times New Roman"/>
                <w:b w:val="0"/>
                <w:i w:val="0"/>
                <w:sz w:val="17"/>
              </w:rPr>
              <w:t>50</w:t>
            </w:r>
          </w:p>
        </w:tc>
        <w:tc>
          <w:tcPr>
            <w:tcW w:type="dxa" w:w="2520"/>
          </w:tcPr>
          <w:p>
            <w:pPr>
              <w:jc w:val="left"/>
            </w:pPr>
            <w:r/>
            <w:r>
              <w:rPr>
                <w:rFonts w:ascii="Times New Roman" w:hAnsi="Times New Roman" w:eastAsia="Times New Roman"/>
                <w:b w:val="0"/>
                <w:i w:val="0"/>
                <w:sz w:val="17"/>
              </w:rPr>
              <w:t>375</w:t>
            </w:r>
          </w:p>
        </w:tc>
        <w:tc>
          <w:tcPr>
            <w:tcW w:type="dxa" w:w="2520"/>
          </w:tcPr>
          <w:p>
            <w:pPr>
              <w:jc w:val="left"/>
            </w:pPr>
            <w:r/>
            <w:r>
              <w:rPr>
                <w:rFonts w:ascii="Times New Roman" w:hAnsi="Times New Roman" w:eastAsia="Times New Roman"/>
                <w:b w:val="0"/>
                <w:i w:val="0"/>
                <w:sz w:val="17"/>
              </w:rPr>
              <w:t>553</w:t>
            </w:r>
          </w:p>
        </w:tc>
        <w:tc>
          <w:tcPr>
            <w:tcW w:type="dxa" w:w="2520"/>
          </w:tcPr>
          <w:p>
            <w:pPr>
              <w:jc w:val="left"/>
            </w:pPr>
            <w:r/>
            <w:r>
              <w:rPr>
                <w:rFonts w:ascii="Times New Roman" w:hAnsi="Times New Roman" w:eastAsia="Times New Roman"/>
                <w:b w:val="0"/>
                <w:i w:val="0"/>
                <w:sz w:val="17"/>
              </w:rPr>
              <w:t>0.00%</w:t>
            </w:r>
          </w:p>
        </w:tc>
      </w:tr>
      <w:tr>
        <w:tc>
          <w:tcPr>
            <w:tcW w:type="dxa" w:w="2520"/>
          </w:tcPr>
          <w:p>
            <w:pPr>
              <w:jc w:val="left"/>
            </w:pPr>
            <w:r/>
            <w:r>
              <w:rPr>
                <w:rFonts w:ascii="Times New Roman" w:hAnsi="Times New Roman" w:eastAsia="Times New Roman"/>
                <w:b w:val="0"/>
                <w:i w:val="0"/>
                <w:sz w:val="17"/>
              </w:rPr>
              <w:t>100</w:t>
            </w:r>
          </w:p>
        </w:tc>
        <w:tc>
          <w:tcPr>
            <w:tcW w:type="dxa" w:w="2520"/>
          </w:tcPr>
          <w:p>
            <w:pPr>
              <w:jc w:val="left"/>
            </w:pPr>
            <w:r/>
            <w:r>
              <w:rPr>
                <w:rFonts w:ascii="Times New Roman" w:hAnsi="Times New Roman" w:eastAsia="Times New Roman"/>
                <w:b w:val="0"/>
                <w:i w:val="0"/>
                <w:sz w:val="17"/>
              </w:rPr>
              <w:t>494</w:t>
            </w:r>
          </w:p>
        </w:tc>
        <w:tc>
          <w:tcPr>
            <w:tcW w:type="dxa" w:w="2520"/>
          </w:tcPr>
          <w:p>
            <w:pPr>
              <w:jc w:val="left"/>
            </w:pPr>
            <w:r/>
            <w:r>
              <w:rPr>
                <w:rFonts w:ascii="Times New Roman" w:hAnsi="Times New Roman" w:eastAsia="Times New Roman"/>
                <w:b w:val="0"/>
                <w:i w:val="0"/>
                <w:sz w:val="17"/>
              </w:rPr>
              <w:t>743</w:t>
            </w:r>
          </w:p>
        </w:tc>
        <w:tc>
          <w:tcPr>
            <w:tcW w:type="dxa" w:w="2520"/>
          </w:tcPr>
          <w:p>
            <w:pPr>
              <w:jc w:val="left"/>
            </w:pPr>
            <w:r/>
            <w:r>
              <w:rPr>
                <w:rFonts w:ascii="Times New Roman" w:hAnsi="Times New Roman" w:eastAsia="Times New Roman"/>
                <w:b w:val="0"/>
                <w:i w:val="0"/>
                <w:sz w:val="17"/>
              </w:rPr>
              <w:t>0.15%</w:t>
            </w:r>
          </w:p>
        </w:tc>
      </w:tr>
      <w:tr>
        <w:tc>
          <w:tcPr>
            <w:tcW w:type="dxa" w:w="2520"/>
          </w:tcPr>
          <w:p>
            <w:pPr>
              <w:jc w:val="left"/>
            </w:pPr>
            <w:r/>
            <w:r>
              <w:rPr>
                <w:rFonts w:ascii="Times New Roman" w:hAnsi="Times New Roman" w:eastAsia="Times New Roman"/>
                <w:b w:val="0"/>
                <w:i w:val="0"/>
                <w:sz w:val="17"/>
              </w:rPr>
              <w:t>150</w:t>
            </w:r>
          </w:p>
        </w:tc>
        <w:tc>
          <w:tcPr>
            <w:tcW w:type="dxa" w:w="2520"/>
          </w:tcPr>
          <w:p>
            <w:pPr>
              <w:jc w:val="left"/>
            </w:pPr>
            <w:r/>
            <w:r>
              <w:rPr>
                <w:rFonts w:ascii="Times New Roman" w:hAnsi="Times New Roman" w:eastAsia="Times New Roman"/>
                <w:b w:val="0"/>
                <w:i w:val="0"/>
                <w:sz w:val="17"/>
              </w:rPr>
              <w:t>672</w:t>
            </w:r>
          </w:p>
        </w:tc>
        <w:tc>
          <w:tcPr>
            <w:tcW w:type="dxa" w:w="2520"/>
          </w:tcPr>
          <w:p>
            <w:pPr>
              <w:jc w:val="left"/>
            </w:pPr>
            <w:r/>
            <w:r>
              <w:rPr>
                <w:rFonts w:ascii="Times New Roman" w:hAnsi="Times New Roman" w:eastAsia="Times New Roman"/>
                <w:b w:val="0"/>
                <w:i w:val="0"/>
                <w:sz w:val="17"/>
              </w:rPr>
              <w:t>1095</w:t>
            </w:r>
          </w:p>
        </w:tc>
        <w:tc>
          <w:tcPr>
            <w:tcW w:type="dxa" w:w="2520"/>
          </w:tcPr>
          <w:p>
            <w:pPr>
              <w:jc w:val="left"/>
            </w:pPr>
            <w:r/>
            <w:r>
              <w:rPr>
                <w:rFonts w:ascii="Times New Roman" w:hAnsi="Times New Roman" w:eastAsia="Times New Roman"/>
                <w:b w:val="0"/>
                <w:i w:val="0"/>
                <w:sz w:val="17"/>
              </w:rPr>
              <w:t>1.41%</w:t>
            </w:r>
          </w:p>
        </w:tc>
      </w:tr>
      <w:tr>
        <w:tc>
          <w:tcPr>
            <w:tcW w:type="dxa" w:w="2520"/>
          </w:tcPr>
          <w:p>
            <w:pPr>
              <w:jc w:val="left"/>
            </w:pPr>
            <w:r/>
            <w:r>
              <w:rPr>
                <w:rFonts w:ascii="Times New Roman" w:hAnsi="Times New Roman" w:eastAsia="Times New Roman"/>
                <w:b w:val="0"/>
                <w:i w:val="0"/>
                <w:sz w:val="17"/>
              </w:rPr>
              <w:t>200</w:t>
            </w:r>
          </w:p>
        </w:tc>
        <w:tc>
          <w:tcPr>
            <w:tcW w:type="dxa" w:w="2520"/>
          </w:tcPr>
          <w:p>
            <w:pPr>
              <w:jc w:val="left"/>
            </w:pPr>
            <w:r/>
            <w:r>
              <w:rPr>
                <w:rFonts w:ascii="Times New Roman" w:hAnsi="Times New Roman" w:eastAsia="Times New Roman"/>
                <w:b w:val="0"/>
                <w:i w:val="0"/>
                <w:sz w:val="17"/>
              </w:rPr>
              <w:t>918</w:t>
            </w:r>
          </w:p>
        </w:tc>
        <w:tc>
          <w:tcPr>
            <w:tcW w:type="dxa" w:w="2520"/>
          </w:tcPr>
          <w:p>
            <w:pPr>
              <w:jc w:val="left"/>
            </w:pPr>
            <w:r/>
            <w:r>
              <w:rPr>
                <w:rFonts w:ascii="Times New Roman" w:hAnsi="Times New Roman" w:eastAsia="Times New Roman"/>
                <w:b w:val="0"/>
                <w:i w:val="0"/>
                <w:sz w:val="17"/>
              </w:rPr>
              <w:t>1612</w:t>
            </w:r>
          </w:p>
        </w:tc>
        <w:tc>
          <w:tcPr>
            <w:tcW w:type="dxa" w:w="2520"/>
          </w:tcPr>
          <w:p>
            <w:pPr>
              <w:jc w:val="left"/>
            </w:pPr>
            <w:r/>
            <w:r>
              <w:rPr>
                <w:rFonts w:ascii="Times New Roman" w:hAnsi="Times New Roman" w:eastAsia="Times New Roman"/>
                <w:b w:val="0"/>
                <w:i w:val="0"/>
                <w:sz w:val="17"/>
              </w:rPr>
              <w:t>3.18%</w:t>
            </w:r>
          </w:p>
        </w:tc>
      </w:tr>
    </w:tbl>
    <w:p>
      <w:pPr>
        <w:spacing w:after="80"/>
      </w:pPr>
    </w:p>
    <w:p>
      <w:pPr>
        <w:spacing w:line="240" w:lineRule="auto" w:after="120"/>
        <w:jc w:val="both"/>
      </w:pPr>
      <w:r>
        <w:rPr>
          <w:rFonts w:ascii="Times New Roman" w:hAnsi="Times New Roman" w:eastAsia="Times New Roman"/>
          <w:b w:val="0"/>
          <w:i w:val="0"/>
          <w:sz w:val="20"/>
        </w:rPr>
        <w:t>The system sustains the target of 100 concurrent users at sub-500-millisecond mean latency with an error rate below 0.2%, satisfying the responsiveness objective stated in Section 3-A. Degradation becomes apparent beyond 150 concurrent users, at which point horizontal scaling of the Node.js server behind a load balancer, combined with MongoDB Atlas auto-scaling, would be required to preserve the same latency profile at higher concurrency.</w:t>
      </w:r>
    </w:p>
    <w:p>
      <w:pPr>
        <w:spacing w:line="240" w:lineRule="auto" w:after="120"/>
        <w:jc w:val="both"/>
      </w:pPr>
      <w:r>
        <w:rPr>
          <w:rFonts w:ascii="Times New Roman" w:hAnsi="Times New Roman" w:eastAsia="Times New Roman"/>
          <w:b/>
          <w:i w:val="0"/>
          <w:sz w:val="20"/>
        </w:rPr>
        <w:t>G. Security Testing Results</w:t>
      </w:r>
    </w:p>
    <w:p>
      <w:pPr>
        <w:spacing w:before="80" w:after="200"/>
        <w:jc w:val="center"/>
      </w:pPr>
      <w:r>
        <w:rPr>
          <w:rFonts w:ascii="Times New Roman" w:hAnsi="Times New Roman" w:eastAsia="Times New Roman"/>
          <w:b/>
          <w:i w:val="0"/>
          <w:sz w:val="18"/>
        </w:rPr>
        <w:t>Table IV. Adversarial Security Test Case Results</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center"/>
            </w:pPr>
            <w:r/>
            <w:r>
              <w:rPr>
                <w:rFonts w:ascii="Times New Roman" w:hAnsi="Times New Roman" w:eastAsia="Times New Roman"/>
                <w:b/>
                <w:i w:val="0"/>
                <w:sz w:val="18"/>
              </w:rPr>
              <w:t>Control</w:t>
            </w:r>
          </w:p>
        </w:tc>
        <w:tc>
          <w:tcPr>
            <w:tcW w:type="dxa" w:w="3360"/>
          </w:tcPr>
          <w:p>
            <w:pPr>
              <w:jc w:val="center"/>
            </w:pPr>
            <w:r/>
            <w:r>
              <w:rPr>
                <w:rFonts w:ascii="Times New Roman" w:hAnsi="Times New Roman" w:eastAsia="Times New Roman"/>
                <w:b/>
                <w:i w:val="0"/>
                <w:sz w:val="18"/>
              </w:rPr>
              <w:t>Test</w:t>
            </w:r>
          </w:p>
        </w:tc>
        <w:tc>
          <w:tcPr>
            <w:tcW w:type="dxa" w:w="3360"/>
          </w:tcPr>
          <w:p>
            <w:pPr>
              <w:jc w:val="center"/>
            </w:pPr>
            <w:r/>
            <w:r>
              <w:rPr>
                <w:rFonts w:ascii="Times New Roman" w:hAnsi="Times New Roman" w:eastAsia="Times New Roman"/>
                <w:b/>
                <w:i w:val="0"/>
                <w:sz w:val="18"/>
              </w:rPr>
              <w:t>Result</w:t>
            </w:r>
          </w:p>
        </w:tc>
      </w:tr>
      <w:tr>
        <w:tc>
          <w:tcPr>
            <w:tcW w:type="dxa" w:w="3360"/>
          </w:tcPr>
          <w:p>
            <w:pPr>
              <w:jc w:val="left"/>
            </w:pPr>
            <w:r/>
            <w:r>
              <w:rPr>
                <w:rFonts w:ascii="Times New Roman" w:hAnsi="Times New Roman" w:eastAsia="Times New Roman"/>
                <w:b w:val="0"/>
                <w:i w:val="0"/>
                <w:sz w:val="17"/>
              </w:rPr>
              <w:t>Password hashing</w:t>
            </w:r>
          </w:p>
        </w:tc>
        <w:tc>
          <w:tcPr>
            <w:tcW w:type="dxa" w:w="3360"/>
          </w:tcPr>
          <w:p>
            <w:pPr>
              <w:jc w:val="left"/>
            </w:pPr>
            <w:r/>
            <w:r>
              <w:rPr>
                <w:rFonts w:ascii="Times New Roman" w:hAnsi="Times New Roman" w:eastAsia="Times New Roman"/>
                <w:b w:val="0"/>
                <w:i w:val="0"/>
                <w:sz w:val="17"/>
              </w:rPr>
              <w:t>Query database for stored password</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JWT expiry</w:t>
            </w:r>
          </w:p>
        </w:tc>
        <w:tc>
          <w:tcPr>
            <w:tcW w:type="dxa" w:w="3360"/>
          </w:tcPr>
          <w:p>
            <w:pPr>
              <w:jc w:val="left"/>
            </w:pPr>
            <w:r/>
            <w:r>
              <w:rPr>
                <w:rFonts w:ascii="Times New Roman" w:hAnsi="Times New Roman" w:eastAsia="Times New Roman"/>
                <w:b w:val="0"/>
                <w:i w:val="0"/>
                <w:sz w:val="17"/>
              </w:rPr>
              <w:t>Submit an 8-day-old token</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JWT tampering</w:t>
            </w:r>
          </w:p>
        </w:tc>
        <w:tc>
          <w:tcPr>
            <w:tcW w:type="dxa" w:w="3360"/>
          </w:tcPr>
          <w:p>
            <w:pPr>
              <w:jc w:val="left"/>
            </w:pPr>
            <w:r/>
            <w:r>
              <w:rPr>
                <w:rFonts w:ascii="Times New Roman" w:hAnsi="Times New Roman" w:eastAsia="Times New Roman"/>
                <w:b w:val="0"/>
                <w:i w:val="0"/>
                <w:sz w:val="17"/>
              </w:rPr>
              <w:t>Modify user ID in token payload</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Role enforcement</w:t>
            </w:r>
          </w:p>
        </w:tc>
        <w:tc>
          <w:tcPr>
            <w:tcW w:type="dxa" w:w="3360"/>
          </w:tcPr>
          <w:p>
            <w:pPr>
              <w:jc w:val="left"/>
            </w:pPr>
            <w:r/>
            <w:r>
              <w:rPr>
                <w:rFonts w:ascii="Times New Roman" w:hAnsi="Times New Roman" w:eastAsia="Times New Roman"/>
                <w:b w:val="0"/>
                <w:i w:val="0"/>
                <w:sz w:val="17"/>
              </w:rPr>
              <w:t>Registered-user token on admin route</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Blocked account</w:t>
            </w:r>
          </w:p>
        </w:tc>
        <w:tc>
          <w:tcPr>
            <w:tcW w:type="dxa" w:w="3360"/>
          </w:tcPr>
          <w:p>
            <w:pPr>
              <w:jc w:val="left"/>
            </w:pPr>
            <w:r/>
            <w:r>
              <w:rPr>
                <w:rFonts w:ascii="Times New Roman" w:hAnsi="Times New Roman" w:eastAsia="Times New Roman"/>
                <w:b w:val="0"/>
                <w:i w:val="0"/>
                <w:sz w:val="17"/>
              </w:rPr>
              <w:t>Valid token, administratively blocked user</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Rate limiting</w:t>
            </w:r>
          </w:p>
        </w:tc>
        <w:tc>
          <w:tcPr>
            <w:tcW w:type="dxa" w:w="3360"/>
          </w:tcPr>
          <w:p>
            <w:pPr>
              <w:jc w:val="left"/>
            </w:pPr>
            <w:r/>
            <w:r>
              <w:rPr>
                <w:rFonts w:ascii="Times New Roman" w:hAnsi="Times New Roman" w:eastAsia="Times New Roman"/>
                <w:b w:val="0"/>
                <w:i w:val="0"/>
                <w:sz w:val="17"/>
              </w:rPr>
              <w:t>201 requests within a 15-minute window</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File type filter</w:t>
            </w:r>
          </w:p>
        </w:tc>
        <w:tc>
          <w:tcPr>
            <w:tcW w:type="dxa" w:w="3360"/>
          </w:tcPr>
          <w:p>
            <w:pPr>
              <w:jc w:val="left"/>
            </w:pPr>
            <w:r/>
            <w:r>
              <w:rPr>
                <w:rFonts w:ascii="Times New Roman" w:hAnsi="Times New Roman" w:eastAsia="Times New Roman"/>
                <w:b w:val="0"/>
                <w:i w:val="0"/>
                <w:sz w:val="17"/>
              </w:rPr>
              <w:t>Upload an .exe file as a property image</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File size limit</w:t>
            </w:r>
          </w:p>
        </w:tc>
        <w:tc>
          <w:tcPr>
            <w:tcW w:type="dxa" w:w="3360"/>
          </w:tcPr>
          <w:p>
            <w:pPr>
              <w:jc w:val="left"/>
            </w:pPr>
            <w:r/>
            <w:r>
              <w:rPr>
                <w:rFonts w:ascii="Times New Roman" w:hAnsi="Times New Roman" w:eastAsia="Times New Roman"/>
                <w:b w:val="0"/>
                <w:i w:val="0"/>
                <w:sz w:val="17"/>
              </w:rPr>
              <w:t>Upload a 15 MB image</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XSS via input</w:t>
            </w:r>
          </w:p>
        </w:tc>
        <w:tc>
          <w:tcPr>
            <w:tcW w:type="dxa" w:w="3360"/>
          </w:tcPr>
          <w:p>
            <w:pPr>
              <w:jc w:val="left"/>
            </w:pPr>
            <w:r/>
            <w:r>
              <w:rPr>
                <w:rFonts w:ascii="Times New Roman" w:hAnsi="Times New Roman" w:eastAsia="Times New Roman"/>
                <w:b w:val="0"/>
                <w:i w:val="0"/>
                <w:sz w:val="17"/>
              </w:rPr>
              <w:t>Script tag injected in property title</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Razorpay signature</w:t>
            </w:r>
          </w:p>
        </w:tc>
        <w:tc>
          <w:tcPr>
            <w:tcW w:type="dxa" w:w="3360"/>
          </w:tcPr>
          <w:p>
            <w:pPr>
              <w:jc w:val="left"/>
            </w:pPr>
            <w:r/>
            <w:r>
              <w:rPr>
                <w:rFonts w:ascii="Times New Roman" w:hAnsi="Times New Roman" w:eastAsia="Times New Roman"/>
                <w:b w:val="0"/>
                <w:i w:val="0"/>
                <w:sz w:val="17"/>
              </w:rPr>
              <w:t>Tampered payment signature value</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CORS</w:t>
            </w:r>
          </w:p>
        </w:tc>
        <w:tc>
          <w:tcPr>
            <w:tcW w:type="dxa" w:w="3360"/>
          </w:tcPr>
          <w:p>
            <w:pPr>
              <w:jc w:val="left"/>
            </w:pPr>
            <w:r/>
            <w:r>
              <w:rPr>
                <w:rFonts w:ascii="Times New Roman" w:hAnsi="Times New Roman" w:eastAsia="Times New Roman"/>
                <w:b w:val="0"/>
                <w:i w:val="0"/>
                <w:sz w:val="17"/>
              </w:rPr>
              <w:t>Request from an unlisted origin</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Helmet headers</w:t>
            </w:r>
          </w:p>
        </w:tc>
        <w:tc>
          <w:tcPr>
            <w:tcW w:type="dxa" w:w="3360"/>
          </w:tcPr>
          <w:p>
            <w:pPr>
              <w:jc w:val="left"/>
            </w:pPr>
            <w:r/>
            <w:r>
              <w:rPr>
                <w:rFonts w:ascii="Times New Roman" w:hAnsi="Times New Roman" w:eastAsia="Times New Roman"/>
                <w:b w:val="0"/>
                <w:i w:val="0"/>
                <w:sz w:val="17"/>
              </w:rPr>
              <w:t>Inspect response headers</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Admin route, no token</w:t>
            </w:r>
          </w:p>
        </w:tc>
        <w:tc>
          <w:tcPr>
            <w:tcW w:type="dxa" w:w="3360"/>
          </w:tcPr>
          <w:p>
            <w:pPr>
              <w:jc w:val="left"/>
            </w:pPr>
            <w:r/>
            <w:r>
              <w:rPr>
                <w:rFonts w:ascii="Times New Roman" w:hAnsi="Times New Roman" w:eastAsia="Times New Roman"/>
                <w:b w:val="0"/>
                <w:i w:val="0"/>
                <w:sz w:val="17"/>
              </w:rPr>
              <w:t>Call admin endpoint without Authorization</w:t>
            </w:r>
          </w:p>
        </w:tc>
        <w:tc>
          <w:tcPr>
            <w:tcW w:type="dxa" w:w="3360"/>
          </w:tcPr>
          <w:p>
            <w:pPr>
              <w:jc w:val="left"/>
            </w:pPr>
            <w:r/>
            <w:r>
              <w:rPr>
                <w:rFonts w:ascii="Times New Roman" w:hAnsi="Times New Roman" w:eastAsia="Times New Roman"/>
                <w:b w:val="0"/>
                <w:i w:val="0"/>
                <w:sz w:val="17"/>
              </w:rPr>
              <w:t>Pass</w:t>
            </w:r>
          </w:p>
        </w:tc>
      </w:tr>
      <w:tr>
        <w:tc>
          <w:tcPr>
            <w:tcW w:type="dxa" w:w="3360"/>
          </w:tcPr>
          <w:p>
            <w:pPr>
              <w:jc w:val="left"/>
            </w:pPr>
            <w:r/>
            <w:r>
              <w:rPr>
                <w:rFonts w:ascii="Times New Roman" w:hAnsi="Times New Roman" w:eastAsia="Times New Roman"/>
                <w:b w:val="0"/>
                <w:i w:val="0"/>
                <w:sz w:val="17"/>
              </w:rPr>
              <w:t>NoSQL-equivalent injection</w:t>
            </w:r>
          </w:p>
        </w:tc>
        <w:tc>
          <w:tcPr>
            <w:tcW w:type="dxa" w:w="3360"/>
          </w:tcPr>
          <w:p>
            <w:pPr>
              <w:jc w:val="left"/>
            </w:pPr>
            <w:r/>
            <w:r>
              <w:rPr>
                <w:rFonts w:ascii="Times New Roman" w:hAnsi="Times New Roman" w:eastAsia="Times New Roman"/>
                <w:b w:val="0"/>
                <w:i w:val="0"/>
                <w:sz w:val="17"/>
              </w:rPr>
              <w:t>MongoDB operator injected in query string</w:t>
            </w:r>
          </w:p>
        </w:tc>
        <w:tc>
          <w:tcPr>
            <w:tcW w:type="dxa" w:w="3360"/>
          </w:tcPr>
          <w:p>
            <w:pPr>
              <w:jc w:val="left"/>
            </w:pPr>
            <w:r/>
            <w:r>
              <w:rPr>
                <w:rFonts w:ascii="Times New Roman" w:hAnsi="Times New Roman" w:eastAsia="Times New Roman"/>
                <w:b w:val="0"/>
                <w:i w:val="0"/>
                <w:sz w:val="17"/>
              </w:rPr>
              <w:t>Pass</w:t>
            </w:r>
          </w:p>
        </w:tc>
      </w:tr>
    </w:tbl>
    <w:p>
      <w:pPr>
        <w:spacing w:after="80"/>
      </w:pPr>
    </w:p>
    <w:p>
      <w:pPr>
        <w:spacing w:line="240" w:lineRule="auto" w:after="120"/>
        <w:jc w:val="both"/>
      </w:pPr>
      <w:r>
        <w:rPr>
          <w:rFonts w:ascii="Times New Roman" w:hAnsi="Times New Roman" w:eastAsia="Times New Roman"/>
          <w:b w:val="0"/>
          <w:i w:val="0"/>
          <w:sz w:val="20"/>
        </w:rPr>
        <w:t>All fourteen adversarial test cases behaved as specified. The XSS result is notable given the server-mediated architecture described in Section 3: React's JSX rendering engine escapes HTML special characters by default, so a malicious property title reaching the database is rendered as inert text in the browser rather than executed as script, providing defense in depth independent of any server-side sanitization logic.</w:t>
      </w:r>
    </w:p>
    <w:p>
      <w:pPr>
        <w:spacing w:line="240" w:lineRule="auto" w:after="120"/>
        <w:jc w:val="both"/>
      </w:pPr>
      <w:r>
        <w:rPr>
          <w:rFonts w:ascii="Times New Roman" w:hAnsi="Times New Roman" w:eastAsia="Times New Roman"/>
          <w:b/>
          <w:i w:val="0"/>
          <w:sz w:val="20"/>
        </w:rPr>
        <w:t>H. Comparison with Existing Platforms</w:t>
      </w:r>
    </w:p>
    <w:p>
      <w:pPr>
        <w:spacing w:before="80" w:after="200"/>
        <w:jc w:val="center"/>
      </w:pPr>
      <w:r>
        <w:rPr>
          <w:rFonts w:ascii="Times New Roman" w:hAnsi="Times New Roman" w:eastAsia="Times New Roman"/>
          <w:b/>
          <w:i w:val="0"/>
          <w:sz w:val="18"/>
        </w:rPr>
        <w:t>Table V. Feature Comparison — Proposed Framework vs. Existing Platforms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
              <w:rPr>
                <w:rFonts w:ascii="Times New Roman" w:hAnsi="Times New Roman" w:eastAsia="Times New Roman"/>
                <w:b/>
                <w:i w:val="0"/>
                <w:sz w:val="18"/>
              </w:rPr>
              <w:t>Feature</w:t>
            </w:r>
          </w:p>
        </w:tc>
        <w:tc>
          <w:tcPr>
            <w:tcW w:type="dxa" w:w="1680"/>
          </w:tcPr>
          <w:p>
            <w:pPr>
              <w:jc w:val="center"/>
            </w:pPr>
            <w:r/>
            <w:r>
              <w:rPr>
                <w:rFonts w:ascii="Times New Roman" w:hAnsi="Times New Roman" w:eastAsia="Times New Roman"/>
                <w:b/>
                <w:i w:val="0"/>
                <w:sz w:val="18"/>
              </w:rPr>
              <w:t>PropManage</w:t>
            </w:r>
          </w:p>
        </w:tc>
        <w:tc>
          <w:tcPr>
            <w:tcW w:type="dxa" w:w="1680"/>
          </w:tcPr>
          <w:p>
            <w:pPr>
              <w:jc w:val="center"/>
            </w:pPr>
            <w:r/>
            <w:r>
              <w:rPr>
                <w:rFonts w:ascii="Times New Roman" w:hAnsi="Times New Roman" w:eastAsia="Times New Roman"/>
                <w:b/>
                <w:i w:val="0"/>
                <w:sz w:val="18"/>
              </w:rPr>
              <w:t>Bayut.com</w:t>
            </w:r>
          </w:p>
        </w:tc>
        <w:tc>
          <w:tcPr>
            <w:tcW w:type="dxa" w:w="1680"/>
          </w:tcPr>
          <w:p>
            <w:pPr>
              <w:jc w:val="center"/>
            </w:pPr>
            <w:r/>
            <w:r>
              <w:rPr>
                <w:rFonts w:ascii="Times New Roman" w:hAnsi="Times New Roman" w:eastAsia="Times New Roman"/>
                <w:b/>
                <w:i w:val="0"/>
                <w:sz w:val="18"/>
              </w:rPr>
              <w:t>Dubizzle</w:t>
            </w:r>
          </w:p>
        </w:tc>
        <w:tc>
          <w:tcPr>
            <w:tcW w:type="dxa" w:w="1680"/>
          </w:tcPr>
          <w:p>
            <w:pPr>
              <w:jc w:val="center"/>
            </w:pPr>
            <w:r/>
            <w:r>
              <w:rPr>
                <w:rFonts w:ascii="Times New Roman" w:hAnsi="Times New Roman" w:eastAsia="Times New Roman"/>
                <w:b/>
                <w:i w:val="0"/>
                <w:sz w:val="18"/>
              </w:rPr>
              <w:t>Buildium</w:t>
            </w:r>
          </w:p>
        </w:tc>
        <w:tc>
          <w:tcPr>
            <w:tcW w:type="dxa" w:w="1680"/>
          </w:tcPr>
          <w:p>
            <w:pPr>
              <w:jc w:val="center"/>
            </w:pPr>
            <w:r/>
            <w:r>
              <w:rPr>
                <w:rFonts w:ascii="Times New Roman" w:hAnsi="Times New Roman" w:eastAsia="Times New Roman"/>
                <w:b/>
                <w:i w:val="0"/>
                <w:sz w:val="18"/>
              </w:rPr>
              <w:t>AppFolio</w:t>
            </w:r>
          </w:p>
        </w:tc>
      </w:tr>
      <w:tr>
        <w:tc>
          <w:tcPr>
            <w:tcW w:type="dxa" w:w="1680"/>
          </w:tcPr>
          <w:p>
            <w:pPr>
              <w:jc w:val="left"/>
            </w:pPr>
            <w:r/>
            <w:r>
              <w:rPr>
                <w:rFonts w:ascii="Times New Roman" w:hAnsi="Times New Roman" w:eastAsia="Times New Roman"/>
                <w:b w:val="0"/>
                <w:i w:val="0"/>
                <w:sz w:val="17"/>
              </w:rPr>
              <w:t>Self-service visit booking</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r>
      <w:tr>
        <w:tc>
          <w:tcPr>
            <w:tcW w:type="dxa" w:w="1680"/>
          </w:tcPr>
          <w:p>
            <w:pPr>
              <w:jc w:val="left"/>
            </w:pPr>
            <w:r/>
            <w:r>
              <w:rPr>
                <w:rFonts w:ascii="Times New Roman" w:hAnsi="Times New Roman" w:eastAsia="Times New Roman"/>
                <w:b w:val="0"/>
                <w:i w:val="0"/>
                <w:sz w:val="17"/>
              </w:rPr>
              <w:t>Razorpay-verified purchase advance</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r>
      <w:tr>
        <w:tc>
          <w:tcPr>
            <w:tcW w:type="dxa" w:w="1680"/>
          </w:tcPr>
          <w:p>
            <w:pPr>
              <w:jc w:val="left"/>
            </w:pPr>
            <w:r/>
            <w:r>
              <w:rPr>
                <w:rFonts w:ascii="Times New Roman" w:hAnsi="Times New Roman" w:eastAsia="Times New Roman"/>
                <w:b w:val="0"/>
                <w:i w:val="0"/>
                <w:sz w:val="17"/>
              </w:rPr>
              <w:t>Rental contract management</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Yes</w:t>
            </w:r>
          </w:p>
        </w:tc>
      </w:tr>
      <w:tr>
        <w:tc>
          <w:tcPr>
            <w:tcW w:type="dxa" w:w="1680"/>
          </w:tcPr>
          <w:p>
            <w:pPr>
              <w:jc w:val="left"/>
            </w:pPr>
            <w:r/>
            <w:r>
              <w:rPr>
                <w:rFonts w:ascii="Times New Roman" w:hAnsi="Times New Roman" w:eastAsia="Times New Roman"/>
                <w:b w:val="0"/>
                <w:i w:val="0"/>
                <w:sz w:val="17"/>
              </w:rPr>
              <w:t>Digital contract signing</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Partial</w:t>
            </w:r>
          </w:p>
        </w:tc>
        <w:tc>
          <w:tcPr>
            <w:tcW w:type="dxa" w:w="1680"/>
          </w:tcPr>
          <w:p>
            <w:pPr>
              <w:jc w:val="left"/>
            </w:pPr>
            <w:r/>
            <w:r>
              <w:rPr>
                <w:rFonts w:ascii="Times New Roman" w:hAnsi="Times New Roman" w:eastAsia="Times New Roman"/>
                <w:b w:val="0"/>
                <w:i w:val="0"/>
                <w:sz w:val="17"/>
              </w:rPr>
              <w:t>Yes</w:t>
            </w:r>
          </w:p>
        </w:tc>
      </w:tr>
      <w:tr>
        <w:tc>
          <w:tcPr>
            <w:tcW w:type="dxa" w:w="1680"/>
          </w:tcPr>
          <w:p>
            <w:pPr>
              <w:jc w:val="left"/>
            </w:pPr>
            <w:r/>
            <w:r>
              <w:rPr>
                <w:rFonts w:ascii="Times New Roman" w:hAnsi="Times New Roman" w:eastAsia="Times New Roman"/>
                <w:b w:val="0"/>
                <w:i w:val="0"/>
                <w:sz w:val="17"/>
              </w:rPr>
              <w:t>Real-time staff notifications</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r>
      <w:tr>
        <w:tc>
          <w:tcPr>
            <w:tcW w:type="dxa" w:w="1680"/>
          </w:tcPr>
          <w:p>
            <w:pPr>
              <w:jc w:val="left"/>
            </w:pPr>
            <w:r/>
            <w:r>
              <w:rPr>
                <w:rFonts w:ascii="Times New Roman" w:hAnsi="Times New Roman" w:eastAsia="Times New Roman"/>
                <w:b w:val="0"/>
                <w:i w:val="0"/>
                <w:sz w:val="17"/>
              </w:rPr>
              <w:t>AI chatbot assistance</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r>
      <w:tr>
        <w:tc>
          <w:tcPr>
            <w:tcW w:type="dxa" w:w="1680"/>
          </w:tcPr>
          <w:p>
            <w:pPr>
              <w:jc w:val="left"/>
            </w:pPr>
            <w:r/>
            <w:r>
              <w:rPr>
                <w:rFonts w:ascii="Times New Roman" w:hAnsi="Times New Roman" w:eastAsia="Times New Roman"/>
                <w:b w:val="0"/>
                <w:i w:val="0"/>
                <w:sz w:val="17"/>
              </w:rPr>
              <w:t>Maintenance/service tracking</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Yes</w:t>
            </w:r>
          </w:p>
        </w:tc>
      </w:tr>
      <w:tr>
        <w:tc>
          <w:tcPr>
            <w:tcW w:type="dxa" w:w="1680"/>
          </w:tcPr>
          <w:p>
            <w:pPr>
              <w:jc w:val="left"/>
            </w:pPr>
            <w:r/>
            <w:r>
              <w:rPr>
                <w:rFonts w:ascii="Times New Roman" w:hAnsi="Times New Roman" w:eastAsia="Times New Roman"/>
                <w:b w:val="0"/>
                <w:i w:val="0"/>
                <w:sz w:val="17"/>
              </w:rPr>
              <w:t>Accessible without enterprise budget</w:t>
            </w:r>
          </w:p>
        </w:tc>
        <w:tc>
          <w:tcPr>
            <w:tcW w:type="dxa" w:w="1680"/>
          </w:tcPr>
          <w:p>
            <w:pPr>
              <w:jc w:val="left"/>
            </w:pPr>
            <w:r/>
            <w:r>
              <w:rPr>
                <w:rFonts w:ascii="Times New Roman" w:hAnsi="Times New Roman" w:eastAsia="Times New Roman"/>
                <w:b w:val="0"/>
                <w:i w:val="0"/>
                <w:sz w:val="17"/>
              </w:rPr>
              <w:t>Yes</w:t>
            </w:r>
          </w:p>
        </w:tc>
        <w:tc>
          <w:tcPr>
            <w:tcW w:type="dxa" w:w="1680"/>
          </w:tcPr>
          <w:p>
            <w:pPr>
              <w:jc w:val="left"/>
            </w:pPr>
            <w:r/>
            <w:r>
              <w:rPr>
                <w:rFonts w:ascii="Times New Roman" w:hAnsi="Times New Roman" w:eastAsia="Times New Roman"/>
                <w:b w:val="0"/>
                <w:i w:val="0"/>
                <w:sz w:val="17"/>
              </w:rPr>
              <w:t>Yes (portal only)</w:t>
            </w:r>
          </w:p>
        </w:tc>
        <w:tc>
          <w:tcPr>
            <w:tcW w:type="dxa" w:w="1680"/>
          </w:tcPr>
          <w:p>
            <w:pPr>
              <w:jc w:val="left"/>
            </w:pPr>
            <w:r/>
            <w:r>
              <w:rPr>
                <w:rFonts w:ascii="Times New Roman" w:hAnsi="Times New Roman" w:eastAsia="Times New Roman"/>
                <w:b w:val="0"/>
                <w:i w:val="0"/>
                <w:sz w:val="17"/>
              </w:rPr>
              <w:t>Yes (portal only)</w:t>
            </w:r>
          </w:p>
        </w:tc>
        <w:tc>
          <w:tcPr>
            <w:tcW w:type="dxa" w:w="1680"/>
          </w:tcPr>
          <w:p>
            <w:pPr>
              <w:jc w:val="left"/>
            </w:pPr>
            <w:r/>
            <w:r>
              <w:rPr>
                <w:rFonts w:ascii="Times New Roman" w:hAnsi="Times New Roman" w:eastAsia="Times New Roman"/>
                <w:b w:val="0"/>
                <w:i w:val="0"/>
                <w:sz w:val="17"/>
              </w:rPr>
              <w:t>No</w:t>
            </w:r>
          </w:p>
        </w:tc>
        <w:tc>
          <w:tcPr>
            <w:tcW w:type="dxa" w:w="1680"/>
          </w:tcPr>
          <w:p>
            <w:pPr>
              <w:jc w:val="left"/>
            </w:pPr>
            <w:r/>
            <w:r>
              <w:rPr>
                <w:rFonts w:ascii="Times New Roman" w:hAnsi="Times New Roman" w:eastAsia="Times New Roman"/>
                <w:b w:val="0"/>
                <w:i w:val="0"/>
                <w:sz w:val="17"/>
              </w:rPr>
              <w:t>No</w:t>
            </w:r>
          </w:p>
        </w:tc>
      </w:tr>
    </w:tbl>
    <w:p>
      <w:pPr>
        <w:spacing w:after="80"/>
      </w:pPr>
    </w:p>
    <w:p>
      <w:pPr>
        <w:spacing w:line="240" w:lineRule="auto" w:after="120"/>
        <w:jc w:val="both"/>
      </w:pPr>
      <w:r>
        <w:rPr>
          <w:rFonts w:ascii="Times New Roman" w:hAnsi="Times New Roman" w:eastAsia="Times New Roman"/>
          <w:b w:val="0"/>
          <w:i w:val="0"/>
          <w:sz w:val="20"/>
        </w:rPr>
        <w:t>The comparison indicates that PropManage is the only evaluated system that combines full lifecycle coverage, cryptographically verified payment processing, and real-time operational notification within a cost profile accessible to small operators. Commercial platforms such as Buildium and AppFolio cover more of the lifecycle than listing portals such as Bayut.com or Dubizzle, but none of the four comparators offers verified purchase-advance processing, AI-assisted interaction, or a subscription-free deployment path.</w:t>
      </w:r>
    </w:p>
    <w:p>
      <w:pPr>
        <w:spacing w:line="240" w:lineRule="auto" w:after="120"/>
        <w:jc w:val="both"/>
      </w:pPr>
      <w:r>
        <w:rPr>
          <w:rFonts w:ascii="Times New Roman" w:hAnsi="Times New Roman" w:eastAsia="Times New Roman"/>
          <w:b/>
          <w:i w:val="0"/>
          <w:sz w:val="20"/>
        </w:rPr>
        <w:t>I. Discussion</w:t>
      </w:r>
    </w:p>
    <w:p>
      <w:pPr>
        <w:spacing w:line="240" w:lineRule="auto" w:after="120"/>
        <w:jc w:val="both"/>
      </w:pPr>
      <w:r>
        <w:rPr>
          <w:rFonts w:ascii="Times New Roman" w:hAnsi="Times New Roman" w:eastAsia="Times New Roman"/>
          <w:b w:val="0"/>
          <w:i w:val="0"/>
          <w:sz w:val="20"/>
        </w:rPr>
        <w:t>The results address the three research gaps identified in Section 2-F directly. First, the latency and load results (Sections 4-E and 4-F) demonstrate that the architectural choices reviewed in isolation in prior work — full-stack JavaScript architecture [3] and document-oriented persistence [10] — sustain acceptable performance when integrated within a multi-entity operational system rather than evaluated as standalone benchmarks. Second, the security results (Section 4-G) show that token verification, role enforcement, and payment-signature checking behave correctly not merely as isolated mechanisms, as in [7], [8], [9], but as components of a single deployed system subjected to adversarial testing end to end. Third, informal field observation over a one-week internal usage period recorded 147 booking and payment events, all 147 of which triggered a notification delivered to the connected administrative session within two seconds, together with two instances of primary AI-provider rate limiting, both of which were transparently and correctly resolved by failover to the secondary provider — directly evidencing the combined notification-and-continuity behavior that the reviewed chatbot and PropTech literature [1], [2], [5], [6] identifies as unresolved.</w:t>
      </w:r>
    </w:p>
    <w:p>
      <w:pPr>
        <w:spacing w:line="240" w:lineRule="auto" w:after="120"/>
        <w:jc w:val="both"/>
      </w:pPr>
      <w:r>
        <w:rPr>
          <w:rFonts w:ascii="Times New Roman" w:hAnsi="Times New Roman" w:eastAsia="Times New Roman"/>
          <w:b w:val="0"/>
          <w:i w:val="0"/>
          <w:sz w:val="20"/>
        </w:rPr>
        <w:t>One limitation surfaced during evaluation is architectural rather than functional: the administrative dashboard aggregates statistics across eight collections using a single parallelized query batch, which delivers low latency at the tested data scale but fails the entire dashboard request if any one of the eight constituent queries fails. A more fault-tolerant design would execute these queries independently and return partial results on partial failure; this is discussed further as a direction for future work in Section 5-B.</w:t>
      </w:r>
    </w:p>
    <w:p>
      <w:pPr>
        <w:spacing w:before="200" w:after="120" w:line="240" w:lineRule="auto"/>
        <w:jc w:val="center"/>
      </w:pPr>
      <w:r>
        <w:rPr>
          <w:rFonts w:ascii="Times New Roman" w:hAnsi="Times New Roman" w:eastAsia="Times New Roman"/>
          <w:b/>
          <w:i w:val="0"/>
          <w:sz w:val="22"/>
        </w:rPr>
        <w:t>5. Conclusion</w:t>
      </w:r>
    </w:p>
    <w:p>
      <w:pPr>
        <w:spacing w:line="240" w:lineRule="auto" w:after="120"/>
        <w:jc w:val="both"/>
      </w:pPr>
      <w:r>
        <w:rPr>
          <w:rFonts w:ascii="Times New Roman" w:hAnsi="Times New Roman" w:eastAsia="Times New Roman"/>
          <w:b/>
          <w:i w:val="0"/>
          <w:sz w:val="20"/>
        </w:rPr>
        <w:t>A. Conclusion</w:t>
      </w:r>
    </w:p>
    <w:p>
      <w:pPr>
        <w:spacing w:line="240" w:lineRule="auto" w:after="120"/>
        <w:jc w:val="both"/>
      </w:pPr>
      <w:r>
        <w:rPr>
          <w:rFonts w:ascii="Times New Roman" w:hAnsi="Times New Roman" w:eastAsia="Times New Roman"/>
          <w:b w:val="0"/>
          <w:i w:val="0"/>
          <w:sz w:val="20"/>
        </w:rPr>
        <w:t>This paper presented PropManage, a MERN-stack platform that unifies property cataloguing, visit scheduling, payment processing, contract administration, and maintenance tracking within a dual-portal, three-tier architecture. The evaluation reported in Section 4 confirms that the system meets each design objective stated in Section 3-A: all 38 functional test scenarios completed correctly, the platform sustained 100 concurrent users at sub-500-millisecond mean latency with an error rate below 0.2%, all fourteen adversarial security test cases behaved as specified, and field observation confirmed reliable sub-two-second delivery of real-time operational notifications together with correct automatic failover between AI providers. The comparative analysis in Section 4-H further shows that the proposed framework is the only evaluated system to combine full lifecycle coverage, cryptographically verified payment processing, and AI-assisted interaction within a cost profile accessible to small property management operators, directly closing the three research gaps identified in Section 2-F. Beyond this specific application domain, the results demonstrate more broadly that a freely available, full-stack JavaScript technology stack, combined with careful attention to token-verification correctness, payment-signature integrity, and provider redundancy, is sufficient to produce a production-quality system without an enterprise development budget.</w:t>
      </w:r>
    </w:p>
    <w:p>
      <w:pPr>
        <w:spacing w:line="240" w:lineRule="auto" w:after="120"/>
        <w:jc w:val="both"/>
      </w:pPr>
      <w:r>
        <w:rPr>
          <w:rFonts w:ascii="Times New Roman" w:hAnsi="Times New Roman" w:eastAsia="Times New Roman"/>
          <w:b/>
          <w:i w:val="0"/>
          <w:sz w:val="20"/>
        </w:rPr>
        <w:t>B. Future Work</w:t>
      </w:r>
    </w:p>
    <w:p>
      <w:pPr>
        <w:spacing w:line="240" w:lineRule="auto" w:after="120"/>
        <w:jc w:val="both"/>
      </w:pPr>
      <w:r>
        <w:rPr>
          <w:rFonts w:ascii="Times New Roman" w:hAnsi="Times New Roman" w:eastAsia="Times New Roman"/>
          <w:b w:val="0"/>
          <w:i w:val="0"/>
          <w:sz w:val="20"/>
        </w:rPr>
        <w:t>•  Tenant self-service portal: extending the user portal with dedicated tenant-facing views for maintenance submission and financial history, reducing inbound communication to administrative staff.</w:t>
        <w:br/>
        <w:t>•  Fault-tolerant analytics aggregation: replacing the single parallelized query batch identified in Section 4-I with independently executed queries that degrade gracefully under partial failure.</w:t>
        <w:br/>
        <w:t>•  Native mobile deployment: a React Native client sharing the existing REST API and business logic, adding push notifications and camera-based payment and maintenance evidence capture.</w:t>
        <w:br/>
        <w:t>•  Automated lease-renewal scheduling: background jobs issuing renewal reminders at fixed intervals ahead of contract expiry.</w:t>
        <w:br/>
        <w:t>•  Data export and reporting: CSV/PDF export of financial and booking data to support external business reporting.</w:t>
        <w:br/>
        <w:t>•  Multi-language and right-to-left interface support: extending the user portal to the target market's Arabic-speaking user base.</w:t>
        <w:br/>
        <w:t>•  Verifiable contract ledgering: exploration of a permissioned distributed-ledger layer for tamper-evident recording of executed contract terms.</w:t>
        <w:br/>
        <w:t>•  Predictive analytics: forecasting optimal rental pricing, vacancy periods, and late-payment risk from accumulated historical booking and payment data, moving the analytics module from descriptive to prescriptive.</w:t>
        <w:br/>
        <w:t>•  IoT and smart-building integration: coupling the platform with smart locks, meters, and building-automation systems for keyless viewing access and automated utility readings.</w:t>
      </w:r>
    </w:p>
    <w:p>
      <w:pPr>
        <w:spacing w:before="200" w:after="120" w:line="240" w:lineRule="auto"/>
        <w:jc w:val="center"/>
      </w:pPr>
      <w:r>
        <w:rPr>
          <w:rFonts w:ascii="Times New Roman" w:hAnsi="Times New Roman" w:eastAsia="Times New Roman"/>
          <w:b/>
          <w:i w:val="0"/>
          <w:sz w:val="22"/>
        </w:rPr>
        <w:t>References</w:t>
      </w:r>
    </w:p>
    <w:p>
      <w:pPr>
        <w:spacing w:line="240" w:lineRule="auto" w:after="80"/>
        <w:ind w:left="317" w:hanging="317"/>
        <w:jc w:val="both"/>
      </w:pPr>
      <w:r>
        <w:rPr>
          <w:rFonts w:ascii="Times New Roman" w:hAnsi="Times New Roman" w:eastAsia="Times New Roman"/>
          <w:b w:val="0"/>
          <w:i w:val="0"/>
          <w:sz w:val="18"/>
        </w:rPr>
        <w:t>[1] B. Al-haimi, H. Khalid, N. H. Zakaria, and T. H. Jasimin, “Digital transformation in the real estate industry: A systematic literature review of current technologies, benefits, and challenges,” Int. J. Inf. Manage. Data Insights, 2025.</w:t>
      </w:r>
    </w:p>
    <w:p>
      <w:pPr>
        <w:spacing w:line="240" w:lineRule="auto" w:after="80"/>
        <w:ind w:left="317" w:hanging="317"/>
        <w:jc w:val="both"/>
      </w:pPr>
      <w:r>
        <w:rPr>
          <w:rFonts w:ascii="Times New Roman" w:hAnsi="Times New Roman" w:eastAsia="Times New Roman"/>
          <w:b w:val="0"/>
          <w:i w:val="0"/>
          <w:sz w:val="18"/>
        </w:rPr>
        <w:t>[2] Z. Tan and N. G. Miller, “Connecting digitalization and sustainability: Proptech in the real estate operations and management,” J. Sustain. Real Estate, vol. 15, no. 1, 2023.</w:t>
      </w:r>
    </w:p>
    <w:p>
      <w:pPr>
        <w:spacing w:line="240" w:lineRule="auto" w:after="80"/>
        <w:ind w:left="317" w:hanging="317"/>
        <w:jc w:val="both"/>
      </w:pPr>
      <w:r>
        <w:rPr>
          <w:rFonts w:ascii="Times New Roman" w:hAnsi="Times New Roman" w:eastAsia="Times New Roman"/>
          <w:b w:val="0"/>
          <w:i w:val="0"/>
          <w:sz w:val="18"/>
        </w:rPr>
        <w:t>[3] N. Bhat, R. Sharma, A. Kaushik, and T. Jain, “MERN stack unveiled: A research study on the technology’s architecture and benefits,” Tuijin Jishu/J. Propulsion Technol., vol. 44, no. 1, 2023.</w:t>
      </w:r>
    </w:p>
    <w:p>
      <w:pPr>
        <w:spacing w:line="240" w:lineRule="auto" w:after="80"/>
        <w:ind w:left="317" w:hanging="317"/>
        <w:jc w:val="both"/>
      </w:pPr>
      <w:r>
        <w:rPr>
          <w:rFonts w:ascii="Times New Roman" w:hAnsi="Times New Roman" w:eastAsia="Times New Roman"/>
          <w:b w:val="0"/>
          <w:i w:val="0"/>
          <w:sz w:val="18"/>
        </w:rPr>
        <w:t>[4] I. Fette and A. Melnikov, “The WebSocket Protocol,” IETF RFC 6455, 2011.</w:t>
      </w:r>
    </w:p>
    <w:p>
      <w:pPr>
        <w:spacing w:line="240" w:lineRule="auto" w:after="80"/>
        <w:ind w:left="317" w:hanging="317"/>
        <w:jc w:val="both"/>
      </w:pPr>
      <w:r>
        <w:rPr>
          <w:rFonts w:ascii="Times New Roman" w:hAnsi="Times New Roman" w:eastAsia="Times New Roman"/>
          <w:b w:val="0"/>
          <w:i w:val="0"/>
          <w:sz w:val="18"/>
        </w:rPr>
        <w:t>[5] S. Meduri, “Revolutionizing customer service: The impact of large language models on chatbot performance,” Int. J. Sci. Res. Comput. Sci. Eng. Inf. Technol., vol. 10, no. 5, pp. 721–730, Nov. 2024.</w:t>
      </w:r>
    </w:p>
    <w:p>
      <w:pPr>
        <w:spacing w:line="240" w:lineRule="auto" w:after="80"/>
        <w:ind w:left="317" w:hanging="317"/>
        <w:jc w:val="both"/>
      </w:pPr>
      <w:r>
        <w:rPr>
          <w:rFonts w:ascii="Times New Roman" w:hAnsi="Times New Roman" w:eastAsia="Times New Roman"/>
          <w:b w:val="0"/>
          <w:i w:val="0"/>
          <w:sz w:val="18"/>
        </w:rPr>
        <w:t>[6] L. Aldhafeeri, F. Aljumah, F. Thabyan, M. Alabbad, S. AlShahrani, F. Alanazi, and A. Al-Nafjan, “Generative AI chatbots across domains: A systematic review,” Appl. Sci. (MDPI), vol. 15, no. 20, art. 11220, 2025.</w:t>
      </w:r>
    </w:p>
    <w:p>
      <w:pPr>
        <w:spacing w:line="240" w:lineRule="auto" w:after="80"/>
        <w:ind w:left="317" w:hanging="317"/>
        <w:jc w:val="both"/>
      </w:pPr>
      <w:r>
        <w:rPr>
          <w:rFonts w:ascii="Times New Roman" w:hAnsi="Times New Roman" w:eastAsia="Times New Roman"/>
          <w:b w:val="0"/>
          <w:i w:val="0"/>
          <w:sz w:val="18"/>
        </w:rPr>
        <w:t>[7] X. Bowen, S. Jia, J. Lin, F. Zheng, et al., “JWTKey: Automatic cryptographic vulnerability detection in JWT applications,” in Computer Security — ESORICS 2023, Springer LNCS, 2023.</w:t>
      </w:r>
    </w:p>
    <w:p>
      <w:pPr>
        <w:spacing w:line="240" w:lineRule="auto" w:after="80"/>
        <w:ind w:left="317" w:hanging="317"/>
        <w:jc w:val="both"/>
      </w:pPr>
      <w:r>
        <w:rPr>
          <w:rFonts w:ascii="Times New Roman" w:hAnsi="Times New Roman" w:eastAsia="Times New Roman"/>
          <w:b w:val="0"/>
          <w:i w:val="0"/>
          <w:sz w:val="18"/>
        </w:rPr>
        <w:t>[8] B. Rexha et al., “Enhancing JWT authentication and authorization in web applications based on user behavior history,” Information (MDPI), vol. 12, no. 4, art. 78, 2023.</w:t>
      </w:r>
    </w:p>
    <w:p>
      <w:pPr>
        <w:spacing w:line="240" w:lineRule="auto" w:after="80"/>
        <w:ind w:left="317" w:hanging="317"/>
        <w:jc w:val="both"/>
      </w:pPr>
      <w:r>
        <w:rPr>
          <w:rFonts w:ascii="Times New Roman" w:hAnsi="Times New Roman" w:eastAsia="Times New Roman"/>
          <w:b w:val="0"/>
          <w:i w:val="0"/>
          <w:sz w:val="18"/>
        </w:rPr>
        <w:t>[9] OWASP Foundation, “OWASP API Security Top 10,” 2023.</w:t>
      </w:r>
    </w:p>
    <w:p>
      <w:pPr>
        <w:spacing w:line="240" w:lineRule="auto" w:after="80"/>
        <w:ind w:left="317" w:hanging="317"/>
        <w:jc w:val="both"/>
      </w:pPr>
      <w:r>
        <w:rPr>
          <w:rFonts w:ascii="Times New Roman" w:hAnsi="Times New Roman" w:eastAsia="Times New Roman"/>
          <w:b w:val="0"/>
          <w:i w:val="0"/>
          <w:sz w:val="18"/>
        </w:rPr>
        <w:t>[10] J. Urnikienė, V. Steponavičienė, and S. Atanasov, “Comparative read performance analysis of PostgreSQL and MongoDB in e-commerce: An empirical study of filtering and analytical queries,” Big Data Cogn. Comput. (MDPI), vol. 10, no. 2, art. 66, 2026.</w:t>
      </w:r>
    </w:p>
    <w:p>
      <w:pPr>
        <w:spacing w:line="240" w:lineRule="auto" w:after="80"/>
        <w:ind w:left="317" w:hanging="317"/>
        <w:jc w:val="both"/>
      </w:pPr>
      <w:r>
        <w:rPr>
          <w:rFonts w:ascii="Times New Roman" w:hAnsi="Times New Roman" w:eastAsia="Times New Roman"/>
          <w:b w:val="0"/>
          <w:i w:val="0"/>
          <w:sz w:val="18"/>
        </w:rPr>
        <w:t>[11] D. F. Ferraiolo, R. Sandhu, S. Gavrila, D. R. Kuhn, and R. Chandramouli, “Proposed NIST standard for role-based access control,” ACM Trans. Inf. Syst. Secur., vol. 4, no. 3, 2001.</w:t>
      </w:r>
    </w:p>
    <w:p>
      <w:pPr>
        <w:spacing w:line="240" w:lineRule="auto" w:after="80"/>
        <w:ind w:left="317" w:hanging="317"/>
        <w:jc w:val="both"/>
      </w:pPr>
      <w:r>
        <w:rPr>
          <w:rFonts w:ascii="Times New Roman" w:hAnsi="Times New Roman" w:eastAsia="Times New Roman"/>
          <w:b w:val="0"/>
          <w:i w:val="0"/>
          <w:sz w:val="18"/>
        </w:rPr>
        <w:t>[12] R. T. Fielding, “Architectural Styles and the Design of Network-based Software Architectures,” Ph.D. dissertation, Univ. of California, Irvine, 2000.</w:t>
      </w:r>
    </w:p>
    <w:p>
      <w:pPr>
        <w:spacing w:line="240" w:lineRule="auto" w:after="80"/>
        <w:ind w:left="317" w:hanging="317"/>
        <w:jc w:val="both"/>
      </w:pPr>
      <w:r>
        <w:rPr>
          <w:rFonts w:ascii="Times New Roman" w:hAnsi="Times New Roman" w:eastAsia="Times New Roman"/>
          <w:b w:val="0"/>
          <w:i w:val="0"/>
          <w:sz w:val="18"/>
        </w:rPr>
        <w:t>[13] M. Jones, J. Bradley, and N. Sakimura, “JSON Web Token (JWT),” IETF RFC 7519, 2015.</w:t>
      </w:r>
    </w:p>
    <w:sectPr w:rsidR="00FC693F" w:rsidRPr="0006063C" w:rsidSect="00034616">
      <w:type w:val="continuous"/>
      <w:pgSz w:w="12240" w:h="15840"/>
      <w:pgMar w:top="1080" w:right="1080" w:bottom="108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