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building a neural network that inputs a picture of a person's face and outputs N landmarks on the face (assume that the input image contains exactly one face), which is true about y^(i)?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The output y^(i) of a neural network that outputs N landmarks on a face would have shape (2N, 1).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reason for this is that each landmark on the face will have two coordinates: an x-coordinate and a y-coordinate. Hence, for N landmarks, there would be 2N coordinates. The shape of the output y^(i) thus would be (2N, 1), where each pair of values corresponds to the x and y coordinates of a landmark.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 that y^(i) does not store the probability that a landmark is in a given position over the face. Instead, it directly predicts the coordinates of the landmarks. 1 represents the column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Suppose you are using YOLO on a 19x19 grid, on a detection problem with 20 classes, and with 5 anchor boxes. During training, for each image you will need to construct an output volume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 as the target value for the neural network; this corresponds to the last layer of the neural network.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 may include some “?”, or “don’t cares”). What is the dimension of this output volume?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When using YOLO on a 19x19 grid with 20 classes and 5 anchor boxes, the output volume dimension can be computed as follows: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each anchor box, we have: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 class probabilities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 bounding box values (x, y, h, w, and objectness score)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So, for each anchor box, we have a total of 20 + 5 = 25 values.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Since we have 5 anchor boxes, the total values per grid cell are 5 * 25 = 125.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the grid is 19x19, the output volume's dimension will be 19x19x125.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When using the U-Net architecture with an input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ℎ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h×w×c, where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 denotes the number of channels, the output will always have the shape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h×w×c. True/False?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Which of the following do you agree with about the use of anchor boxes in YOLO? Check all that apply?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how to choose correct anchor box among that 5 anchor boxes: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During the inference process, each anchor box will predict an object and the associated bounding box. Each prediction will be associated with a confidence score, which represents how confident the model is that the predicted bounding box actually encloses an object, and how accurate it thinks the box is.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 choose the correct anchor box among the 5 (or however many you have), you typically pick the one with the highest confidence score. However, to prevent multiple boxes for the same object, non-max suppression is used.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non-max suppression, you: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Sort the predictions by the confidence scores.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Start from the top of this list, select that prediction and remove any remaining predictions that have high Intersection over Union (IoU) with the one you just picked.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Repeat step 2 until no more predictions remain.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At the end of this process, you will be left with the predictions that the model believes to be the most accurate.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