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20" w:rsidRDefault="005932B5" w:rsidP="00DB7220">
      <w:pPr>
        <w:tabs>
          <w:tab w:val="left" w:pos="2800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-900753</wp:posOffset>
            </wp:positionH>
            <wp:positionV relativeFrom="paragraph">
              <wp:posOffset>-900752</wp:posOffset>
            </wp:positionV>
            <wp:extent cx="7555509" cy="106861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78" cy="10689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220">
        <w:rPr>
          <w:b/>
          <w:sz w:val="28"/>
          <w:szCs w:val="28"/>
          <w:lang w:val="en-US"/>
        </w:rPr>
        <w:br w:type="page"/>
      </w: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  <w:bookmarkStart w:id="0" w:name="_GoBack"/>
      <w:bookmarkEnd w:id="0"/>
    </w:p>
    <w:p w:rsidR="00DB7220" w:rsidRDefault="00DB7220">
      <w:pPr>
        <w:rPr>
          <w:noProof/>
          <w:lang w:val="en-US" w:eastAsia="id-ID"/>
        </w:rPr>
      </w:pPr>
    </w:p>
    <w:p w:rsidR="00DB7220" w:rsidRDefault="00DB7220">
      <w:pPr>
        <w:rPr>
          <w:noProof/>
          <w:lang w:val="en-US" w:eastAsia="id-ID"/>
        </w:rPr>
      </w:pPr>
      <w:r>
        <w:rPr>
          <w:noProof/>
          <w:lang w:val="en-US" w:eastAsia="id-ID"/>
        </w:rPr>
        <w:t>Foto caption:</w:t>
      </w:r>
    </w:p>
    <w:p w:rsidR="00DB7220" w:rsidRPr="00DB7220" w:rsidRDefault="00DB7220" w:rsidP="00DB7220">
      <w:pPr>
        <w:pStyle w:val="ListParagraph"/>
        <w:numPr>
          <w:ilvl w:val="0"/>
          <w:numId w:val="10"/>
        </w:numPr>
        <w:rPr>
          <w:noProof/>
          <w:lang w:val="en-US" w:eastAsia="id-ID"/>
        </w:rPr>
      </w:pPr>
      <w:r w:rsidRPr="00DB7220">
        <w:rPr>
          <w:noProof/>
          <w:lang w:val="en-US" w:eastAsia="id-ID"/>
        </w:rPr>
        <w:t>Left: Stakeholder workshop on FGM/C organized by Ministry of Women Empowerment and Child Protection with UNFPA support (Jakarta, 13 December 2016)</w:t>
      </w:r>
    </w:p>
    <w:p w:rsidR="00DB7220" w:rsidRPr="00DB7220" w:rsidRDefault="00DB7220" w:rsidP="00DB7220">
      <w:pPr>
        <w:pStyle w:val="ListParagraph"/>
        <w:numPr>
          <w:ilvl w:val="0"/>
          <w:numId w:val="10"/>
        </w:numPr>
        <w:rPr>
          <w:noProof/>
          <w:lang w:val="en-US" w:eastAsia="id-ID"/>
        </w:rPr>
      </w:pPr>
      <w:r w:rsidRPr="00DB7220">
        <w:rPr>
          <w:noProof/>
          <w:lang w:val="en-US" w:eastAsia="id-ID"/>
        </w:rPr>
        <w:t>Right: Validation meeting on stakeholder mapping analysis chaired by the Deputy of Child Protection – Ministry of Women Emporment and Child Protection (Jakarta, 28 December 2016)</w:t>
      </w:r>
    </w:p>
    <w:p w:rsidR="00DB7220" w:rsidRDefault="00DB7220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50191B" w:rsidRPr="00000F17" w:rsidRDefault="00561722" w:rsidP="0056172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DFAT - U</w:t>
      </w:r>
      <w:r w:rsidR="009749A7" w:rsidRPr="00000F17">
        <w:rPr>
          <w:b/>
          <w:sz w:val="28"/>
          <w:szCs w:val="28"/>
          <w:lang w:val="en-US"/>
        </w:rPr>
        <w:t>NFPA 2016 Progress Report</w:t>
      </w:r>
    </w:p>
    <w:p w:rsidR="009749A7" w:rsidRPr="00000F17" w:rsidRDefault="009749A7" w:rsidP="00000F17">
      <w:pPr>
        <w:jc w:val="center"/>
        <w:rPr>
          <w:b/>
          <w:sz w:val="28"/>
          <w:szCs w:val="28"/>
          <w:lang w:val="en-US"/>
        </w:rPr>
      </w:pPr>
      <w:r w:rsidRPr="00000F17">
        <w:rPr>
          <w:b/>
          <w:sz w:val="28"/>
          <w:szCs w:val="28"/>
          <w:lang w:val="en-US"/>
        </w:rPr>
        <w:t>Study on Medicalization of FGM/C in Indonesia</w:t>
      </w:r>
    </w:p>
    <w:p w:rsidR="009749A7" w:rsidRPr="0017676C" w:rsidRDefault="00561722" w:rsidP="0017676C">
      <w:pPr>
        <w:jc w:val="center"/>
        <w:rPr>
          <w:b/>
          <w:lang w:val="en-US"/>
        </w:rPr>
      </w:pPr>
      <w:r w:rsidRPr="0017676C">
        <w:rPr>
          <w:b/>
          <w:lang w:val="en-US"/>
        </w:rPr>
        <w:t>Submitted: January 19, 2017</w:t>
      </w:r>
    </w:p>
    <w:p w:rsidR="009749A7" w:rsidRPr="0017676C" w:rsidRDefault="009749A7" w:rsidP="0017676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17676C">
        <w:rPr>
          <w:b/>
          <w:lang w:val="en-US"/>
        </w:rPr>
        <w:t>Background</w:t>
      </w:r>
    </w:p>
    <w:p w:rsidR="00887898" w:rsidRPr="001A548C" w:rsidRDefault="00887898" w:rsidP="00887898">
      <w:pPr>
        <w:jc w:val="both"/>
      </w:pPr>
      <w:r w:rsidRPr="001A548C">
        <w:t>The issue of FGM/C</w:t>
      </w:r>
      <w:r w:rsidR="00E627D9">
        <w:rPr>
          <w:lang w:val="en-US"/>
        </w:rPr>
        <w:t xml:space="preserve"> (Female Genital Mutilation/ Cutting)</w:t>
      </w:r>
      <w:r w:rsidRPr="001A548C">
        <w:t xml:space="preserve"> remains a challenge in many countries, including in Indonesia. In Indonesia, the issue of FGM/C is complex as it is a mixture of several different issues at once, namely culture, religious belief and political interest, human rights</w:t>
      </w:r>
      <w:r>
        <w:t xml:space="preserve"> </w:t>
      </w:r>
      <w:r w:rsidRPr="001A548C">
        <w:t xml:space="preserve">and health. There is no clear evidence on when FGM/C was first practiced, who brought this to Indonesia, and which sub-culture started the practice. The issue of FGM/C, however, is often associated with Muslim communities since some believe that the practice is related to the Islamic teachings, although others argue that FGM/C had been practiced before the arrival of Islam in the country. </w:t>
      </w:r>
    </w:p>
    <w:p w:rsidR="00887898" w:rsidRDefault="00887898" w:rsidP="00887898">
      <w:pPr>
        <w:jc w:val="both"/>
      </w:pPr>
      <w:r w:rsidRPr="001A548C">
        <w:rPr>
          <w:rFonts w:eastAsia="Calibri"/>
          <w:lang w:eastAsia="en-GB"/>
        </w:rPr>
        <w:t xml:space="preserve">The United Nations maintains that the underlying reasons for the practice vary across cultures, between and within communities; however, under the cultural, religious and social surface, it becomes clear that </w:t>
      </w:r>
      <w:r>
        <w:rPr>
          <w:rFonts w:eastAsia="Calibri"/>
          <w:lang w:eastAsia="en-GB"/>
        </w:rPr>
        <w:t>the practice is deeply</w:t>
      </w:r>
      <w:r w:rsidRPr="001A548C">
        <w:rPr>
          <w:rFonts w:eastAsia="Calibri"/>
          <w:lang w:eastAsia="en-GB"/>
        </w:rPr>
        <w:t xml:space="preserve"> rooted in gender-based discrimination and harmful gender stereotypes about the role of women and girls in society (General Assembly of Human Rights Council, the United Nations, 2015)</w:t>
      </w:r>
      <w:r>
        <w:rPr>
          <w:rFonts w:eastAsia="Calibri"/>
          <w:lang w:eastAsia="en-GB"/>
        </w:rPr>
        <w:t>.</w:t>
      </w:r>
      <w:r>
        <w:rPr>
          <w:rFonts w:eastAsia="Calibri"/>
          <w:lang w:val="en-US" w:eastAsia="en-GB"/>
        </w:rPr>
        <w:t xml:space="preserve">  </w:t>
      </w:r>
      <w:r w:rsidRPr="001A548C">
        <w:t>The 2013 National Basic Health Research/RISKESDAS conducted by Health Research and Development Board/Balitbangkes of MOH found that 51% of girls age</w:t>
      </w:r>
      <w:r>
        <w:t>d</w:t>
      </w:r>
      <w:r w:rsidRPr="001A548C">
        <w:t xml:space="preserve"> 0-11 years experienced FGM/C</w:t>
      </w:r>
    </w:p>
    <w:p w:rsidR="00887898" w:rsidRDefault="00887898" w:rsidP="00887898">
      <w:pPr>
        <w:spacing w:before="100" w:beforeAutospacing="1" w:after="100" w:afterAutospacing="1"/>
        <w:jc w:val="both"/>
      </w:pPr>
      <w:r w:rsidRPr="001A548C">
        <w:t>In 2006,</w:t>
      </w:r>
      <w:r>
        <w:t xml:space="preserve"> the </w:t>
      </w:r>
      <w:r w:rsidRPr="001A548C">
        <w:t>Ministry of Health (MoH) issued a decree that banned all forms of Female Genital Cutting by medical professionals</w:t>
      </w:r>
      <w:r w:rsidRPr="001A548C">
        <w:rPr>
          <w:color w:val="000000" w:themeColor="text1"/>
        </w:rPr>
        <w:t xml:space="preserve">. </w:t>
      </w:r>
      <w:r w:rsidRPr="001A548C">
        <w:t xml:space="preserve">The decree then was pressured by the Indonesian Council of Ulama (MUI), who issued a </w:t>
      </w:r>
      <w:r w:rsidRPr="001A548C">
        <w:rPr>
          <w:i/>
        </w:rPr>
        <w:t>fatwa</w:t>
      </w:r>
      <w:r w:rsidRPr="001A548C">
        <w:t xml:space="preserve"> in 2008 declaring that the banning of FGM/C is against Islamic law. The MUI considered FGM/C as: </w:t>
      </w:r>
      <w:r w:rsidRPr="001A548C">
        <w:rPr>
          <w:i/>
          <w:iCs/>
        </w:rPr>
        <w:t>fitrah, syiar Islam and makrumah</w:t>
      </w:r>
      <w:r>
        <w:rPr>
          <w:i/>
          <w:iCs/>
        </w:rPr>
        <w:t xml:space="preserve"> </w:t>
      </w:r>
      <w:r w:rsidRPr="001A548C">
        <w:t>(</w:t>
      </w:r>
      <w:r w:rsidRPr="001A548C">
        <w:rPr>
          <w:color w:val="000000" w:themeColor="text1"/>
        </w:rPr>
        <w:t>The Fatwa Commission of The Indonesia Ulema Council, 2009)</w:t>
      </w:r>
      <w:r w:rsidRPr="001A548C">
        <w:rPr>
          <w:i/>
          <w:iCs/>
        </w:rPr>
        <w:t xml:space="preserve">. </w:t>
      </w:r>
      <w:r w:rsidRPr="001A548C">
        <w:t>In 2010, the MoH issued a decree on FGM/C technical guidelines, based on the MUI fatwa, allowing medical professionals to perform FGM/C (</w:t>
      </w:r>
      <w:r w:rsidRPr="001A548C">
        <w:rPr>
          <w:color w:val="000000" w:themeColor="text1"/>
        </w:rPr>
        <w:t>Berita Negara Republik Indonesia, 2010 No. 672)</w:t>
      </w:r>
      <w:r w:rsidRPr="001A548C">
        <w:t xml:space="preserve">. The MoH decree was considered by many observers as a form of legitimizing the practice. </w:t>
      </w:r>
    </w:p>
    <w:p w:rsidR="00887898" w:rsidRPr="00810421" w:rsidRDefault="00887898" w:rsidP="00E627D9">
      <w:pPr>
        <w:spacing w:before="100" w:beforeAutospacing="1" w:after="100" w:afterAutospacing="1"/>
        <w:jc w:val="both"/>
      </w:pPr>
      <w:r w:rsidRPr="001A548C">
        <w:t>In 2014, the MoH issued a ministerial decree</w:t>
      </w:r>
      <w:r>
        <w:t xml:space="preserve"> as quoted below</w:t>
      </w:r>
      <w:r w:rsidRPr="001A548C">
        <w:t>, with a specific clause  revoking the 2010 decree</w:t>
      </w:r>
      <w:r>
        <w:t xml:space="preserve"> (article 1)</w:t>
      </w:r>
      <w:r w:rsidRPr="001A548C">
        <w:t>, considering the lack of health benefits and the harmful risk brought about by this</w:t>
      </w:r>
      <w:r>
        <w:t xml:space="preserve"> </w:t>
      </w:r>
      <w:r w:rsidRPr="001A548C">
        <w:t>practice (</w:t>
      </w:r>
      <w:r w:rsidRPr="001A548C">
        <w:rPr>
          <w:color w:val="000000" w:themeColor="text1"/>
        </w:rPr>
        <w:t>Berita Negara Republik Indonesia, 2014 No. 185</w:t>
      </w:r>
      <w:r>
        <w:rPr>
          <w:color w:val="000000" w:themeColor="text1"/>
          <w:lang w:val="en-US"/>
        </w:rPr>
        <w:t xml:space="preserve">).  </w:t>
      </w:r>
      <w:r>
        <w:t>For</w:t>
      </w:r>
      <w:r w:rsidRPr="001A548C">
        <w:t xml:space="preserve"> many, the 2014</w:t>
      </w:r>
      <w:r>
        <w:rPr>
          <w:lang w:val="en-US"/>
        </w:rPr>
        <w:t xml:space="preserve"> </w:t>
      </w:r>
      <w:r w:rsidRPr="001A548C">
        <w:t>MoH regulation does not provide a clear stance whether Indonesia bans or allows medical FGM/C</w:t>
      </w:r>
      <w:r>
        <w:t xml:space="preserve"> due to the existe</w:t>
      </w:r>
      <w:r w:rsidRPr="00810421">
        <w:t>nce of</w:t>
      </w:r>
      <w:r w:rsidR="00045A7B">
        <w:rPr>
          <w:lang w:val="en-US"/>
        </w:rPr>
        <w:t xml:space="preserve"> </w:t>
      </w:r>
      <w:r w:rsidRPr="00810421">
        <w:t xml:space="preserve">the article 2 of the 2014. </w:t>
      </w:r>
    </w:p>
    <w:p w:rsidR="00887898" w:rsidRDefault="00887898" w:rsidP="00E627D9">
      <w:pPr>
        <w:jc w:val="both"/>
        <w:rPr>
          <w:shd w:val="clear" w:color="auto" w:fill="FFFFFF"/>
          <w:lang w:val="en-US"/>
        </w:rPr>
      </w:pPr>
      <w:r w:rsidRPr="00442672">
        <w:rPr>
          <w:shd w:val="clear" w:color="auto" w:fill="FFFFFF"/>
        </w:rPr>
        <w:t>One of the conclusions is that there is a lack of evidence on FGM/C practices to support evidence based policy formulation. UNFPA discussed the initiative to conduct an FGM/C study, specifically the medicalization aspect with MOWE CP and MoH. The MoH, in particular, has expressed their interest in supporting the study and being involved in every step of the study.</w:t>
      </w:r>
      <w:r>
        <w:rPr>
          <w:shd w:val="clear" w:color="auto" w:fill="FFFFFF"/>
          <w:lang w:val="en-US"/>
        </w:rPr>
        <w:t xml:space="preserve">  With the support of DFAT, UNFPA</w:t>
      </w:r>
      <w:r w:rsidR="00045A7B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in collaboration with </w:t>
      </w:r>
      <w:r w:rsidR="00E627D9">
        <w:rPr>
          <w:lang w:val="en-US"/>
        </w:rPr>
        <w:t>National</w:t>
      </w:r>
      <w:r w:rsidR="00E627D9">
        <w:t xml:space="preserve"> Commission on Violence Against Women (NCVAW)</w:t>
      </w:r>
      <w:r w:rsidR="00E627D9">
        <w:rPr>
          <w:lang w:val="en-US"/>
        </w:rPr>
        <w:t xml:space="preserve"> and Center for Population and Policy Studies Gajah </w:t>
      </w:r>
      <w:proofErr w:type="spellStart"/>
      <w:r w:rsidR="00E627D9">
        <w:rPr>
          <w:lang w:val="en-US"/>
        </w:rPr>
        <w:t>Mada</w:t>
      </w:r>
      <w:proofErr w:type="spellEnd"/>
      <w:r w:rsidR="00E627D9">
        <w:rPr>
          <w:lang w:val="en-US"/>
        </w:rPr>
        <w:t xml:space="preserve"> University (CPPS – GMU</w:t>
      </w:r>
      <w:r w:rsidR="00045A7B">
        <w:rPr>
          <w:lang w:val="en-US"/>
        </w:rPr>
        <w:t>),</w:t>
      </w:r>
      <w:r>
        <w:rPr>
          <w:shd w:val="clear" w:color="auto" w:fill="FFFFFF"/>
          <w:lang w:val="en-US"/>
        </w:rPr>
        <w:t xml:space="preserve"> is conducting the study on medicalizat</w:t>
      </w:r>
      <w:r w:rsidR="00DE4832">
        <w:rPr>
          <w:shd w:val="clear" w:color="auto" w:fill="FFFFFF"/>
          <w:lang w:val="en-US"/>
        </w:rPr>
        <w:t>ion of FGM/C</w:t>
      </w:r>
      <w:r w:rsidR="00045A7B">
        <w:rPr>
          <w:shd w:val="clear" w:color="auto" w:fill="FFFFFF"/>
          <w:lang w:val="en-US"/>
        </w:rPr>
        <w:t>,</w:t>
      </w:r>
      <w:r w:rsidR="00DE4832">
        <w:rPr>
          <w:shd w:val="clear" w:color="auto" w:fill="FFFFFF"/>
          <w:lang w:val="en-US"/>
        </w:rPr>
        <w:t xml:space="preserve"> for the period of June 2016 until December 2017.</w:t>
      </w:r>
    </w:p>
    <w:p w:rsidR="00DE4832" w:rsidRDefault="00DE4832" w:rsidP="00E627D9">
      <w:pPr>
        <w:jc w:val="both"/>
      </w:pPr>
      <w:r w:rsidRPr="001A548C">
        <w:t>The design of the study will use descriptive cross sectional study design</w:t>
      </w:r>
      <w:r>
        <w:t xml:space="preserve"> </w:t>
      </w:r>
      <w:r w:rsidRPr="001A548C">
        <w:t xml:space="preserve">applying both qualitative and quantitative approaches; utilizing structured questionnaire, in-depth interviews and </w:t>
      </w:r>
      <w:r>
        <w:t xml:space="preserve">focus-group </w:t>
      </w:r>
      <w:r>
        <w:lastRenderedPageBreak/>
        <w:t>discussions (</w:t>
      </w:r>
      <w:r w:rsidRPr="001A548C">
        <w:t>FGDs</w:t>
      </w:r>
      <w:r>
        <w:t>)</w:t>
      </w:r>
      <w:r w:rsidRPr="001A548C">
        <w:t xml:space="preserve"> techniques amongst health workers and the community. </w:t>
      </w:r>
      <w:r>
        <w:rPr>
          <w:lang w:val="en-US"/>
        </w:rPr>
        <w:t xml:space="preserve">  </w:t>
      </w:r>
      <w:r w:rsidRPr="001A548C">
        <w:t>Sample</w:t>
      </w:r>
      <w:r w:rsidR="00045A7B">
        <w:rPr>
          <w:lang w:val="en-US"/>
        </w:rPr>
        <w:t>s</w:t>
      </w:r>
      <w:r w:rsidRPr="001A548C">
        <w:t xml:space="preserve"> will be drawn from 2010 Population and Housing Census.  The sampling frame used is </w:t>
      </w:r>
      <w:r w:rsidR="00045A7B">
        <w:rPr>
          <w:lang w:val="en-US"/>
        </w:rPr>
        <w:t xml:space="preserve">a </w:t>
      </w:r>
      <w:r w:rsidRPr="001A548C">
        <w:t>multi stage random sampling at district level</w:t>
      </w:r>
      <w:r>
        <w:rPr>
          <w:lang w:val="en-US"/>
        </w:rPr>
        <w:t xml:space="preserve"> in</w:t>
      </w:r>
      <w:r>
        <w:t xml:space="preserve"> ten</w:t>
      </w:r>
      <w:r w:rsidRPr="001A548C">
        <w:t xml:space="preserve"> provinces with 17 selected districts</w:t>
      </w:r>
      <w:r>
        <w:rPr>
          <w:lang w:val="en-US"/>
        </w:rPr>
        <w:t>.</w:t>
      </w:r>
    </w:p>
    <w:p w:rsidR="00AC4BAD" w:rsidRDefault="00AC4BAD">
      <w:pPr>
        <w:rPr>
          <w:b/>
          <w:lang w:val="en-US"/>
        </w:rPr>
      </w:pPr>
      <w:r>
        <w:rPr>
          <w:b/>
          <w:lang w:val="en-US"/>
        </w:rPr>
        <w:t xml:space="preserve">Policy Principal to </w:t>
      </w:r>
      <w:r w:rsidR="00561722">
        <w:rPr>
          <w:b/>
          <w:lang w:val="en-US"/>
        </w:rPr>
        <w:t>P</w:t>
      </w:r>
      <w:r>
        <w:rPr>
          <w:b/>
          <w:lang w:val="en-US"/>
        </w:rPr>
        <w:t>rotect the Rights of Children</w:t>
      </w:r>
    </w:p>
    <w:p w:rsidR="00AC4BAD" w:rsidRDefault="00AC4BAD" w:rsidP="00E627D9">
      <w:pPr>
        <w:jc w:val="both"/>
        <w:rPr>
          <w:lang w:val="en-US"/>
        </w:rPr>
      </w:pPr>
      <w:r w:rsidRPr="00AC4BAD">
        <w:rPr>
          <w:lang w:val="en-US"/>
        </w:rPr>
        <w:t>Th</w:t>
      </w:r>
      <w:r>
        <w:rPr>
          <w:lang w:val="en-US"/>
        </w:rPr>
        <w:t xml:space="preserve">e </w:t>
      </w:r>
      <w:r w:rsidR="00045A7B">
        <w:rPr>
          <w:lang w:val="en-US"/>
        </w:rPr>
        <w:t>s</w:t>
      </w:r>
      <w:r>
        <w:rPr>
          <w:lang w:val="en-US"/>
        </w:rPr>
        <w:t xml:space="preserve">tudy will be governed by the United Nations Human Rights Treaties and Treaty Bodies, notably CEDAW, CAT, and CRC.  The </w:t>
      </w:r>
      <w:r w:rsidR="00B2370E">
        <w:rPr>
          <w:lang w:val="en-US"/>
        </w:rPr>
        <w:t>two institutions that will be working with UNFPA</w:t>
      </w:r>
      <w:r w:rsidR="00E627D9">
        <w:rPr>
          <w:lang w:val="en-US"/>
        </w:rPr>
        <w:t>, National</w:t>
      </w:r>
      <w:r w:rsidR="00C97828">
        <w:t xml:space="preserve"> Commission on</w:t>
      </w:r>
      <w:r w:rsidR="00E627D9">
        <w:t xml:space="preserve"> Violence Against Women (NCVAW)</w:t>
      </w:r>
      <w:r w:rsidR="00E627D9">
        <w:rPr>
          <w:lang w:val="en-US"/>
        </w:rPr>
        <w:t xml:space="preserve"> </w:t>
      </w:r>
      <w:r w:rsidR="00B2370E">
        <w:rPr>
          <w:lang w:val="en-US"/>
        </w:rPr>
        <w:t xml:space="preserve">and </w:t>
      </w:r>
      <w:r w:rsidR="00E627D9">
        <w:rPr>
          <w:lang w:val="en-US"/>
        </w:rPr>
        <w:t xml:space="preserve">Center for Population and Policy Studies Gajah </w:t>
      </w:r>
      <w:proofErr w:type="spellStart"/>
      <w:r w:rsidR="00E627D9">
        <w:rPr>
          <w:lang w:val="en-US"/>
        </w:rPr>
        <w:t>Mada</w:t>
      </w:r>
      <w:proofErr w:type="spellEnd"/>
      <w:r w:rsidR="00E627D9">
        <w:rPr>
          <w:lang w:val="en-US"/>
        </w:rPr>
        <w:t xml:space="preserve"> University (CPPS – GMU)</w:t>
      </w:r>
      <w:r w:rsidR="00045A7B">
        <w:rPr>
          <w:lang w:val="en-US"/>
        </w:rPr>
        <w:t>,</w:t>
      </w:r>
      <w:r w:rsidR="00E627D9">
        <w:rPr>
          <w:lang w:val="en-US"/>
        </w:rPr>
        <w:t xml:space="preserve"> </w:t>
      </w:r>
      <w:r w:rsidR="00B2370E">
        <w:rPr>
          <w:lang w:val="en-US"/>
        </w:rPr>
        <w:t>are valued and respected for their Human Rights perspective</w:t>
      </w:r>
      <w:r w:rsidR="00005451">
        <w:rPr>
          <w:lang w:val="en-US"/>
        </w:rPr>
        <w:t xml:space="preserve"> and commitment</w:t>
      </w:r>
      <w:r w:rsidR="00B2370E">
        <w:rPr>
          <w:lang w:val="en-US"/>
        </w:rPr>
        <w:t xml:space="preserve">.  </w:t>
      </w:r>
      <w:r w:rsidR="00E627D9">
        <w:rPr>
          <w:lang w:val="en-US"/>
        </w:rPr>
        <w:t>NCVAW is</w:t>
      </w:r>
      <w:r w:rsidR="00B2370E">
        <w:rPr>
          <w:lang w:val="en-US"/>
        </w:rPr>
        <w:t xml:space="preserve"> one of the three National Human Rights Institutions in Indonesia and one of the most independent and respectable.</w:t>
      </w:r>
    </w:p>
    <w:p w:rsidR="00B2370E" w:rsidRDefault="00B2370E" w:rsidP="00E627D9">
      <w:pPr>
        <w:jc w:val="both"/>
      </w:pPr>
      <w:r>
        <w:rPr>
          <w:lang w:val="en-US"/>
        </w:rPr>
        <w:t>The DFAT Child Protection Policy Document, and the pertinent regulation of page 13 of the po</w:t>
      </w:r>
      <w:r w:rsidR="00005451">
        <w:rPr>
          <w:lang w:val="en-US"/>
        </w:rPr>
        <w:t xml:space="preserve">licy guidelines, </w:t>
      </w:r>
      <w:r w:rsidR="00045A7B">
        <w:rPr>
          <w:lang w:val="en-US"/>
        </w:rPr>
        <w:t>has</w:t>
      </w:r>
      <w:r w:rsidR="00005451">
        <w:rPr>
          <w:lang w:val="en-US"/>
        </w:rPr>
        <w:t xml:space="preserve"> be</w:t>
      </w:r>
      <w:r w:rsidR="00045A7B">
        <w:rPr>
          <w:lang w:val="en-US"/>
        </w:rPr>
        <w:t>en</w:t>
      </w:r>
      <w:r w:rsidR="00005451">
        <w:rPr>
          <w:lang w:val="en-US"/>
        </w:rPr>
        <w:t xml:space="preserve"> s</w:t>
      </w:r>
      <w:r>
        <w:rPr>
          <w:lang w:val="en-US"/>
        </w:rPr>
        <w:t xml:space="preserve">hared with the researchers, reviewed and </w:t>
      </w:r>
      <w:r w:rsidR="00045A7B">
        <w:rPr>
          <w:lang w:val="en-US"/>
        </w:rPr>
        <w:t>investigators will en</w:t>
      </w:r>
      <w:r>
        <w:rPr>
          <w:lang w:val="en-US"/>
        </w:rPr>
        <w:t>sure that the policy will be adhered to by all research team and any person in contact with children.</w:t>
      </w:r>
    </w:p>
    <w:p w:rsidR="00561722" w:rsidRPr="0017676C" w:rsidRDefault="00C97828" w:rsidP="0017676C">
      <w:pPr>
        <w:pStyle w:val="ListParagraph"/>
        <w:numPr>
          <w:ilvl w:val="0"/>
          <w:numId w:val="9"/>
        </w:numPr>
      </w:pPr>
      <w:r w:rsidRPr="0017676C">
        <w:rPr>
          <w:b/>
          <w:lang w:val="en-US"/>
        </w:rPr>
        <w:t xml:space="preserve">Progress Against </w:t>
      </w:r>
      <w:r w:rsidR="009749A7" w:rsidRPr="0017676C">
        <w:rPr>
          <w:b/>
          <w:lang w:val="en-US"/>
        </w:rPr>
        <w:t>the Output</w:t>
      </w:r>
      <w:r w:rsidR="00000F17" w:rsidRPr="0017676C">
        <w:rPr>
          <w:b/>
        </w:rPr>
        <w:t xml:space="preserve"> </w:t>
      </w:r>
    </w:p>
    <w:p w:rsidR="009749A7" w:rsidRPr="00000F17" w:rsidRDefault="009749A7" w:rsidP="0017676C">
      <w:pPr>
        <w:pStyle w:val="ListParagraph"/>
      </w:pPr>
    </w:p>
    <w:p w:rsidR="00AC4BAD" w:rsidRPr="0017676C" w:rsidRDefault="00AC4BAD" w:rsidP="0017676C">
      <w:pPr>
        <w:pStyle w:val="ListParagraph"/>
        <w:numPr>
          <w:ilvl w:val="1"/>
          <w:numId w:val="9"/>
        </w:numPr>
        <w:rPr>
          <w:b/>
          <w:lang w:val="en-US"/>
        </w:rPr>
      </w:pPr>
      <w:r w:rsidRPr="0017676C">
        <w:rPr>
          <w:b/>
          <w:lang w:val="en-US"/>
        </w:rPr>
        <w:t>Setting up the Arrangement of FGM/C Studies Teams</w:t>
      </w:r>
    </w:p>
    <w:p w:rsidR="00D91281" w:rsidRDefault="00D91281" w:rsidP="00E627D9">
      <w:pPr>
        <w:jc w:val="both"/>
        <w:rPr>
          <w:lang w:val="en-US"/>
        </w:rPr>
      </w:pPr>
      <w:r w:rsidRPr="00D91281">
        <w:rPr>
          <w:lang w:val="en-US"/>
        </w:rPr>
        <w:t xml:space="preserve">Based on a series of discussion with </w:t>
      </w:r>
      <w:r w:rsidR="00A833D6">
        <w:t xml:space="preserve">National Commission on Violence </w:t>
      </w:r>
      <w:proofErr w:type="gramStart"/>
      <w:r w:rsidR="00A833D6">
        <w:t>Against</w:t>
      </w:r>
      <w:proofErr w:type="gramEnd"/>
      <w:r w:rsidR="00A833D6">
        <w:t xml:space="preserve"> Women (NCVAW) as one of UNFPA partners on the issue of FGM/C</w:t>
      </w:r>
      <w:r w:rsidRPr="00D91281">
        <w:rPr>
          <w:lang w:val="en-US"/>
        </w:rPr>
        <w:t xml:space="preserve">, it was agreed that </w:t>
      </w:r>
      <w:r w:rsidR="00A833D6">
        <w:t xml:space="preserve">NCVAW </w:t>
      </w:r>
      <w:r w:rsidRPr="00D91281">
        <w:rPr>
          <w:lang w:val="en-US"/>
        </w:rPr>
        <w:t>will conduct the Qualitative Study and National Research Institute (NRI) will co</w:t>
      </w:r>
      <w:r w:rsidR="00005451">
        <w:rPr>
          <w:lang w:val="en-US"/>
        </w:rPr>
        <w:t>nduct the Quantitative Study.  A s</w:t>
      </w:r>
      <w:r w:rsidRPr="00D91281">
        <w:rPr>
          <w:lang w:val="en-US"/>
        </w:rPr>
        <w:t xml:space="preserve">election process of NRI was conducted and </w:t>
      </w:r>
      <w:r w:rsidR="00A833D6">
        <w:t xml:space="preserve">the Center of Population and Policy </w:t>
      </w:r>
      <w:r w:rsidR="00E627D9">
        <w:t xml:space="preserve">Study </w:t>
      </w:r>
      <w:r w:rsidR="00E627D9" w:rsidRPr="00D91281">
        <w:rPr>
          <w:lang w:val="en-US"/>
        </w:rPr>
        <w:t>-</w:t>
      </w:r>
      <w:r w:rsidR="00A833D6">
        <w:t xml:space="preserve"> Gadjah Mada University (CPPS – GMU) was </w:t>
      </w:r>
      <w:r w:rsidRPr="00D91281">
        <w:rPr>
          <w:lang w:val="en-US"/>
        </w:rPr>
        <w:t>selected based on its experiences in the issue of gender, particularly on FGM/C</w:t>
      </w:r>
      <w:r w:rsidR="005476F3">
        <w:rPr>
          <w:lang w:val="en-US"/>
        </w:rPr>
        <w:t xml:space="preserve"> and in line with UNFPA’s Policy and Procedures</w:t>
      </w:r>
      <w:r w:rsidRPr="00D91281">
        <w:rPr>
          <w:lang w:val="en-US"/>
        </w:rPr>
        <w:t xml:space="preserve">. </w:t>
      </w:r>
    </w:p>
    <w:p w:rsidR="00E84F7F" w:rsidRPr="00224AD1" w:rsidRDefault="00A833D6" w:rsidP="00E627D9">
      <w:pPr>
        <w:jc w:val="both"/>
      </w:pPr>
      <w:r>
        <w:t xml:space="preserve">The </w:t>
      </w:r>
      <w:r w:rsidR="00E84F7F">
        <w:rPr>
          <w:lang w:val="en-US"/>
        </w:rPr>
        <w:t xml:space="preserve">Research Associate </w:t>
      </w:r>
      <w:r>
        <w:t>(RA)</w:t>
      </w:r>
      <w:r w:rsidR="00005451">
        <w:rPr>
          <w:lang w:val="en-US"/>
        </w:rPr>
        <w:t>as part of the project structure</w:t>
      </w:r>
      <w:r>
        <w:t xml:space="preserve"> </w:t>
      </w:r>
      <w:r w:rsidR="00E84F7F">
        <w:rPr>
          <w:lang w:val="en-US"/>
        </w:rPr>
        <w:t>was selected and recruited</w:t>
      </w:r>
      <w:r w:rsidR="005476F3">
        <w:rPr>
          <w:lang w:val="en-US"/>
        </w:rPr>
        <w:t xml:space="preserve"> according to UNFPA Policy and Procedures</w:t>
      </w:r>
      <w:r w:rsidR="00E84F7F">
        <w:rPr>
          <w:lang w:val="en-US"/>
        </w:rPr>
        <w:t xml:space="preserve">.  The </w:t>
      </w:r>
      <w:r>
        <w:t>RA</w:t>
      </w:r>
      <w:r w:rsidR="00E84F7F">
        <w:rPr>
          <w:lang w:val="en-US"/>
        </w:rPr>
        <w:t xml:space="preserve"> will act as a liaison between UNFPA, </w:t>
      </w:r>
      <w:r w:rsidR="00E627D9">
        <w:t xml:space="preserve">NCVAW </w:t>
      </w:r>
      <w:r w:rsidR="00E627D9">
        <w:rPr>
          <w:lang w:val="en-US"/>
        </w:rPr>
        <w:t>and</w:t>
      </w:r>
      <w:r w:rsidR="00E84F7F">
        <w:rPr>
          <w:lang w:val="en-US"/>
        </w:rPr>
        <w:t xml:space="preserve"> </w:t>
      </w:r>
      <w:r>
        <w:t>CPPS - GMU</w:t>
      </w:r>
      <w:r w:rsidR="00E84F7F">
        <w:rPr>
          <w:lang w:val="en-US"/>
        </w:rPr>
        <w:t>. The RA office will be</w:t>
      </w:r>
      <w:r w:rsidR="005476F3">
        <w:rPr>
          <w:lang w:val="en-US"/>
        </w:rPr>
        <w:t xml:space="preserve"> located</w:t>
      </w:r>
      <w:r w:rsidR="00E84F7F">
        <w:rPr>
          <w:lang w:val="en-US"/>
        </w:rPr>
        <w:t xml:space="preserve"> at </w:t>
      </w:r>
      <w:r>
        <w:t>NCVAW</w:t>
      </w:r>
      <w:r w:rsidR="00E84F7F">
        <w:rPr>
          <w:lang w:val="en-US"/>
        </w:rPr>
        <w:t xml:space="preserve"> as </w:t>
      </w:r>
      <w:r>
        <w:t>NCVAW</w:t>
      </w:r>
      <w:r w:rsidR="00E84F7F">
        <w:rPr>
          <w:lang w:val="en-US"/>
        </w:rPr>
        <w:t xml:space="preserve"> will coordinate all the activities</w:t>
      </w:r>
      <w:r w:rsidR="005476F3">
        <w:rPr>
          <w:lang w:val="en-US"/>
        </w:rPr>
        <w:t>,</w:t>
      </w:r>
      <w:r w:rsidR="00E84F7F">
        <w:rPr>
          <w:lang w:val="en-US"/>
        </w:rPr>
        <w:t xml:space="preserve"> related to </w:t>
      </w:r>
      <w:r>
        <w:t xml:space="preserve">the </w:t>
      </w:r>
      <w:r w:rsidR="00E84F7F">
        <w:rPr>
          <w:lang w:val="en-US"/>
        </w:rPr>
        <w:t>study.</w:t>
      </w:r>
      <w:r w:rsidR="005476F3">
        <w:rPr>
          <w:lang w:val="en-US"/>
        </w:rPr>
        <w:t xml:space="preserve"> UNFPA will maintain quality assurance throughout the study.</w:t>
      </w:r>
    </w:p>
    <w:p w:rsidR="00E84F7F" w:rsidRPr="0017676C" w:rsidRDefault="00E84F7F" w:rsidP="0017676C">
      <w:pPr>
        <w:pStyle w:val="ListParagraph"/>
        <w:numPr>
          <w:ilvl w:val="1"/>
          <w:numId w:val="9"/>
        </w:numPr>
        <w:rPr>
          <w:b/>
          <w:lang w:val="en-US"/>
        </w:rPr>
      </w:pPr>
      <w:r w:rsidRPr="0017676C">
        <w:rPr>
          <w:b/>
          <w:lang w:val="en-US"/>
        </w:rPr>
        <w:t xml:space="preserve">Desk Review </w:t>
      </w:r>
    </w:p>
    <w:p w:rsidR="00E84F7F" w:rsidRDefault="005476F3" w:rsidP="00E627D9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E84F7F">
        <w:rPr>
          <w:lang w:val="en-US"/>
        </w:rPr>
        <w:t xml:space="preserve">Desk Review </w:t>
      </w:r>
      <w:r w:rsidR="00005451">
        <w:rPr>
          <w:lang w:val="en-US"/>
        </w:rPr>
        <w:t xml:space="preserve">was </w:t>
      </w:r>
      <w:r w:rsidR="00E84F7F">
        <w:rPr>
          <w:lang w:val="en-US"/>
        </w:rPr>
        <w:t xml:space="preserve">conducted by both </w:t>
      </w:r>
      <w:r w:rsidR="00A833D6">
        <w:t>NCVAW and CPPS-GMU</w:t>
      </w:r>
      <w:r w:rsidR="00E84F7F">
        <w:rPr>
          <w:lang w:val="en-US"/>
        </w:rPr>
        <w:t xml:space="preserve"> on the period of </w:t>
      </w:r>
      <w:r w:rsidR="00E627D9">
        <w:rPr>
          <w:lang w:val="en-US"/>
        </w:rPr>
        <w:t>November –</w:t>
      </w:r>
      <w:r w:rsidR="00E84F7F">
        <w:rPr>
          <w:lang w:val="en-US"/>
        </w:rPr>
        <w:t xml:space="preserve"> December 2016 on all available</w:t>
      </w:r>
      <w:r>
        <w:rPr>
          <w:lang w:val="en-US"/>
        </w:rPr>
        <w:t xml:space="preserve"> </w:t>
      </w:r>
      <w:r w:rsidR="00A833D6">
        <w:t>materials</w:t>
      </w:r>
      <w:r w:rsidR="00E84F7F">
        <w:rPr>
          <w:lang w:val="en-US"/>
        </w:rPr>
        <w:t xml:space="preserve"> and studies related to FGM/C</w:t>
      </w:r>
      <w:r w:rsidR="00E627D9">
        <w:t xml:space="preserve">, </w:t>
      </w:r>
      <w:r w:rsidR="00E627D9">
        <w:rPr>
          <w:lang w:val="en-US"/>
        </w:rPr>
        <w:t>including</w:t>
      </w:r>
      <w:r w:rsidR="00E84F7F">
        <w:rPr>
          <w:lang w:val="en-US"/>
        </w:rPr>
        <w:t xml:space="preserve"> medicalization of FGM/C from other countries, at national and local level. </w:t>
      </w:r>
      <w:r w:rsidR="00A833D6">
        <w:t xml:space="preserve"> </w:t>
      </w:r>
      <w:r w:rsidR="00E84F7F">
        <w:rPr>
          <w:lang w:val="en-US"/>
        </w:rPr>
        <w:t>T</w:t>
      </w:r>
      <w:r w:rsidR="00005451">
        <w:rPr>
          <w:lang w:val="en-US"/>
        </w:rPr>
        <w:t>he desk review also looked</w:t>
      </w:r>
      <w:r w:rsidR="00E84F7F">
        <w:rPr>
          <w:lang w:val="en-US"/>
        </w:rPr>
        <w:t xml:space="preserve"> into the existing local regulation</w:t>
      </w:r>
      <w:r w:rsidR="00A833D6">
        <w:t>s</w:t>
      </w:r>
      <w:r w:rsidR="00E84F7F">
        <w:rPr>
          <w:lang w:val="en-US"/>
        </w:rPr>
        <w:t xml:space="preserve"> related to FGM/C in Indonesia.  </w:t>
      </w:r>
    </w:p>
    <w:p w:rsidR="00D91281" w:rsidRPr="00224AD1" w:rsidRDefault="00E84F7F" w:rsidP="00E627D9">
      <w:pPr>
        <w:jc w:val="both"/>
      </w:pPr>
      <w:r>
        <w:rPr>
          <w:lang w:val="en-US"/>
        </w:rPr>
        <w:t xml:space="preserve">The first meeting between UNFPA, </w:t>
      </w:r>
      <w:r w:rsidR="00A833D6">
        <w:t>NCVAW and CPPS - GMU</w:t>
      </w:r>
      <w:r>
        <w:rPr>
          <w:lang w:val="en-US"/>
        </w:rPr>
        <w:t xml:space="preserve"> was conducted on December 15, 2016 to discuss the result of the desk review and listed the topics for guideline</w:t>
      </w:r>
      <w:r w:rsidR="00A833D6">
        <w:t>s</w:t>
      </w:r>
      <w:r>
        <w:rPr>
          <w:lang w:val="en-US"/>
        </w:rPr>
        <w:t xml:space="preserve"> to develop </w:t>
      </w:r>
      <w:r w:rsidR="00005451">
        <w:rPr>
          <w:lang w:val="en-US"/>
        </w:rPr>
        <w:t xml:space="preserve">the </w:t>
      </w:r>
      <w:r>
        <w:rPr>
          <w:lang w:val="en-US"/>
        </w:rPr>
        <w:t>study questioners and in-depth interview</w:t>
      </w:r>
      <w:r w:rsidR="003674D4">
        <w:rPr>
          <w:lang w:val="en-US"/>
        </w:rPr>
        <w:t xml:space="preserve">. </w:t>
      </w:r>
    </w:p>
    <w:p w:rsidR="00093F20" w:rsidRPr="0017676C" w:rsidRDefault="009749A7" w:rsidP="0017676C">
      <w:pPr>
        <w:pStyle w:val="ListParagraph"/>
        <w:numPr>
          <w:ilvl w:val="1"/>
          <w:numId w:val="9"/>
        </w:numPr>
        <w:rPr>
          <w:b/>
          <w:lang w:val="en-US"/>
        </w:rPr>
      </w:pPr>
      <w:r w:rsidRPr="0017676C">
        <w:rPr>
          <w:b/>
          <w:lang w:val="en-US"/>
        </w:rPr>
        <w:t>Government Engagement</w:t>
      </w:r>
      <w:r w:rsidR="00561722">
        <w:rPr>
          <w:b/>
          <w:lang w:val="en-US"/>
        </w:rPr>
        <w:t xml:space="preserve"> and </w:t>
      </w:r>
      <w:r w:rsidR="00093F20" w:rsidRPr="0017676C">
        <w:rPr>
          <w:b/>
          <w:lang w:val="en-US"/>
        </w:rPr>
        <w:t>Establishment of Consultative Team</w:t>
      </w:r>
    </w:p>
    <w:p w:rsidR="00DB65F7" w:rsidRDefault="00093F20" w:rsidP="00E627D9">
      <w:pPr>
        <w:jc w:val="both"/>
        <w:rPr>
          <w:lang w:val="en-US"/>
        </w:rPr>
      </w:pPr>
      <w:r w:rsidRPr="00DB65F7">
        <w:rPr>
          <w:lang w:val="en-US"/>
        </w:rPr>
        <w:t>In addition to the study res</w:t>
      </w:r>
      <w:r w:rsidR="00005451">
        <w:rPr>
          <w:lang w:val="en-US"/>
        </w:rPr>
        <w:t>earch team, in accordance to the project document</w:t>
      </w:r>
      <w:r w:rsidR="00E627D9">
        <w:rPr>
          <w:lang w:val="en-US"/>
        </w:rPr>
        <w:t xml:space="preserve">, </w:t>
      </w:r>
      <w:r w:rsidR="00E627D9">
        <w:t>a</w:t>
      </w:r>
      <w:r w:rsidR="00005451">
        <w:rPr>
          <w:lang w:val="en-US"/>
        </w:rPr>
        <w:t xml:space="preserve"> </w:t>
      </w:r>
      <w:r w:rsidRPr="00DB65F7">
        <w:rPr>
          <w:lang w:val="en-US"/>
        </w:rPr>
        <w:t xml:space="preserve">Consultative Team will be established </w:t>
      </w:r>
      <w:r w:rsidR="00DB65F7" w:rsidRPr="00DB65F7">
        <w:rPr>
          <w:lang w:val="en-US"/>
        </w:rPr>
        <w:t xml:space="preserve">to </w:t>
      </w:r>
      <w:r w:rsidR="00005451">
        <w:rPr>
          <w:lang w:val="en-US"/>
        </w:rPr>
        <w:t xml:space="preserve">have the following tasks to </w:t>
      </w:r>
      <w:r w:rsidR="00DB65F7">
        <w:rPr>
          <w:lang w:val="en-US"/>
        </w:rPr>
        <w:t>e</w:t>
      </w:r>
      <w:r w:rsidR="00DB65F7" w:rsidRPr="00DB65F7">
        <w:rPr>
          <w:lang w:val="en-US"/>
        </w:rPr>
        <w:t>nsure</w:t>
      </w:r>
      <w:r w:rsidR="00DB65F7">
        <w:rPr>
          <w:lang w:val="en-US"/>
        </w:rPr>
        <w:t>:</w:t>
      </w:r>
    </w:p>
    <w:p w:rsidR="00DB65F7" w:rsidRPr="00DB65F7" w:rsidRDefault="005476F3" w:rsidP="00E627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Q</w:t>
      </w:r>
      <w:r w:rsidR="00E627D9">
        <w:rPr>
          <w:lang w:val="en-US"/>
        </w:rPr>
        <w:t>uality</w:t>
      </w:r>
      <w:r w:rsidR="00A833D6">
        <w:rPr>
          <w:lang w:val="en-US"/>
        </w:rPr>
        <w:t xml:space="preserve"> </w:t>
      </w:r>
      <w:r w:rsidR="00E627D9" w:rsidRPr="00DB65F7">
        <w:rPr>
          <w:lang w:val="en-US"/>
        </w:rPr>
        <w:t>control</w:t>
      </w:r>
      <w:r w:rsidR="00DB65F7" w:rsidRPr="00DB65F7">
        <w:rPr>
          <w:lang w:val="en-US"/>
        </w:rPr>
        <w:t xml:space="preserve"> of Study</w:t>
      </w:r>
    </w:p>
    <w:p w:rsidR="00DB65F7" w:rsidRDefault="00DB65F7" w:rsidP="00E627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Ownership</w:t>
      </w:r>
      <w:r w:rsidR="00A833D6">
        <w:t xml:space="preserve"> of the study</w:t>
      </w:r>
    </w:p>
    <w:p w:rsidR="00DB65F7" w:rsidRDefault="005476F3" w:rsidP="00E627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</w:t>
      </w:r>
      <w:r w:rsidR="00DB65F7">
        <w:rPr>
          <w:lang w:val="en-US"/>
        </w:rPr>
        <w:t xml:space="preserve">se of </w:t>
      </w:r>
      <w:r w:rsidR="00A833D6">
        <w:t xml:space="preserve">the </w:t>
      </w:r>
      <w:r w:rsidR="00DB65F7">
        <w:rPr>
          <w:lang w:val="en-US"/>
        </w:rPr>
        <w:t>study resul</w:t>
      </w:r>
      <w:r w:rsidR="00005451">
        <w:rPr>
          <w:lang w:val="en-US"/>
        </w:rPr>
        <w:t>t for policy making and policy c</w:t>
      </w:r>
      <w:r w:rsidR="00DB65F7">
        <w:rPr>
          <w:lang w:val="en-US"/>
        </w:rPr>
        <w:t>hanges</w:t>
      </w:r>
    </w:p>
    <w:p w:rsidR="00A833D6" w:rsidRDefault="00005451" w:rsidP="00E627D9">
      <w:pPr>
        <w:jc w:val="both"/>
      </w:pPr>
      <w:r>
        <w:lastRenderedPageBreak/>
        <w:t>The Consultative Team will</w:t>
      </w:r>
      <w:r w:rsidR="00A833D6">
        <w:t xml:space="preserve"> consi</w:t>
      </w:r>
      <w:proofErr w:type="spellStart"/>
      <w:r w:rsidR="005476F3">
        <w:rPr>
          <w:lang w:val="en-US"/>
        </w:rPr>
        <w:t>st</w:t>
      </w:r>
      <w:proofErr w:type="spellEnd"/>
      <w:r w:rsidR="00A833D6">
        <w:t xml:space="preserve"> of government institutions, academicians, experts</w:t>
      </w:r>
      <w:r w:rsidR="005476F3">
        <w:rPr>
          <w:lang w:val="en-US"/>
        </w:rPr>
        <w:t>, UNFPA</w:t>
      </w:r>
      <w:r w:rsidR="00A833D6">
        <w:t xml:space="preserve"> and DFAT.  </w:t>
      </w:r>
    </w:p>
    <w:p w:rsidR="00DB65F7" w:rsidRDefault="00005451" w:rsidP="00E627D9">
      <w:pPr>
        <w:jc w:val="both"/>
      </w:pPr>
      <w:r>
        <w:rPr>
          <w:lang w:val="en-US"/>
        </w:rPr>
        <w:t>Initial meetings were</w:t>
      </w:r>
      <w:r w:rsidR="00DB65F7">
        <w:rPr>
          <w:lang w:val="en-US"/>
        </w:rPr>
        <w:t xml:space="preserve"> conducted with </w:t>
      </w:r>
      <w:r>
        <w:rPr>
          <w:lang w:val="en-US"/>
        </w:rPr>
        <w:t xml:space="preserve">the </w:t>
      </w:r>
      <w:r w:rsidR="00DB65F7">
        <w:rPr>
          <w:lang w:val="en-US"/>
        </w:rPr>
        <w:t>M</w:t>
      </w:r>
      <w:r w:rsidR="002E2E68">
        <w:t xml:space="preserve">inistry of </w:t>
      </w:r>
      <w:r w:rsidR="00DB65F7">
        <w:rPr>
          <w:lang w:val="en-US"/>
        </w:rPr>
        <w:t>W</w:t>
      </w:r>
      <w:r w:rsidR="002E2E68">
        <w:t xml:space="preserve">omen’s </w:t>
      </w:r>
      <w:r w:rsidR="00DB65F7">
        <w:rPr>
          <w:lang w:val="en-US"/>
        </w:rPr>
        <w:t>E</w:t>
      </w:r>
      <w:r w:rsidR="002E2E68">
        <w:t xml:space="preserve">mpowerment and </w:t>
      </w:r>
      <w:r w:rsidR="00DB65F7">
        <w:rPr>
          <w:lang w:val="en-US"/>
        </w:rPr>
        <w:t>C</w:t>
      </w:r>
      <w:r w:rsidR="002E2E68">
        <w:t xml:space="preserve">hild </w:t>
      </w:r>
      <w:r w:rsidR="00DB65F7">
        <w:rPr>
          <w:lang w:val="en-US"/>
        </w:rPr>
        <w:t>P</w:t>
      </w:r>
      <w:r w:rsidR="002E2E68">
        <w:t>rotection (MOWECP)</w:t>
      </w:r>
      <w:r w:rsidR="002E2E68">
        <w:rPr>
          <w:lang w:val="en-US"/>
        </w:rPr>
        <w:t xml:space="preserve">, </w:t>
      </w:r>
      <w:proofErr w:type="spellStart"/>
      <w:r w:rsidR="002E2E68">
        <w:rPr>
          <w:lang w:val="en-US"/>
        </w:rPr>
        <w:t>MoH</w:t>
      </w:r>
      <w:proofErr w:type="spellEnd"/>
      <w:r w:rsidR="002E2E68">
        <w:rPr>
          <w:lang w:val="en-US"/>
        </w:rPr>
        <w:t xml:space="preserve">, </w:t>
      </w:r>
      <w:proofErr w:type="spellStart"/>
      <w:r w:rsidR="002E2E68">
        <w:rPr>
          <w:lang w:val="en-US"/>
        </w:rPr>
        <w:t>Bappenas</w:t>
      </w:r>
      <w:proofErr w:type="spellEnd"/>
      <w:r w:rsidR="00E627D9">
        <w:rPr>
          <w:lang w:val="en-US"/>
        </w:rPr>
        <w:t xml:space="preserve"> (National Planning and Development Board)</w:t>
      </w:r>
      <w:r w:rsidR="002E2E68">
        <w:rPr>
          <w:lang w:val="en-US"/>
        </w:rPr>
        <w:t xml:space="preserve">, and </w:t>
      </w:r>
      <w:r>
        <w:rPr>
          <w:lang w:val="en-US"/>
        </w:rPr>
        <w:t xml:space="preserve">the </w:t>
      </w:r>
      <w:r w:rsidR="002E2E68">
        <w:rPr>
          <w:lang w:val="en-US"/>
        </w:rPr>
        <w:t>M</w:t>
      </w:r>
      <w:r w:rsidR="002E2E68">
        <w:t xml:space="preserve">inistry of </w:t>
      </w:r>
      <w:r w:rsidR="00DB65F7">
        <w:rPr>
          <w:lang w:val="en-US"/>
        </w:rPr>
        <w:t>F</w:t>
      </w:r>
      <w:r w:rsidR="002E2E68">
        <w:t xml:space="preserve">oreign </w:t>
      </w:r>
      <w:r w:rsidR="00DB65F7">
        <w:rPr>
          <w:lang w:val="en-US"/>
        </w:rPr>
        <w:t>A</w:t>
      </w:r>
      <w:r w:rsidR="002E2E68">
        <w:t>ffairs (MOFA)</w:t>
      </w:r>
      <w:r w:rsidR="00DB65F7">
        <w:rPr>
          <w:lang w:val="en-US"/>
        </w:rPr>
        <w:t xml:space="preserve">, </w:t>
      </w:r>
      <w:r w:rsidR="002E2E68">
        <w:rPr>
          <w:lang w:val="en-US"/>
        </w:rPr>
        <w:t>between June to August 2016</w:t>
      </w:r>
      <w:r w:rsidR="002E2E68">
        <w:t>,</w:t>
      </w:r>
      <w:r w:rsidR="002E2E68">
        <w:rPr>
          <w:lang w:val="en-US"/>
        </w:rPr>
        <w:t xml:space="preserve"> </w:t>
      </w:r>
      <w:r w:rsidR="00A833D6">
        <w:t>prior to the establishment of Consultative Team</w:t>
      </w:r>
      <w:r>
        <w:rPr>
          <w:lang w:val="en-US"/>
        </w:rPr>
        <w:t>. T</w:t>
      </w:r>
      <w:r w:rsidR="002E2E68">
        <w:t xml:space="preserve">he </w:t>
      </w:r>
      <w:r>
        <w:t xml:space="preserve">above government institutions </w:t>
      </w:r>
      <w:r>
        <w:rPr>
          <w:lang w:val="en-US"/>
        </w:rPr>
        <w:t>have</w:t>
      </w:r>
      <w:r w:rsidR="002E2E68">
        <w:t xml:space="preserve"> </w:t>
      </w:r>
      <w:r w:rsidR="00DB65F7">
        <w:rPr>
          <w:lang w:val="en-US"/>
        </w:rPr>
        <w:t xml:space="preserve">agreed to </w:t>
      </w:r>
      <w:r>
        <w:rPr>
          <w:lang w:val="en-US"/>
        </w:rPr>
        <w:t>be members of Consultative Team</w:t>
      </w:r>
      <w:r w:rsidR="002E2E68">
        <w:t>.</w:t>
      </w:r>
    </w:p>
    <w:p w:rsidR="002E2E68" w:rsidRPr="002E2E68" w:rsidRDefault="002E2E68" w:rsidP="00E627D9">
      <w:pPr>
        <w:jc w:val="both"/>
      </w:pPr>
      <w:r>
        <w:t>The Consultative Team will be</w:t>
      </w:r>
      <w:r w:rsidR="00005451">
        <w:rPr>
          <w:lang w:val="en-US"/>
        </w:rPr>
        <w:t xml:space="preserve"> officially</w:t>
      </w:r>
      <w:r>
        <w:t xml:space="preserve"> establish</w:t>
      </w:r>
      <w:proofErr w:type="spellStart"/>
      <w:r w:rsidR="005476F3">
        <w:rPr>
          <w:lang w:val="en-US"/>
        </w:rPr>
        <w:t>ed</w:t>
      </w:r>
      <w:proofErr w:type="spellEnd"/>
      <w:r>
        <w:t xml:space="preserve"> in January </w:t>
      </w:r>
      <w:r w:rsidR="00005451">
        <w:t xml:space="preserve">2017 during the 1st workshop </w:t>
      </w:r>
      <w:r w:rsidR="00005451">
        <w:rPr>
          <w:lang w:val="en-US"/>
        </w:rPr>
        <w:t xml:space="preserve"> that will have the objective of obtaining </w:t>
      </w:r>
      <w:r>
        <w:t>inputs of the desk review, design and methodology of the study from the Consultative Team members.</w:t>
      </w:r>
    </w:p>
    <w:p w:rsidR="00561722" w:rsidRPr="00987FBB" w:rsidRDefault="00561722" w:rsidP="0017676C">
      <w:pPr>
        <w:ind w:firstLine="720"/>
        <w:rPr>
          <w:b/>
          <w:lang w:val="en-US"/>
        </w:rPr>
      </w:pPr>
      <w:proofErr w:type="gramStart"/>
      <w:r>
        <w:rPr>
          <w:b/>
          <w:lang w:val="en-US"/>
        </w:rPr>
        <w:t xml:space="preserve">2.4  </w:t>
      </w:r>
      <w:r>
        <w:rPr>
          <w:b/>
        </w:rPr>
        <w:t>Activities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Completed in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2878"/>
      </w:tblGrid>
      <w:tr w:rsidR="00561722" w:rsidTr="00987FBB">
        <w:tc>
          <w:tcPr>
            <w:tcW w:w="9016" w:type="dxa"/>
            <w:gridSpan w:val="2"/>
          </w:tcPr>
          <w:p w:rsidR="00561722" w:rsidRDefault="00561722" w:rsidP="00987F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Output:  Study of Medicalization of FGM/C</w:t>
            </w:r>
          </w:p>
        </w:tc>
      </w:tr>
      <w:tr w:rsidR="00561722" w:rsidTr="0017676C">
        <w:tc>
          <w:tcPr>
            <w:tcW w:w="6138" w:type="dxa"/>
          </w:tcPr>
          <w:p w:rsidR="00561722" w:rsidRDefault="00561722" w:rsidP="00987F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Activities</w:t>
            </w:r>
          </w:p>
        </w:tc>
        <w:tc>
          <w:tcPr>
            <w:tcW w:w="2878" w:type="dxa"/>
          </w:tcPr>
          <w:p w:rsidR="00561722" w:rsidRDefault="008144B1" w:rsidP="00987F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Scheduled</w:t>
            </w:r>
          </w:p>
        </w:tc>
      </w:tr>
      <w:tr w:rsidR="00561722" w:rsidTr="0017676C">
        <w:tc>
          <w:tcPr>
            <w:tcW w:w="6138" w:type="dxa"/>
          </w:tcPr>
          <w:p w:rsidR="00561722" w:rsidRPr="00DB72B6" w:rsidRDefault="00561722" w:rsidP="00987FBB">
            <w:pPr>
              <w:pStyle w:val="ListParagraph"/>
              <w:numPr>
                <w:ilvl w:val="0"/>
                <w:numId w:val="3"/>
              </w:numPr>
              <w:ind w:left="313" w:hanging="284"/>
              <w:rPr>
                <w:lang w:val="en-US"/>
              </w:rPr>
            </w:pPr>
            <w:r w:rsidRPr="00DB72B6">
              <w:rPr>
                <w:lang w:val="en-US"/>
              </w:rPr>
              <w:t>Setting up Arrangement of FGM/C Study Teams:</w:t>
            </w:r>
          </w:p>
        </w:tc>
        <w:tc>
          <w:tcPr>
            <w:tcW w:w="2878" w:type="dxa"/>
          </w:tcPr>
          <w:p w:rsidR="00561722" w:rsidRPr="00DB72B6" w:rsidRDefault="00561722" w:rsidP="00987FBB">
            <w:pPr>
              <w:rPr>
                <w:lang w:val="en-US"/>
              </w:rPr>
            </w:pPr>
            <w:r w:rsidRPr="00DB72B6">
              <w:rPr>
                <w:lang w:val="en-US"/>
              </w:rPr>
              <w:t>June – October 2016</w:t>
            </w:r>
          </w:p>
        </w:tc>
      </w:tr>
      <w:tr w:rsidR="00561722" w:rsidTr="0017676C">
        <w:tc>
          <w:tcPr>
            <w:tcW w:w="6138" w:type="dxa"/>
          </w:tcPr>
          <w:p w:rsidR="00561722" w:rsidRPr="00DB72B6" w:rsidRDefault="00561722" w:rsidP="00987FBB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DB72B6">
              <w:rPr>
                <w:lang w:val="en-US"/>
              </w:rPr>
              <w:t xml:space="preserve"> Selection and </w:t>
            </w:r>
            <w:r>
              <w:rPr>
                <w:lang w:val="en-US"/>
              </w:rPr>
              <w:t>Recruitment</w:t>
            </w:r>
            <w:r w:rsidRPr="00DB72B6">
              <w:rPr>
                <w:lang w:val="en-US"/>
              </w:rPr>
              <w:t xml:space="preserve"> Process of </w:t>
            </w:r>
            <w:r>
              <w:t>CPPS - GMU</w:t>
            </w:r>
            <w:r w:rsidRPr="00DB72B6">
              <w:rPr>
                <w:lang w:val="en-US"/>
              </w:rPr>
              <w:t xml:space="preserve"> for Quantitative Study </w:t>
            </w:r>
          </w:p>
        </w:tc>
        <w:tc>
          <w:tcPr>
            <w:tcW w:w="2878" w:type="dxa"/>
          </w:tcPr>
          <w:p w:rsidR="00561722" w:rsidRPr="00DB72B6" w:rsidRDefault="00561722" w:rsidP="00987FBB">
            <w:pPr>
              <w:rPr>
                <w:lang w:val="en-US"/>
              </w:rPr>
            </w:pPr>
          </w:p>
        </w:tc>
      </w:tr>
      <w:tr w:rsidR="00561722" w:rsidTr="0017676C">
        <w:tc>
          <w:tcPr>
            <w:tcW w:w="6138" w:type="dxa"/>
          </w:tcPr>
          <w:p w:rsidR="00561722" w:rsidRPr="00DB72B6" w:rsidRDefault="00561722" w:rsidP="00987FBB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DB72B6">
              <w:rPr>
                <w:lang w:val="en-US"/>
              </w:rPr>
              <w:t xml:space="preserve"> Administrative Process of </w:t>
            </w:r>
            <w:r>
              <w:t>NCVAW</w:t>
            </w:r>
            <w:r w:rsidRPr="00DB72B6">
              <w:rPr>
                <w:lang w:val="en-US"/>
              </w:rPr>
              <w:t xml:space="preserve"> for Qualitative Study</w:t>
            </w:r>
          </w:p>
        </w:tc>
        <w:tc>
          <w:tcPr>
            <w:tcW w:w="2878" w:type="dxa"/>
          </w:tcPr>
          <w:p w:rsidR="00561722" w:rsidRPr="00DB72B6" w:rsidRDefault="00561722" w:rsidP="00987FBB">
            <w:pPr>
              <w:rPr>
                <w:lang w:val="en-US"/>
              </w:rPr>
            </w:pPr>
          </w:p>
        </w:tc>
      </w:tr>
      <w:tr w:rsidR="00561722" w:rsidTr="0017676C">
        <w:tc>
          <w:tcPr>
            <w:tcW w:w="6138" w:type="dxa"/>
          </w:tcPr>
          <w:p w:rsidR="00561722" w:rsidRPr="00DB72B6" w:rsidRDefault="00561722" w:rsidP="00987FBB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DB72B6">
              <w:rPr>
                <w:lang w:val="en-US"/>
              </w:rPr>
              <w:t xml:space="preserve"> Selection and </w:t>
            </w:r>
            <w:r>
              <w:rPr>
                <w:lang w:val="en-US"/>
              </w:rPr>
              <w:t>Recruitment</w:t>
            </w:r>
            <w:r w:rsidRPr="00DB72B6">
              <w:rPr>
                <w:lang w:val="en-US"/>
              </w:rPr>
              <w:t xml:space="preserve"> Process of Research Associate</w:t>
            </w:r>
          </w:p>
        </w:tc>
        <w:tc>
          <w:tcPr>
            <w:tcW w:w="2878" w:type="dxa"/>
          </w:tcPr>
          <w:p w:rsidR="00561722" w:rsidRPr="00DB72B6" w:rsidRDefault="00561722" w:rsidP="00987FBB">
            <w:pPr>
              <w:rPr>
                <w:lang w:val="en-US"/>
              </w:rPr>
            </w:pPr>
          </w:p>
        </w:tc>
      </w:tr>
      <w:tr w:rsidR="00561722" w:rsidTr="0017676C">
        <w:tc>
          <w:tcPr>
            <w:tcW w:w="6138" w:type="dxa"/>
          </w:tcPr>
          <w:p w:rsidR="00561722" w:rsidRPr="00DB72B6" w:rsidRDefault="00561722" w:rsidP="00987FBB">
            <w:pPr>
              <w:pStyle w:val="ListParagraph"/>
              <w:numPr>
                <w:ilvl w:val="0"/>
                <w:numId w:val="3"/>
              </w:numPr>
              <w:ind w:left="313" w:hanging="313"/>
              <w:rPr>
                <w:lang w:val="en-US"/>
              </w:rPr>
            </w:pPr>
            <w:r w:rsidRPr="00DB72B6">
              <w:rPr>
                <w:lang w:val="en-US"/>
              </w:rPr>
              <w:t xml:space="preserve">Desk Review </w:t>
            </w:r>
            <w:r>
              <w:rPr>
                <w:lang w:val="en-US"/>
              </w:rPr>
              <w:t xml:space="preserve">and FGM/C Studies and Literatures including  the medicalization of FGM/C </w:t>
            </w:r>
            <w:r w:rsidRPr="00DB72B6">
              <w:rPr>
                <w:lang w:val="en-US"/>
              </w:rPr>
              <w:t xml:space="preserve">by </w:t>
            </w:r>
            <w:r>
              <w:t xml:space="preserve">NCVAW </w:t>
            </w:r>
            <w:r w:rsidRPr="00DB72B6">
              <w:rPr>
                <w:lang w:val="en-US"/>
              </w:rPr>
              <w:t xml:space="preserve"> and </w:t>
            </w:r>
            <w:r>
              <w:t>CPPS - GMU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:rsidR="00561722" w:rsidRPr="00DB72B6" w:rsidRDefault="00561722" w:rsidP="00987FBB">
            <w:pPr>
              <w:rPr>
                <w:lang w:val="en-US"/>
              </w:rPr>
            </w:pPr>
            <w:r w:rsidRPr="00DB72B6">
              <w:rPr>
                <w:lang w:val="en-US"/>
              </w:rPr>
              <w:t>November – December 2016</w:t>
            </w:r>
          </w:p>
        </w:tc>
      </w:tr>
      <w:tr w:rsidR="00561722" w:rsidTr="0017676C">
        <w:tc>
          <w:tcPr>
            <w:tcW w:w="6138" w:type="dxa"/>
          </w:tcPr>
          <w:p w:rsidR="00561722" w:rsidRPr="00C97828" w:rsidRDefault="00561722" w:rsidP="00987FBB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lang w:val="en-US"/>
              </w:rPr>
            </w:pPr>
            <w:r w:rsidRPr="00C97828">
              <w:rPr>
                <w:lang w:val="en-US"/>
              </w:rPr>
              <w:t xml:space="preserve"> Engagement with Government</w:t>
            </w:r>
          </w:p>
          <w:p w:rsidR="00561722" w:rsidRPr="00C23C70" w:rsidRDefault="00561722" w:rsidP="00987FBB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26249B">
              <w:rPr>
                <w:lang w:val="en-US"/>
              </w:rPr>
              <w:t xml:space="preserve"> Initial meeting with potential Ministries (MOWECP, </w:t>
            </w:r>
            <w:proofErr w:type="spellStart"/>
            <w:r w:rsidRPr="0026249B">
              <w:rPr>
                <w:lang w:val="en-US"/>
              </w:rPr>
              <w:t>Bappenas</w:t>
            </w:r>
            <w:proofErr w:type="spellEnd"/>
            <w:r w:rsidRPr="0026249B">
              <w:rPr>
                <w:lang w:val="en-US"/>
              </w:rPr>
              <w:t>, MOH, MOFA) to be involved in the study as member of Consultative Teams</w:t>
            </w:r>
          </w:p>
        </w:tc>
        <w:tc>
          <w:tcPr>
            <w:tcW w:w="2878" w:type="dxa"/>
          </w:tcPr>
          <w:p w:rsidR="00561722" w:rsidRPr="00C97828" w:rsidRDefault="00561722" w:rsidP="00987FBB">
            <w:pPr>
              <w:rPr>
                <w:lang w:val="en-US"/>
              </w:rPr>
            </w:pPr>
            <w:r w:rsidRPr="00C97828">
              <w:rPr>
                <w:lang w:val="en-US"/>
              </w:rPr>
              <w:t>June – October 2016</w:t>
            </w:r>
          </w:p>
        </w:tc>
      </w:tr>
      <w:tr w:rsidR="00561722" w:rsidTr="0017676C">
        <w:tc>
          <w:tcPr>
            <w:tcW w:w="6138" w:type="dxa"/>
          </w:tcPr>
          <w:p w:rsidR="00561722" w:rsidRDefault="00561722" w:rsidP="00987FBB">
            <w:pPr>
              <w:pStyle w:val="ListParagraph"/>
              <w:numPr>
                <w:ilvl w:val="1"/>
                <w:numId w:val="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FGM/C session in the National Meeting of Indonesian Midwives</w:t>
            </w:r>
            <w:r>
              <w:t xml:space="preserve"> Association</w:t>
            </w:r>
            <w:r>
              <w:rPr>
                <w:lang w:val="en-US"/>
              </w:rPr>
              <w:t xml:space="preserve"> (IBI) in collaboration with MOWECP and MOH</w:t>
            </w:r>
          </w:p>
        </w:tc>
        <w:tc>
          <w:tcPr>
            <w:tcW w:w="2878" w:type="dxa"/>
          </w:tcPr>
          <w:p w:rsidR="00561722" w:rsidRPr="00C97828" w:rsidRDefault="00561722" w:rsidP="00987FBB">
            <w:pPr>
              <w:rPr>
                <w:lang w:val="en-US"/>
              </w:rPr>
            </w:pPr>
            <w:r w:rsidRPr="00C97828">
              <w:rPr>
                <w:lang w:val="en-US"/>
              </w:rPr>
              <w:t>November 2016</w:t>
            </w:r>
          </w:p>
        </w:tc>
      </w:tr>
      <w:tr w:rsidR="00561722" w:rsidTr="0017676C">
        <w:tc>
          <w:tcPr>
            <w:tcW w:w="6138" w:type="dxa"/>
          </w:tcPr>
          <w:p w:rsidR="00561722" w:rsidRDefault="00561722" w:rsidP="00987FBB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Meeting on SDGs Indicator related to Gender including FGM/C with SDGs Secretariat/</w:t>
            </w:r>
            <w:proofErr w:type="spellStart"/>
            <w:r>
              <w:rPr>
                <w:lang w:val="en-US"/>
              </w:rPr>
              <w:t>Bappenas</w:t>
            </w:r>
            <w:proofErr w:type="spellEnd"/>
          </w:p>
        </w:tc>
        <w:tc>
          <w:tcPr>
            <w:tcW w:w="2878" w:type="dxa"/>
          </w:tcPr>
          <w:p w:rsidR="00561722" w:rsidRPr="00C97828" w:rsidRDefault="00561722" w:rsidP="00987FBB">
            <w:r w:rsidRPr="00C97828">
              <w:rPr>
                <w:lang w:val="en-US"/>
              </w:rPr>
              <w:t xml:space="preserve">August – December </w:t>
            </w:r>
            <w:r w:rsidRPr="00C97828">
              <w:t>2016</w:t>
            </w:r>
          </w:p>
        </w:tc>
      </w:tr>
      <w:tr w:rsidR="00561722" w:rsidTr="0017676C">
        <w:tc>
          <w:tcPr>
            <w:tcW w:w="6138" w:type="dxa"/>
          </w:tcPr>
          <w:p w:rsidR="00561722" w:rsidRDefault="00561722" w:rsidP="00987FBB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 Meeting on SDGs Indicator 5.3.2 on FGM/C by </w:t>
            </w:r>
            <w:r>
              <w:t>NCVAW</w:t>
            </w:r>
            <w:r>
              <w:rPr>
                <w:lang w:val="en-US"/>
              </w:rPr>
              <w:t>, the Women Activist and Women’s CSO networks</w:t>
            </w:r>
          </w:p>
        </w:tc>
        <w:tc>
          <w:tcPr>
            <w:tcW w:w="2878" w:type="dxa"/>
          </w:tcPr>
          <w:p w:rsidR="00561722" w:rsidRPr="00C97828" w:rsidRDefault="00561722" w:rsidP="00987FBB">
            <w:pPr>
              <w:rPr>
                <w:lang w:val="en-US"/>
              </w:rPr>
            </w:pPr>
            <w:r w:rsidRPr="00C97828">
              <w:rPr>
                <w:lang w:val="en-US"/>
              </w:rPr>
              <w:t>December 2016</w:t>
            </w:r>
          </w:p>
        </w:tc>
      </w:tr>
      <w:tr w:rsidR="00561722" w:rsidTr="0017676C">
        <w:tc>
          <w:tcPr>
            <w:tcW w:w="6138" w:type="dxa"/>
          </w:tcPr>
          <w:p w:rsidR="00561722" w:rsidRDefault="00561722" w:rsidP="00987FBB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Workshop and Meetings on the development of Mapping of Stakeholders on FGM/C coordinated by MOWECP </w:t>
            </w:r>
          </w:p>
        </w:tc>
        <w:tc>
          <w:tcPr>
            <w:tcW w:w="2878" w:type="dxa"/>
          </w:tcPr>
          <w:p w:rsidR="00561722" w:rsidRPr="00C97828" w:rsidRDefault="00561722" w:rsidP="00987FBB">
            <w:r w:rsidRPr="00C97828">
              <w:rPr>
                <w:lang w:val="en-US"/>
              </w:rPr>
              <w:t xml:space="preserve">July – December </w:t>
            </w:r>
            <w:r w:rsidRPr="00C97828">
              <w:t>2016</w:t>
            </w:r>
          </w:p>
        </w:tc>
      </w:tr>
    </w:tbl>
    <w:p w:rsidR="00561722" w:rsidRDefault="00561722" w:rsidP="00561722">
      <w:pPr>
        <w:rPr>
          <w:b/>
          <w:lang w:val="en-US"/>
        </w:rPr>
      </w:pPr>
    </w:p>
    <w:p w:rsidR="008144B1" w:rsidRPr="0017676C" w:rsidRDefault="008144B1" w:rsidP="00561722">
      <w:pPr>
        <w:rPr>
          <w:lang w:val="en-US"/>
        </w:rPr>
      </w:pPr>
      <w:r w:rsidRPr="0017676C">
        <w:rPr>
          <w:lang w:val="en-US"/>
        </w:rPr>
        <w:t>The above scheduled activities were completed.</w:t>
      </w:r>
    </w:p>
    <w:p w:rsidR="008144B1" w:rsidRDefault="008144B1" w:rsidP="00561722">
      <w:pPr>
        <w:rPr>
          <w:b/>
          <w:lang w:val="en-US"/>
        </w:rPr>
      </w:pPr>
    </w:p>
    <w:p w:rsidR="003674D4" w:rsidRPr="0017676C" w:rsidRDefault="00561722" w:rsidP="0017676C">
      <w:pPr>
        <w:pStyle w:val="ListParagraph"/>
        <w:rPr>
          <w:b/>
          <w:lang w:val="en-US"/>
        </w:rPr>
      </w:pPr>
      <w:r>
        <w:rPr>
          <w:b/>
          <w:lang w:val="en-US"/>
        </w:rPr>
        <w:t>3.   Engagement with Government</w:t>
      </w:r>
      <w:r w:rsidR="005201BA">
        <w:rPr>
          <w:b/>
          <w:lang w:val="en-US"/>
        </w:rPr>
        <w:t xml:space="preserve"> for </w:t>
      </w:r>
      <w:proofErr w:type="spellStart"/>
      <w:r w:rsidR="005201BA">
        <w:rPr>
          <w:b/>
          <w:lang w:val="en-US"/>
        </w:rPr>
        <w:t>Followup</w:t>
      </w:r>
      <w:proofErr w:type="spellEnd"/>
      <w:r w:rsidR="005201BA">
        <w:rPr>
          <w:b/>
          <w:lang w:val="en-US"/>
        </w:rPr>
        <w:t xml:space="preserve"> and Advocacy of</w:t>
      </w:r>
      <w:r w:rsidR="00580F74">
        <w:rPr>
          <w:b/>
          <w:lang w:val="en-US"/>
        </w:rPr>
        <w:t xml:space="preserve"> </w:t>
      </w:r>
      <w:r w:rsidR="008144B1">
        <w:rPr>
          <w:b/>
          <w:lang w:val="en-US"/>
        </w:rPr>
        <w:t xml:space="preserve">FGM/C </w:t>
      </w:r>
      <w:r w:rsidR="005201BA">
        <w:rPr>
          <w:b/>
          <w:lang w:val="en-US"/>
        </w:rPr>
        <w:t>within the SD</w:t>
      </w:r>
      <w:r w:rsidR="008144B1">
        <w:rPr>
          <w:b/>
          <w:lang w:val="en-US"/>
        </w:rPr>
        <w:t xml:space="preserve">Gs </w:t>
      </w:r>
    </w:p>
    <w:p w:rsidR="0026249B" w:rsidRDefault="003674D4" w:rsidP="00E627D9">
      <w:pPr>
        <w:jc w:val="both"/>
        <w:rPr>
          <w:lang w:val="en-US"/>
        </w:rPr>
      </w:pPr>
      <w:r>
        <w:rPr>
          <w:lang w:val="en-US"/>
        </w:rPr>
        <w:t xml:space="preserve">As part of </w:t>
      </w:r>
      <w:r w:rsidR="0026249B" w:rsidRPr="003674D4">
        <w:rPr>
          <w:lang w:val="en-US"/>
        </w:rPr>
        <w:t xml:space="preserve">International </w:t>
      </w:r>
      <w:r w:rsidR="00093F20" w:rsidRPr="003674D4">
        <w:rPr>
          <w:lang w:val="en-US"/>
        </w:rPr>
        <w:t>Commitment</w:t>
      </w:r>
      <w:r w:rsidR="002E2E68">
        <w:rPr>
          <w:lang w:val="en-US"/>
        </w:rPr>
        <w:t xml:space="preserve"> in addressing Harmful</w:t>
      </w:r>
      <w:r w:rsidR="002E2E68">
        <w:t xml:space="preserve"> </w:t>
      </w:r>
      <w:r w:rsidR="0026249B" w:rsidRPr="003674D4">
        <w:rPr>
          <w:lang w:val="en-US"/>
        </w:rPr>
        <w:t>Practices and Zero Tolerance against FGM/C</w:t>
      </w:r>
      <w:r w:rsidR="002E2E68">
        <w:rPr>
          <w:lang w:val="en-US"/>
        </w:rPr>
        <w:t xml:space="preserve">, Indonesia is developing </w:t>
      </w:r>
      <w:r w:rsidR="00005451">
        <w:rPr>
          <w:lang w:val="en-US"/>
        </w:rPr>
        <w:t xml:space="preserve">a </w:t>
      </w:r>
      <w:r w:rsidR="002E2E68">
        <w:rPr>
          <w:lang w:val="en-US"/>
        </w:rPr>
        <w:t>set o</w:t>
      </w:r>
      <w:r w:rsidR="00093F20">
        <w:rPr>
          <w:lang w:val="en-US"/>
        </w:rPr>
        <w:t>f national SDGs Indicators on gender</w:t>
      </w:r>
      <w:r w:rsidR="003E103C">
        <w:rPr>
          <w:lang w:val="en-US"/>
        </w:rPr>
        <w:t>,</w:t>
      </w:r>
      <w:r w:rsidR="00093F20">
        <w:rPr>
          <w:lang w:val="en-US"/>
        </w:rPr>
        <w:t xml:space="preserve"> including FGM/C.  In June to December 2016, UNFPA and </w:t>
      </w:r>
      <w:r w:rsidR="00E627D9">
        <w:t>NCVAW</w:t>
      </w:r>
      <w:r w:rsidR="00E627D9">
        <w:rPr>
          <w:lang w:val="en-US"/>
        </w:rPr>
        <w:t xml:space="preserve"> were</w:t>
      </w:r>
      <w:r w:rsidR="00005451">
        <w:rPr>
          <w:lang w:val="en-US"/>
        </w:rPr>
        <w:t xml:space="preserve"> </w:t>
      </w:r>
      <w:r w:rsidR="00093F20">
        <w:rPr>
          <w:lang w:val="en-US"/>
        </w:rPr>
        <w:t>involved in the discussion of the gender</w:t>
      </w:r>
      <w:r w:rsidR="00C97828">
        <w:rPr>
          <w:lang w:val="en-US"/>
        </w:rPr>
        <w:t xml:space="preserve"> indicators</w:t>
      </w:r>
      <w:r w:rsidR="003E103C">
        <w:rPr>
          <w:lang w:val="en-US"/>
        </w:rPr>
        <w:t>,</w:t>
      </w:r>
      <w:r w:rsidR="00C97828">
        <w:rPr>
          <w:lang w:val="en-US"/>
        </w:rPr>
        <w:t xml:space="preserve"> inc</w:t>
      </w:r>
      <w:r w:rsidR="00561722">
        <w:rPr>
          <w:lang w:val="en-US"/>
        </w:rPr>
        <w:t>l</w:t>
      </w:r>
      <w:r w:rsidR="00C97828">
        <w:rPr>
          <w:lang w:val="en-US"/>
        </w:rPr>
        <w:t>uding FGM/C</w:t>
      </w:r>
      <w:r w:rsidR="003E103C">
        <w:rPr>
          <w:lang w:val="en-US"/>
        </w:rPr>
        <w:t>,</w:t>
      </w:r>
      <w:r w:rsidR="00C97828">
        <w:rPr>
          <w:lang w:val="en-US"/>
        </w:rPr>
        <w:t xml:space="preserve"> </w:t>
      </w:r>
      <w:r w:rsidR="002E2E68">
        <w:t>coordinate</w:t>
      </w:r>
      <w:r w:rsidR="003E103C">
        <w:rPr>
          <w:lang w:val="en-US"/>
        </w:rPr>
        <w:t>d</w:t>
      </w:r>
      <w:r w:rsidR="002E2E68">
        <w:t xml:space="preserve"> by</w:t>
      </w:r>
      <w:r w:rsidR="00093F20">
        <w:rPr>
          <w:lang w:val="en-US"/>
        </w:rPr>
        <w:t xml:space="preserve"> SDGs Secretariat</w:t>
      </w:r>
      <w:r w:rsidR="00005451">
        <w:rPr>
          <w:lang w:val="en-US"/>
        </w:rPr>
        <w:t xml:space="preserve"> at </w:t>
      </w:r>
      <w:proofErr w:type="spellStart"/>
      <w:r w:rsidR="00005451">
        <w:rPr>
          <w:lang w:val="en-US"/>
        </w:rPr>
        <w:t>Bappenas</w:t>
      </w:r>
      <w:proofErr w:type="spellEnd"/>
      <w:r w:rsidR="00093F20">
        <w:rPr>
          <w:lang w:val="en-US"/>
        </w:rPr>
        <w:t>.  In addition, as part of the discussion, UNFPA facilitated the group of women CSO</w:t>
      </w:r>
      <w:r w:rsidR="002E2E68">
        <w:t>s</w:t>
      </w:r>
      <w:r w:rsidR="00093F20">
        <w:rPr>
          <w:lang w:val="en-US"/>
        </w:rPr>
        <w:t xml:space="preserve"> and activists, including </w:t>
      </w:r>
      <w:r w:rsidR="00E627D9">
        <w:t>NCVAW</w:t>
      </w:r>
      <w:r w:rsidR="003E103C">
        <w:rPr>
          <w:lang w:val="en-US"/>
        </w:rPr>
        <w:t>,</w:t>
      </w:r>
      <w:r w:rsidR="00E627D9">
        <w:t xml:space="preserve"> </w:t>
      </w:r>
      <w:r w:rsidR="00E627D9">
        <w:rPr>
          <w:lang w:val="en-US"/>
        </w:rPr>
        <w:t>to</w:t>
      </w:r>
      <w:r w:rsidR="00093F20">
        <w:rPr>
          <w:lang w:val="en-US"/>
        </w:rPr>
        <w:t xml:space="preserve"> develop the draft of operational definition and national indicators of FGM/C.  The draft document </w:t>
      </w:r>
      <w:r w:rsidR="00005451">
        <w:rPr>
          <w:lang w:val="en-US"/>
        </w:rPr>
        <w:t xml:space="preserve">is being </w:t>
      </w:r>
      <w:r w:rsidR="00093F20">
        <w:rPr>
          <w:lang w:val="en-US"/>
        </w:rPr>
        <w:t>proposed to the SDGs Secretariat</w:t>
      </w:r>
      <w:r w:rsidR="003E103C">
        <w:rPr>
          <w:lang w:val="en-US"/>
        </w:rPr>
        <w:t>,</w:t>
      </w:r>
      <w:r w:rsidR="00093F20">
        <w:rPr>
          <w:lang w:val="en-US"/>
        </w:rPr>
        <w:t xml:space="preserve"> upon</w:t>
      </w:r>
      <w:r w:rsidR="00005451">
        <w:rPr>
          <w:lang w:val="en-US"/>
        </w:rPr>
        <w:t xml:space="preserve"> discussion with the MOWECP</w:t>
      </w:r>
      <w:r w:rsidR="003E103C">
        <w:rPr>
          <w:lang w:val="en-US"/>
        </w:rPr>
        <w:t>,</w:t>
      </w:r>
      <w:r w:rsidR="00005451">
        <w:rPr>
          <w:lang w:val="en-US"/>
        </w:rPr>
        <w:t xml:space="preserve"> for further submission to </w:t>
      </w:r>
      <w:proofErr w:type="spellStart"/>
      <w:r w:rsidR="00093F20">
        <w:rPr>
          <w:lang w:val="en-US"/>
        </w:rPr>
        <w:t>Bappenas</w:t>
      </w:r>
      <w:proofErr w:type="spellEnd"/>
      <w:r w:rsidR="00093F20">
        <w:rPr>
          <w:lang w:val="en-US"/>
        </w:rPr>
        <w:t xml:space="preserve">. </w:t>
      </w:r>
    </w:p>
    <w:p w:rsidR="0026249B" w:rsidRPr="000262AD" w:rsidRDefault="00B95DD5" w:rsidP="00E627D9">
      <w:pPr>
        <w:jc w:val="both"/>
      </w:pPr>
      <w:r>
        <w:rPr>
          <w:lang w:val="en-US"/>
        </w:rPr>
        <w:lastRenderedPageBreak/>
        <w:t xml:space="preserve">In relation to UNFPA support to </w:t>
      </w:r>
      <w:proofErr w:type="spellStart"/>
      <w:r>
        <w:rPr>
          <w:lang w:val="en-US"/>
        </w:rPr>
        <w:t>MoH</w:t>
      </w:r>
      <w:proofErr w:type="spellEnd"/>
      <w:r>
        <w:rPr>
          <w:lang w:val="en-US"/>
        </w:rPr>
        <w:t xml:space="preserve">, </w:t>
      </w:r>
      <w:r w:rsidR="003E103C">
        <w:rPr>
          <w:lang w:val="en-US"/>
        </w:rPr>
        <w:t>o</w:t>
      </w:r>
      <w:r>
        <w:rPr>
          <w:lang w:val="en-US"/>
        </w:rPr>
        <w:t>n 3 November 2016, UNFPA</w:t>
      </w:r>
      <w:r w:rsidR="003E103C">
        <w:rPr>
          <w:lang w:val="en-US"/>
        </w:rPr>
        <w:t>,</w:t>
      </w:r>
      <w:r>
        <w:rPr>
          <w:lang w:val="en-US"/>
        </w:rPr>
        <w:t xml:space="preserve"> in collaboration with MOWECP and </w:t>
      </w:r>
      <w:proofErr w:type="spellStart"/>
      <w:r>
        <w:rPr>
          <w:lang w:val="en-US"/>
        </w:rPr>
        <w:t>MoH</w:t>
      </w:r>
      <w:proofErr w:type="spellEnd"/>
      <w:r w:rsidR="003E103C">
        <w:rPr>
          <w:lang w:val="en-US"/>
        </w:rPr>
        <w:t>,</w:t>
      </w:r>
      <w:r>
        <w:rPr>
          <w:lang w:val="en-US"/>
        </w:rPr>
        <w:t xml:space="preserve"> conducted a session on FGM/C during the </w:t>
      </w:r>
      <w:r w:rsidR="002E2E68">
        <w:rPr>
          <w:lang w:val="en-US"/>
        </w:rPr>
        <w:t xml:space="preserve">National Meeting of Indonesian </w:t>
      </w:r>
      <w:r>
        <w:rPr>
          <w:lang w:val="en-US"/>
        </w:rPr>
        <w:t xml:space="preserve">Midwives Association/IBI in </w:t>
      </w:r>
      <w:proofErr w:type="spellStart"/>
      <w:r>
        <w:rPr>
          <w:lang w:val="en-US"/>
        </w:rPr>
        <w:t>Batam</w:t>
      </w:r>
      <w:proofErr w:type="spellEnd"/>
      <w:r>
        <w:rPr>
          <w:lang w:val="en-US"/>
        </w:rPr>
        <w:t xml:space="preserve">.  The meeting was attended by 3,500 midwives with the keynote speech from the </w:t>
      </w:r>
      <w:r w:rsidR="002E2E68">
        <w:t>former Deputy Minister of Religious Affairs</w:t>
      </w:r>
      <w:r>
        <w:rPr>
          <w:lang w:val="en-US"/>
        </w:rPr>
        <w:t xml:space="preserve">, </w:t>
      </w:r>
      <w:r w:rsidR="002E2E68">
        <w:t xml:space="preserve">Mr. </w:t>
      </w:r>
      <w:proofErr w:type="spellStart"/>
      <w:r>
        <w:rPr>
          <w:lang w:val="en-US"/>
        </w:rPr>
        <w:t>Nazaruddin</w:t>
      </w:r>
      <w:proofErr w:type="spellEnd"/>
      <w:r>
        <w:rPr>
          <w:lang w:val="en-US"/>
        </w:rPr>
        <w:t xml:space="preserve"> Umar</w:t>
      </w:r>
      <w:r w:rsidR="003E103C">
        <w:rPr>
          <w:lang w:val="en-US"/>
        </w:rPr>
        <w:t>,</w:t>
      </w:r>
      <w:r w:rsidR="002E2E68">
        <w:t xml:space="preserve"> who currently </w:t>
      </w:r>
      <w:r w:rsidR="00005451">
        <w:rPr>
          <w:lang w:val="en-US"/>
        </w:rPr>
        <w:t xml:space="preserve">is </w:t>
      </w:r>
      <w:r w:rsidR="002E2E68">
        <w:t>also act</w:t>
      </w:r>
      <w:proofErr w:type="spellStart"/>
      <w:r w:rsidR="00005451">
        <w:rPr>
          <w:lang w:val="en-US"/>
        </w:rPr>
        <w:t>ing</w:t>
      </w:r>
      <w:proofErr w:type="spellEnd"/>
      <w:r w:rsidR="002E2E68">
        <w:t xml:space="preserve"> as </w:t>
      </w:r>
      <w:r w:rsidR="000262AD">
        <w:t xml:space="preserve">Prominent Ulama of Istiqlal Mosque.  </w:t>
      </w:r>
      <w:r>
        <w:rPr>
          <w:lang w:val="en-US"/>
        </w:rPr>
        <w:t xml:space="preserve"> The session result</w:t>
      </w:r>
      <w:r w:rsidR="00005451">
        <w:rPr>
          <w:lang w:val="en-US"/>
        </w:rPr>
        <w:t>ed</w:t>
      </w:r>
      <w:r>
        <w:rPr>
          <w:lang w:val="en-US"/>
        </w:rPr>
        <w:t xml:space="preserve"> in </w:t>
      </w:r>
      <w:r w:rsidR="00005451">
        <w:rPr>
          <w:lang w:val="en-US"/>
        </w:rPr>
        <w:t xml:space="preserve">a </w:t>
      </w:r>
      <w:r>
        <w:rPr>
          <w:lang w:val="en-US"/>
        </w:rPr>
        <w:t>set of recommendation</w:t>
      </w:r>
      <w:r w:rsidR="000262AD">
        <w:t>s</w:t>
      </w:r>
      <w:r w:rsidR="00005451">
        <w:rPr>
          <w:lang w:val="en-US"/>
        </w:rPr>
        <w:t xml:space="preserve"> that included the</w:t>
      </w:r>
      <w:r w:rsidR="000262AD">
        <w:rPr>
          <w:lang w:val="en-US"/>
        </w:rPr>
        <w:t xml:space="preserve"> commitment </w:t>
      </w:r>
      <w:r w:rsidR="00E627D9">
        <w:rPr>
          <w:lang w:val="en-US"/>
        </w:rPr>
        <w:t xml:space="preserve">of </w:t>
      </w:r>
      <w:r w:rsidR="00005451">
        <w:rPr>
          <w:lang w:val="en-US"/>
        </w:rPr>
        <w:t xml:space="preserve">IBI, MOH and MOWECP </w:t>
      </w:r>
      <w:r w:rsidR="000262AD">
        <w:rPr>
          <w:lang w:val="en-US"/>
        </w:rPr>
        <w:t>to abandon FGM/C</w:t>
      </w:r>
      <w:r w:rsidR="000262AD">
        <w:t>.</w:t>
      </w:r>
    </w:p>
    <w:p w:rsidR="000262AD" w:rsidRPr="000262AD" w:rsidRDefault="00FB0F80" w:rsidP="00E627D9">
      <w:pPr>
        <w:jc w:val="both"/>
      </w:pPr>
      <w:r>
        <w:rPr>
          <w:lang w:val="en-US"/>
        </w:rPr>
        <w:t xml:space="preserve">During </w:t>
      </w:r>
      <w:r w:rsidR="00B95DD5">
        <w:rPr>
          <w:lang w:val="en-US"/>
        </w:rPr>
        <w:t xml:space="preserve">the period of </w:t>
      </w:r>
      <w:r w:rsidR="009334E5">
        <w:rPr>
          <w:lang w:val="en-US"/>
        </w:rPr>
        <w:t>July to December</w:t>
      </w:r>
      <w:r w:rsidR="00C97828">
        <w:t xml:space="preserve"> 2016</w:t>
      </w:r>
      <w:r w:rsidR="00B95DD5">
        <w:rPr>
          <w:lang w:val="en-US"/>
        </w:rPr>
        <w:t>, UNFPA provided technic</w:t>
      </w:r>
      <w:r w:rsidR="00C97828">
        <w:rPr>
          <w:lang w:val="en-US"/>
        </w:rPr>
        <w:t xml:space="preserve">al assistance to MOWECP on the </w:t>
      </w:r>
      <w:r w:rsidR="00E627D9">
        <w:rPr>
          <w:lang w:val="en-US"/>
        </w:rPr>
        <w:t>Stakeholder</w:t>
      </w:r>
      <w:r w:rsidR="00C97828">
        <w:t>s</w:t>
      </w:r>
      <w:r w:rsidR="00C97828">
        <w:rPr>
          <w:lang w:val="en-US"/>
        </w:rPr>
        <w:t xml:space="preserve"> </w:t>
      </w:r>
      <w:r w:rsidR="00E627D9">
        <w:t>M</w:t>
      </w:r>
      <w:proofErr w:type="spellStart"/>
      <w:r w:rsidR="00E627D9">
        <w:rPr>
          <w:lang w:val="en-US"/>
        </w:rPr>
        <w:t>apping</w:t>
      </w:r>
      <w:proofErr w:type="spellEnd"/>
      <w:r w:rsidR="00E627D9">
        <w:rPr>
          <w:lang w:val="en-US"/>
        </w:rPr>
        <w:t xml:space="preserve"> of</w:t>
      </w:r>
      <w:r w:rsidR="00B95DD5">
        <w:rPr>
          <w:lang w:val="en-US"/>
        </w:rPr>
        <w:t xml:space="preserve"> FGM/C.</w:t>
      </w:r>
      <w:r w:rsidR="009334E5">
        <w:rPr>
          <w:lang w:val="en-US"/>
        </w:rPr>
        <w:t xml:space="preserve"> </w:t>
      </w:r>
      <w:r w:rsidR="00C97828">
        <w:t xml:space="preserve"> </w:t>
      </w:r>
      <w:r w:rsidR="009334E5">
        <w:rPr>
          <w:lang w:val="en-US"/>
        </w:rPr>
        <w:t>A series of meetings and workshop</w:t>
      </w:r>
      <w:r>
        <w:rPr>
          <w:lang w:val="en-US"/>
        </w:rPr>
        <w:t>s were</w:t>
      </w:r>
      <w:r w:rsidR="009334E5">
        <w:rPr>
          <w:lang w:val="en-US"/>
        </w:rPr>
        <w:t xml:space="preserve"> conducted involving related stakeholders to discuss and provide inputs for MOWECP on the development of MOWECP next strategy in addressing FGM/C.  </w:t>
      </w:r>
      <w:r w:rsidR="000262AD">
        <w:t xml:space="preserve">Both, </w:t>
      </w:r>
      <w:r w:rsidR="003E103C">
        <w:rPr>
          <w:lang w:val="en-US"/>
        </w:rPr>
        <w:t xml:space="preserve">the </w:t>
      </w:r>
      <w:r w:rsidR="000262AD">
        <w:t>DFAT</w:t>
      </w:r>
      <w:r w:rsidR="003E103C">
        <w:rPr>
          <w:lang w:val="en-US"/>
        </w:rPr>
        <w:t>-UNFPA</w:t>
      </w:r>
      <w:r w:rsidR="000262AD">
        <w:t xml:space="preserve"> and MOWECP studies on FGM/C will be used as references for the development of MOWECP </w:t>
      </w:r>
      <w:r w:rsidR="003E103C">
        <w:rPr>
          <w:lang w:val="en-US"/>
        </w:rPr>
        <w:t>A</w:t>
      </w:r>
      <w:r w:rsidR="000262AD">
        <w:t xml:space="preserve">dvocacy </w:t>
      </w:r>
      <w:r w:rsidR="003E103C">
        <w:rPr>
          <w:lang w:val="en-US"/>
        </w:rPr>
        <w:t>S</w:t>
      </w:r>
      <w:r w:rsidR="000262AD">
        <w:t>trategy</w:t>
      </w:r>
      <w:r w:rsidR="003E103C">
        <w:rPr>
          <w:lang w:val="en-US"/>
        </w:rPr>
        <w:t xml:space="preserve"> for Abandonment of FGM/C</w:t>
      </w:r>
      <w:r w:rsidR="000262AD">
        <w:t>.</w:t>
      </w:r>
    </w:p>
    <w:p w:rsidR="0026249B" w:rsidRDefault="000262AD" w:rsidP="00E627D9">
      <w:pPr>
        <w:jc w:val="both"/>
        <w:rPr>
          <w:lang w:val="en-US"/>
        </w:rPr>
      </w:pPr>
      <w:r>
        <w:rPr>
          <w:lang w:val="en-US"/>
        </w:rPr>
        <w:t xml:space="preserve">The Validation Meeting on the Stakeholders </w:t>
      </w:r>
      <w:r w:rsidR="00E627D9">
        <w:rPr>
          <w:lang w:val="en-US"/>
        </w:rPr>
        <w:t>Mapping also</w:t>
      </w:r>
      <w:r w:rsidR="009334E5">
        <w:rPr>
          <w:lang w:val="en-US"/>
        </w:rPr>
        <w:t xml:space="preserve"> agreed </w:t>
      </w:r>
      <w:r>
        <w:t>on</w:t>
      </w:r>
      <w:r w:rsidR="003E103C">
        <w:rPr>
          <w:lang w:val="en-US"/>
        </w:rPr>
        <w:t xml:space="preserve"> a set of recommendations for</w:t>
      </w:r>
      <w:r>
        <w:t xml:space="preserve"> the</w:t>
      </w:r>
      <w:r w:rsidR="009334E5">
        <w:rPr>
          <w:lang w:val="en-US"/>
        </w:rPr>
        <w:t xml:space="preserve"> follow up discussion</w:t>
      </w:r>
      <w:r w:rsidR="003E103C">
        <w:rPr>
          <w:lang w:val="en-US"/>
        </w:rPr>
        <w:t>s</w:t>
      </w:r>
      <w:r w:rsidR="009334E5">
        <w:rPr>
          <w:lang w:val="en-US"/>
        </w:rPr>
        <w:t xml:space="preserve"> </w:t>
      </w:r>
      <w:r>
        <w:t xml:space="preserve">for </w:t>
      </w:r>
      <w:r w:rsidR="009334E5">
        <w:rPr>
          <w:lang w:val="en-US"/>
        </w:rPr>
        <w:t>SDGs indicators</w:t>
      </w:r>
      <w:r>
        <w:t xml:space="preserve"> to be </w:t>
      </w:r>
      <w:r w:rsidR="00E627D9">
        <w:t xml:space="preserve">conducted </w:t>
      </w:r>
      <w:r w:rsidR="00E627D9">
        <w:rPr>
          <w:lang w:val="en-US"/>
        </w:rPr>
        <w:t>in</w:t>
      </w:r>
      <w:r w:rsidR="009334E5">
        <w:rPr>
          <w:lang w:val="en-US"/>
        </w:rPr>
        <w:t xml:space="preserve"> 2017</w:t>
      </w:r>
      <w:r>
        <w:t>,</w:t>
      </w:r>
      <w:r w:rsidR="009334E5">
        <w:rPr>
          <w:lang w:val="en-US"/>
        </w:rPr>
        <w:t xml:space="preserve"> coordinated by </w:t>
      </w:r>
      <w:r>
        <w:t>MOWECP.</w:t>
      </w:r>
      <w:r w:rsidR="009334E5">
        <w:rPr>
          <w:lang w:val="en-US"/>
        </w:rPr>
        <w:t xml:space="preserve"> </w:t>
      </w:r>
    </w:p>
    <w:p w:rsidR="008144B1" w:rsidRPr="00C97828" w:rsidRDefault="008144B1" w:rsidP="00E627D9">
      <w:pPr>
        <w:jc w:val="both"/>
      </w:pPr>
    </w:p>
    <w:p w:rsidR="0026249B" w:rsidRPr="0017676C" w:rsidRDefault="0026249B" w:rsidP="0017676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7676C">
        <w:rPr>
          <w:b/>
          <w:lang w:val="en-US"/>
        </w:rPr>
        <w:t xml:space="preserve">Change in </w:t>
      </w:r>
      <w:r w:rsidR="00C97828" w:rsidRPr="0017676C">
        <w:rPr>
          <w:b/>
        </w:rPr>
        <w:t xml:space="preserve">the </w:t>
      </w:r>
      <w:r w:rsidRPr="0017676C">
        <w:rPr>
          <w:b/>
          <w:lang w:val="en-US"/>
        </w:rPr>
        <w:t>Project Implementation</w:t>
      </w:r>
    </w:p>
    <w:p w:rsidR="0026249B" w:rsidRDefault="0026249B" w:rsidP="00E1560E">
      <w:pPr>
        <w:jc w:val="both"/>
      </w:pPr>
      <w:r>
        <w:rPr>
          <w:lang w:val="en-US"/>
        </w:rPr>
        <w:t>Due to</w:t>
      </w:r>
      <w:r w:rsidR="009334E5">
        <w:rPr>
          <w:lang w:val="en-US"/>
        </w:rPr>
        <w:t xml:space="preserve"> lengthy discussion</w:t>
      </w:r>
      <w:r w:rsidR="00C97828">
        <w:rPr>
          <w:lang w:val="en-US"/>
        </w:rPr>
        <w:t xml:space="preserve"> with </w:t>
      </w:r>
      <w:r w:rsidR="00E1560E">
        <w:t xml:space="preserve">NCVAW </w:t>
      </w:r>
      <w:r w:rsidR="00E1560E">
        <w:rPr>
          <w:lang w:val="en-US"/>
        </w:rPr>
        <w:t>on</w:t>
      </w:r>
      <w:r w:rsidR="009334E5">
        <w:rPr>
          <w:lang w:val="en-US"/>
        </w:rPr>
        <w:t xml:space="preserve"> the division of roles</w:t>
      </w:r>
      <w:r w:rsidR="000262AD">
        <w:t xml:space="preserve"> between</w:t>
      </w:r>
      <w:r w:rsidR="009334E5">
        <w:rPr>
          <w:lang w:val="en-US"/>
        </w:rPr>
        <w:t xml:space="preserve"> </w:t>
      </w:r>
      <w:r w:rsidR="00A833D6">
        <w:t>NCVAW</w:t>
      </w:r>
      <w:r w:rsidR="00E1560E">
        <w:rPr>
          <w:lang w:val="en-US"/>
        </w:rPr>
        <w:t xml:space="preserve"> </w:t>
      </w:r>
      <w:r w:rsidR="009334E5">
        <w:rPr>
          <w:lang w:val="en-US"/>
        </w:rPr>
        <w:t xml:space="preserve">and </w:t>
      </w:r>
      <w:r w:rsidR="00E1560E">
        <w:rPr>
          <w:lang w:val="en-US"/>
        </w:rPr>
        <w:t>NRI</w:t>
      </w:r>
      <w:r w:rsidR="003E103C">
        <w:rPr>
          <w:lang w:val="en-US"/>
        </w:rPr>
        <w:t>,</w:t>
      </w:r>
      <w:r w:rsidR="00E1560E" w:rsidRPr="00E1560E">
        <w:rPr>
          <w:lang w:val="en-US"/>
        </w:rPr>
        <w:t xml:space="preserve"> </w:t>
      </w:r>
      <w:r w:rsidR="00E1560E">
        <w:rPr>
          <w:lang w:val="en-US"/>
        </w:rPr>
        <w:t xml:space="preserve">the first activity of the study </w:t>
      </w:r>
      <w:r w:rsidR="00E1560E">
        <w:t xml:space="preserve">on desk review </w:t>
      </w:r>
      <w:r w:rsidR="00E1560E">
        <w:rPr>
          <w:lang w:val="en-US"/>
        </w:rPr>
        <w:t>started on November – December 2016. In addition to this</w:t>
      </w:r>
      <w:r w:rsidR="003E103C">
        <w:rPr>
          <w:lang w:val="en-US"/>
        </w:rPr>
        <w:t>,</w:t>
      </w:r>
      <w:r w:rsidR="00E1560E">
        <w:rPr>
          <w:lang w:val="en-US"/>
        </w:rPr>
        <w:t xml:space="preserve"> the CPPS – GMU is a new partner to UNFPA. A</w:t>
      </w:r>
      <w:r w:rsidR="00D779E4">
        <w:rPr>
          <w:lang w:val="en-US"/>
        </w:rPr>
        <w:t>d</w:t>
      </w:r>
      <w:r w:rsidR="00E1560E">
        <w:rPr>
          <w:lang w:val="en-US"/>
        </w:rPr>
        <w:t>ministrative procedure</w:t>
      </w:r>
      <w:r w:rsidR="00D779E4">
        <w:rPr>
          <w:lang w:val="en-US"/>
        </w:rPr>
        <w:t>s</w:t>
      </w:r>
      <w:r w:rsidR="00E1560E">
        <w:rPr>
          <w:lang w:val="en-US"/>
        </w:rPr>
        <w:t xml:space="preserve"> following the policy of UNFPA must be carried out prior </w:t>
      </w:r>
      <w:r w:rsidR="00D779E4">
        <w:rPr>
          <w:lang w:val="en-US"/>
        </w:rPr>
        <w:t xml:space="preserve">to </w:t>
      </w:r>
      <w:r w:rsidR="00E1560E">
        <w:rPr>
          <w:lang w:val="en-US"/>
        </w:rPr>
        <w:t>formalizing the partnership with the institution</w:t>
      </w:r>
      <w:r w:rsidR="00D779E4">
        <w:rPr>
          <w:lang w:val="en-US"/>
        </w:rPr>
        <w:t xml:space="preserve"> once selection is made</w:t>
      </w:r>
      <w:r w:rsidR="00E1560E">
        <w:rPr>
          <w:lang w:val="en-US"/>
        </w:rPr>
        <w:t xml:space="preserve">. The administrative process took a long time that resulted in the delay of project implementation. </w:t>
      </w:r>
      <w:r w:rsidR="009334E5">
        <w:rPr>
          <w:lang w:val="en-US"/>
        </w:rPr>
        <w:t xml:space="preserve"> The delay of the first activ</w:t>
      </w:r>
      <w:r w:rsidR="000262AD">
        <w:rPr>
          <w:lang w:val="en-US"/>
        </w:rPr>
        <w:t>ity</w:t>
      </w:r>
      <w:r w:rsidR="00224AD1">
        <w:t>,</w:t>
      </w:r>
      <w:r w:rsidR="000262AD">
        <w:rPr>
          <w:lang w:val="en-US"/>
        </w:rPr>
        <w:t xml:space="preserve"> impact</w:t>
      </w:r>
      <w:r w:rsidR="00FB0F80">
        <w:rPr>
          <w:lang w:val="en-US"/>
        </w:rPr>
        <w:t>ed</w:t>
      </w:r>
      <w:r w:rsidR="000262AD">
        <w:rPr>
          <w:lang w:val="en-US"/>
        </w:rPr>
        <w:t xml:space="preserve"> </w:t>
      </w:r>
      <w:r w:rsidR="000262AD">
        <w:t>on</w:t>
      </w:r>
      <w:r w:rsidR="000262AD">
        <w:rPr>
          <w:lang w:val="en-US"/>
        </w:rPr>
        <w:t xml:space="preserve"> the change of the </w:t>
      </w:r>
      <w:r w:rsidR="009334E5">
        <w:rPr>
          <w:lang w:val="en-US"/>
        </w:rPr>
        <w:t>project implementation</w:t>
      </w:r>
      <w:r w:rsidR="000262AD">
        <w:t xml:space="preserve"> schedule</w:t>
      </w:r>
      <w:r w:rsidR="009334E5">
        <w:rPr>
          <w:lang w:val="en-US"/>
        </w:rPr>
        <w:t xml:space="preserve">.  Based on discussion with both, </w:t>
      </w:r>
      <w:r w:rsidR="00A833D6">
        <w:t>NCVAW</w:t>
      </w:r>
      <w:r w:rsidR="009334E5">
        <w:rPr>
          <w:lang w:val="en-US"/>
        </w:rPr>
        <w:t xml:space="preserve"> and </w:t>
      </w:r>
      <w:r w:rsidR="00224AD1">
        <w:t>CPPS - GMU</w:t>
      </w:r>
      <w:r w:rsidR="009334E5">
        <w:rPr>
          <w:lang w:val="en-US"/>
        </w:rPr>
        <w:t xml:space="preserve"> on the new activity schedule, realistically</w:t>
      </w:r>
      <w:r w:rsidR="000262AD">
        <w:t xml:space="preserve">, </w:t>
      </w:r>
      <w:r w:rsidR="00FB0F80">
        <w:rPr>
          <w:lang w:val="en-US"/>
        </w:rPr>
        <w:t>the study will be completed</w:t>
      </w:r>
      <w:r w:rsidR="009334E5">
        <w:rPr>
          <w:lang w:val="en-US"/>
        </w:rPr>
        <w:t xml:space="preserve"> </w:t>
      </w:r>
      <w:r w:rsidR="00D779E4">
        <w:rPr>
          <w:lang w:val="en-US"/>
        </w:rPr>
        <w:t>by</w:t>
      </w:r>
      <w:r w:rsidR="009334E5">
        <w:rPr>
          <w:lang w:val="en-US"/>
        </w:rPr>
        <w:t xml:space="preserve"> </w:t>
      </w:r>
      <w:r w:rsidR="00D779E4">
        <w:rPr>
          <w:lang w:val="en-US"/>
        </w:rPr>
        <w:t>November</w:t>
      </w:r>
      <w:r w:rsidR="009334E5">
        <w:rPr>
          <w:lang w:val="en-US"/>
        </w:rPr>
        <w:t xml:space="preserve"> 2017 (including </w:t>
      </w:r>
      <w:r w:rsidR="000262AD">
        <w:t>the</w:t>
      </w:r>
      <w:r w:rsidR="00D779E4">
        <w:rPr>
          <w:lang w:val="en-US"/>
        </w:rPr>
        <w:t xml:space="preserve"> availability</w:t>
      </w:r>
      <w:r w:rsidR="009334E5">
        <w:rPr>
          <w:lang w:val="en-US"/>
        </w:rPr>
        <w:t xml:space="preserve"> of </w:t>
      </w:r>
      <w:r w:rsidR="00D779E4">
        <w:rPr>
          <w:lang w:val="en-US"/>
        </w:rPr>
        <w:t xml:space="preserve">an evidence based </w:t>
      </w:r>
      <w:r w:rsidR="009334E5">
        <w:rPr>
          <w:lang w:val="en-US"/>
        </w:rPr>
        <w:t>Policy Brief)</w:t>
      </w:r>
      <w:r w:rsidR="000262AD">
        <w:t>.  The formal letter for No Cost Extension of the Project Implementation will be sent by UNFPA to DFAT on January 2017.</w:t>
      </w:r>
    </w:p>
    <w:p w:rsidR="008144B1" w:rsidRDefault="008144B1" w:rsidP="00E1560E">
      <w:pPr>
        <w:jc w:val="both"/>
      </w:pPr>
    </w:p>
    <w:p w:rsidR="00AC4BAD" w:rsidRDefault="00AC4BAD" w:rsidP="0017676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AC4BAD">
        <w:rPr>
          <w:b/>
          <w:lang w:val="en-US"/>
        </w:rPr>
        <w:t>Challenge</w:t>
      </w:r>
      <w:r w:rsidR="00887898">
        <w:rPr>
          <w:b/>
          <w:lang w:val="en-US"/>
        </w:rPr>
        <w:t>s</w:t>
      </w:r>
    </w:p>
    <w:p w:rsidR="008144B1" w:rsidRDefault="008144B1" w:rsidP="00E1560E">
      <w:pPr>
        <w:jc w:val="both"/>
        <w:rPr>
          <w:lang w:val="en-US"/>
        </w:rPr>
      </w:pPr>
      <w:r>
        <w:rPr>
          <w:lang w:val="en-US"/>
        </w:rPr>
        <w:t>Challenges that related to start up of the project are discussed above, action taken and mitigation strategy regarding completion of the project is discussed under Section 4.</w:t>
      </w:r>
    </w:p>
    <w:p w:rsidR="00887898" w:rsidRPr="001A548C" w:rsidRDefault="00887898" w:rsidP="00E1560E">
      <w:pPr>
        <w:jc w:val="both"/>
      </w:pPr>
      <w:r w:rsidRPr="001A548C">
        <w:t xml:space="preserve">Several challenges </w:t>
      </w:r>
      <w:r w:rsidR="00FB0F80">
        <w:rPr>
          <w:lang w:val="en-US"/>
        </w:rPr>
        <w:t xml:space="preserve">that </w:t>
      </w:r>
      <w:r w:rsidR="00D779E4">
        <w:rPr>
          <w:lang w:val="en-US"/>
        </w:rPr>
        <w:t>are</w:t>
      </w:r>
      <w:r w:rsidR="00FB0F80">
        <w:rPr>
          <w:lang w:val="en-US"/>
        </w:rPr>
        <w:t xml:space="preserve"> foreseen </w:t>
      </w:r>
      <w:r w:rsidRPr="001A548C">
        <w:t>during data collection</w:t>
      </w:r>
      <w:r w:rsidR="00D779E4">
        <w:rPr>
          <w:lang w:val="en-US"/>
        </w:rPr>
        <w:t xml:space="preserve"> include</w:t>
      </w:r>
      <w:r w:rsidRPr="001A548C">
        <w:t>:</w:t>
      </w:r>
    </w:p>
    <w:p w:rsidR="00887898" w:rsidRPr="001A548C" w:rsidRDefault="00D779E4" w:rsidP="00E1560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Se</w:t>
      </w:r>
      <w:r w:rsidR="00887898" w:rsidRPr="001A548C">
        <w:t xml:space="preserve">nsitivity of the issues </w:t>
      </w:r>
      <w:r>
        <w:rPr>
          <w:lang w:val="en-US"/>
        </w:rPr>
        <w:t xml:space="preserve">may </w:t>
      </w:r>
      <w:r w:rsidR="00887898" w:rsidRPr="001A548C">
        <w:t xml:space="preserve">impact </w:t>
      </w:r>
      <w:r>
        <w:rPr>
          <w:lang w:val="en-US"/>
        </w:rPr>
        <w:t>on</w:t>
      </w:r>
      <w:r w:rsidR="00887898" w:rsidRPr="001A548C">
        <w:t xml:space="preserve"> the willingness and possibility of rejection and reluctance among the respondents during data collection</w:t>
      </w:r>
    </w:p>
    <w:p w:rsidR="00887898" w:rsidRDefault="00D779E4" w:rsidP="00E1560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Potential</w:t>
      </w:r>
      <w:r w:rsidR="00887898" w:rsidRPr="001A548C">
        <w:t xml:space="preserve"> language barrier during the information gathering on the qualitative field study </w:t>
      </w:r>
      <w:r>
        <w:rPr>
          <w:lang w:val="en-US"/>
        </w:rPr>
        <w:t>may</w:t>
      </w:r>
      <w:r w:rsidR="00887898" w:rsidRPr="001A548C">
        <w:t xml:space="preserve"> impact on the quality of the information.</w:t>
      </w:r>
    </w:p>
    <w:p w:rsidR="00224AD1" w:rsidRDefault="00224AD1" w:rsidP="00E1560E">
      <w:pPr>
        <w:spacing w:after="0" w:line="240" w:lineRule="auto"/>
        <w:jc w:val="both"/>
      </w:pPr>
    </w:p>
    <w:p w:rsidR="00887898" w:rsidRPr="000262AD" w:rsidRDefault="000262AD" w:rsidP="00E1560E">
      <w:pPr>
        <w:spacing w:after="0" w:line="240" w:lineRule="auto"/>
        <w:jc w:val="both"/>
      </w:pPr>
      <w:r>
        <w:rPr>
          <w:lang w:val="en-US"/>
        </w:rPr>
        <w:t>Other Challenges</w:t>
      </w:r>
      <w:r>
        <w:t>:</w:t>
      </w:r>
    </w:p>
    <w:p w:rsidR="00513EE0" w:rsidRPr="00887898" w:rsidRDefault="00513EE0" w:rsidP="00E1560E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87898">
        <w:rPr>
          <w:lang w:val="en-US"/>
        </w:rPr>
        <w:t>Capacity of MOWECP as Coordinator for FGM/C related issues</w:t>
      </w:r>
    </w:p>
    <w:p w:rsidR="00513EE0" w:rsidRPr="00887898" w:rsidRDefault="00513EE0" w:rsidP="00E1560E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87898">
        <w:rPr>
          <w:lang w:val="en-US"/>
        </w:rPr>
        <w:t>Government willingness to acknowledg</w:t>
      </w:r>
      <w:r w:rsidR="00A833D6">
        <w:rPr>
          <w:lang w:val="en-US"/>
        </w:rPr>
        <w:t>e FGM/C is an issue of harmful</w:t>
      </w:r>
      <w:r w:rsidR="00A833D6">
        <w:t xml:space="preserve"> </w:t>
      </w:r>
      <w:r w:rsidRPr="00887898">
        <w:rPr>
          <w:lang w:val="en-US"/>
        </w:rPr>
        <w:t xml:space="preserve">practices in Indonesia </w:t>
      </w:r>
    </w:p>
    <w:p w:rsidR="00513EE0" w:rsidRDefault="00513EE0" w:rsidP="00E1560E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87898">
        <w:rPr>
          <w:lang w:val="en-US"/>
        </w:rPr>
        <w:t>Discriminative Local Regulation imposed by Local Government to gain revenue from FGM/C services</w:t>
      </w:r>
      <w:r w:rsidR="00D779E4">
        <w:rPr>
          <w:lang w:val="en-US"/>
        </w:rPr>
        <w:t xml:space="preserve"> in</w:t>
      </w:r>
      <w:r w:rsidRPr="00887898">
        <w:rPr>
          <w:lang w:val="en-US"/>
        </w:rPr>
        <w:t xml:space="preserve"> more than 10 districts in Indonesia</w:t>
      </w:r>
    </w:p>
    <w:p w:rsidR="008144B1" w:rsidRDefault="008144B1" w:rsidP="0017676C">
      <w:pPr>
        <w:pStyle w:val="ListParagraph"/>
        <w:jc w:val="both"/>
        <w:rPr>
          <w:lang w:val="en-US"/>
        </w:rPr>
      </w:pPr>
    </w:p>
    <w:p w:rsidR="008144B1" w:rsidRDefault="008144B1" w:rsidP="0017676C">
      <w:pPr>
        <w:pStyle w:val="ListParagraph"/>
        <w:jc w:val="both"/>
        <w:rPr>
          <w:lang w:val="en-US"/>
        </w:rPr>
      </w:pPr>
    </w:p>
    <w:p w:rsidR="008144B1" w:rsidRDefault="008144B1" w:rsidP="0017676C">
      <w:pPr>
        <w:pStyle w:val="ListParagraph"/>
        <w:jc w:val="both"/>
        <w:rPr>
          <w:lang w:val="en-US"/>
        </w:rPr>
      </w:pPr>
    </w:p>
    <w:p w:rsidR="00D779E4" w:rsidRPr="0017676C" w:rsidRDefault="008144B1" w:rsidP="0017676C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R</w:t>
      </w:r>
      <w:r w:rsidR="00D779E4" w:rsidRPr="0017676C">
        <w:rPr>
          <w:b/>
          <w:lang w:val="en-US"/>
        </w:rPr>
        <w:t xml:space="preserve">evised </w:t>
      </w:r>
      <w:r>
        <w:rPr>
          <w:b/>
          <w:lang w:val="en-US"/>
        </w:rPr>
        <w:t>Action Plan for 2016 -</w:t>
      </w:r>
      <w:r w:rsidR="00D779E4" w:rsidRPr="0017676C">
        <w:rPr>
          <w:b/>
          <w:lang w:val="en-US"/>
        </w:rPr>
        <w:t xml:space="preserve"> 2017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551"/>
        <w:gridCol w:w="3828"/>
      </w:tblGrid>
      <w:tr w:rsidR="00D779E4" w:rsidRPr="00181FC8" w:rsidTr="00987FBB">
        <w:trPr>
          <w:trHeight w:val="300"/>
          <w:tblHeader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Activity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9E4" w:rsidRPr="00181FC8" w:rsidRDefault="00D779E4" w:rsidP="00987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Timeline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Recruitment of NRI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November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2016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Desk Review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November-Dec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ember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2016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Ethical Clearance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  <w:r w:rsidRPr="00181FC8">
              <w:rPr>
                <w:rFonts w:ascii="Calibri" w:eastAsia="Times New Roman" w:hAnsi="Calibri" w:cs="Times New Roman"/>
                <w:color w:val="000000"/>
                <w:vertAlign w:val="superscript"/>
                <w:lang w:val="en-US"/>
              </w:rPr>
              <w:t>nd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week of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Januar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y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2017</w:t>
            </w:r>
          </w:p>
        </w:tc>
      </w:tr>
      <w:tr w:rsidR="00D779E4" w:rsidRPr="00181FC8" w:rsidTr="00987FBB">
        <w:trPr>
          <w:trHeight w:val="18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Workshop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to review the d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esk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finalise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the proposed methodology (sampling and questionnaire)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(2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days)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26 - 27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Januar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y 2017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Finalization of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Desk Review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1560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6 - 7 February, 10 - 12 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Workshop and consultative group meeting on methodology and instrument (sampling, questionnaire, research question guideline and manual )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(3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days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8 - 10 Februar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y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Pre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-testing research instrument in Central Java Province (2 district Kudus/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Jepara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Solo)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13-17 F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ebruar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y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Workshop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on the Finalization of Research Instrument and Preparation of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Field work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1560E">
              <w:rPr>
                <w:rFonts w:ascii="Calibri" w:eastAsia="Times New Roman" w:hAnsi="Calibri" w:cs="Times New Roman"/>
                <w:color w:val="000000"/>
                <w:lang w:val="en-US"/>
              </w:rPr>
              <w:t>1- 2 March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raining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rainers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6-10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March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Training for Field Assistance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  <w:r w:rsidRPr="00F401F0">
              <w:rPr>
                <w:rFonts w:ascii="Calibri" w:eastAsia="Times New Roman" w:hAnsi="Calibri" w:cs="Times New Roman"/>
                <w:color w:val="000000"/>
                <w:vertAlign w:val="superscript"/>
                <w:lang w:val="en-US"/>
              </w:rPr>
              <w:t>rd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week of March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Monitoring Training for Field Assistance (4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days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13-17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March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Data Collection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(qualitative and quantitative) include supervision of data collection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 March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-22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April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Data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Management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25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April -20 May 2017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Report writing (qualitative)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13-16  June 2017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Workshop Report Writing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(quantitative)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  <w:r w:rsidRPr="00E62141">
              <w:rPr>
                <w:rFonts w:ascii="Calibri" w:eastAsia="Times New Roman" w:hAnsi="Calibri" w:cs="Times New Roman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week of May – 4</w:t>
            </w:r>
            <w:r w:rsidRPr="00E62141">
              <w:rPr>
                <w:rFonts w:ascii="Calibri" w:eastAsia="Times New Roman" w:hAnsi="Calibri" w:cs="Times New Roman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week of June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Validation meeting of Draft Report Study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4-7 Jul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y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201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Finalization of Report (Qualitative) 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11-14 July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Dissemination of Study Result (workshop)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3 A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ugust 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Meeting for Policy Brief Development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15 A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ugust 2017</w:t>
            </w:r>
          </w:p>
        </w:tc>
      </w:tr>
      <w:tr w:rsidR="00D779E4" w:rsidRPr="00181FC8" w:rsidTr="00987FBB">
        <w:trPr>
          <w:trHeight w:val="366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Consultative Meeting for Development of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policy brief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5 - 7 September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2017</w:t>
            </w:r>
          </w:p>
        </w:tc>
      </w:tr>
      <w:tr w:rsidR="00D779E4" w:rsidRPr="00181FC8" w:rsidTr="00987FBB">
        <w:trPr>
          <w:trHeight w:val="7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Validation Meeting for Policy Brief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13 - 16 September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2017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Policy Brief Printed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  <w:r w:rsidRPr="00E62141">
              <w:rPr>
                <w:rFonts w:ascii="Calibri" w:eastAsia="Times New Roman" w:hAnsi="Calibri" w:cs="Times New Roman"/>
                <w:color w:val="000000"/>
                <w:vertAlign w:val="superscript"/>
                <w:lang w:val="en-US"/>
              </w:rPr>
              <w:t>rd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week of Oc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tober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2017</w:t>
            </w:r>
          </w:p>
        </w:tc>
      </w:tr>
      <w:tr w:rsidR="00D779E4" w:rsidRPr="00181FC8" w:rsidTr="00987FB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Final Report of Project 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9E4" w:rsidRPr="00181FC8" w:rsidRDefault="00D779E4" w:rsidP="00987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  <w:r w:rsidRPr="00E62141">
              <w:rPr>
                <w:rFonts w:ascii="Calibri" w:eastAsia="Times New Roman" w:hAnsi="Calibri" w:cs="Times New Roman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week of 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  <w:r w:rsidRPr="00181FC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tober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2017</w:t>
            </w:r>
          </w:p>
        </w:tc>
      </w:tr>
    </w:tbl>
    <w:p w:rsidR="00D779E4" w:rsidRDefault="00D779E4" w:rsidP="009749A7">
      <w:pPr>
        <w:rPr>
          <w:b/>
        </w:rPr>
      </w:pPr>
    </w:p>
    <w:p w:rsidR="009543FD" w:rsidRDefault="001767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Budget Expenditure</w:t>
      </w:r>
    </w:p>
    <w:p w:rsidR="0017676C" w:rsidRDefault="0017676C" w:rsidP="00FE33EF">
      <w:pPr>
        <w:rPr>
          <w:b/>
        </w:rPr>
      </w:pPr>
      <w:r>
        <w:rPr>
          <w:b/>
        </w:rPr>
        <w:t>DFAT has transferred the budget to fund the activity of “Study of Medicalization of FGM/C in Indonesia” amounting AUD 499,470</w:t>
      </w:r>
      <w:r w:rsidR="00FE33EF">
        <w:rPr>
          <w:b/>
        </w:rPr>
        <w:t>,</w:t>
      </w:r>
      <w:r>
        <w:rPr>
          <w:b/>
        </w:rPr>
        <w:t xml:space="preserve"> and it has been fully received by UNFPA, converted to USD amounting USD 380,403.</w:t>
      </w:r>
    </w:p>
    <w:p w:rsidR="0017676C" w:rsidRDefault="0017676C" w:rsidP="0017676C">
      <w:pPr>
        <w:rPr>
          <w:b/>
        </w:rPr>
      </w:pPr>
      <w:r>
        <w:rPr>
          <w:b/>
        </w:rPr>
        <w:t xml:space="preserve">In 2016, </w:t>
      </w:r>
      <w:r w:rsidR="004A51B9">
        <w:rPr>
          <w:b/>
        </w:rPr>
        <w:t>UNFPA expenditure included</w:t>
      </w:r>
      <w:r>
        <w:rPr>
          <w:b/>
        </w:rPr>
        <w:t xml:space="preserve"> USD </w:t>
      </w:r>
      <w:r w:rsidR="009B0B1E">
        <w:rPr>
          <w:b/>
        </w:rPr>
        <w:t>7,563</w:t>
      </w:r>
      <w:r w:rsidR="004A51B9">
        <w:rPr>
          <w:b/>
        </w:rPr>
        <w:t xml:space="preserve"> to support the</w:t>
      </w:r>
      <w:r>
        <w:rPr>
          <w:b/>
        </w:rPr>
        <w:t xml:space="preserve"> programme and management costs</w:t>
      </w:r>
      <w:r w:rsidR="004A51B9">
        <w:rPr>
          <w:b/>
        </w:rPr>
        <w:t xml:space="preserve"> related to the study of medicalization of FGM/C in Indonesia.</w:t>
      </w:r>
    </w:p>
    <w:p w:rsidR="004A51B9" w:rsidRDefault="004A51B9" w:rsidP="0017676C">
      <w:pPr>
        <w:rPr>
          <w:b/>
        </w:rPr>
      </w:pPr>
      <w:r>
        <w:rPr>
          <w:b/>
        </w:rPr>
        <w:t xml:space="preserve">In 2017, the remaining budget is divided with two implementing partners (NCVAW and CPPS-GMU) as well as UNFPA </w:t>
      </w:r>
      <w:r w:rsidR="00AA3BFA">
        <w:rPr>
          <w:b/>
        </w:rPr>
        <w:t>with details as follow: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4"/>
        <w:gridCol w:w="2976"/>
        <w:gridCol w:w="1276"/>
        <w:gridCol w:w="1168"/>
        <w:gridCol w:w="1276"/>
        <w:gridCol w:w="1134"/>
      </w:tblGrid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Name of Activity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168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NCVAW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CPPS-UGM</w:t>
            </w:r>
          </w:p>
        </w:tc>
        <w:tc>
          <w:tcPr>
            <w:tcW w:w="11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UNFPA</w:t>
            </w:r>
          </w:p>
        </w:tc>
      </w:tr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976" w:type="dxa"/>
          </w:tcPr>
          <w:p w:rsidR="004A51B9" w:rsidRDefault="00FE33EF" w:rsidP="004A51B9">
            <w:pPr>
              <w:rPr>
                <w:b/>
              </w:rPr>
            </w:pPr>
            <w:r>
              <w:rPr>
                <w:b/>
              </w:rPr>
              <w:t xml:space="preserve">Recruitment of  research </w:t>
            </w:r>
            <w:r>
              <w:rPr>
                <w:b/>
              </w:rPr>
              <w:lastRenderedPageBreak/>
              <w:t>t</w:t>
            </w:r>
            <w:r w:rsidR="004A51B9" w:rsidRPr="004A51B9">
              <w:rPr>
                <w:b/>
              </w:rPr>
              <w:t xml:space="preserve">eam 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lastRenderedPageBreak/>
              <w:t>37,330</w:t>
            </w:r>
          </w:p>
        </w:tc>
        <w:tc>
          <w:tcPr>
            <w:tcW w:w="1168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8,332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24,911</w:t>
            </w:r>
          </w:p>
        </w:tc>
        <w:tc>
          <w:tcPr>
            <w:tcW w:w="11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4,087</w:t>
            </w:r>
          </w:p>
        </w:tc>
      </w:tr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2976" w:type="dxa"/>
          </w:tcPr>
          <w:p w:rsidR="004A51B9" w:rsidRPr="004A51B9" w:rsidRDefault="00FE33EF" w:rsidP="004A51B9">
            <w:pPr>
              <w:rPr>
                <w:b/>
              </w:rPr>
            </w:pPr>
            <w:r>
              <w:rPr>
                <w:b/>
              </w:rPr>
              <w:t>Development of questionnaires survey and qualitative g</w:t>
            </w:r>
            <w:r w:rsidR="004A51B9" w:rsidRPr="004A51B9">
              <w:rPr>
                <w:b/>
              </w:rPr>
              <w:t>uidelines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7,772</w:t>
            </w:r>
          </w:p>
        </w:tc>
        <w:tc>
          <w:tcPr>
            <w:tcW w:w="1168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6,291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1,481</w:t>
            </w:r>
          </w:p>
        </w:tc>
        <w:tc>
          <w:tcPr>
            <w:tcW w:w="1134" w:type="dxa"/>
          </w:tcPr>
          <w:p w:rsidR="004A51B9" w:rsidRDefault="004A51B9" w:rsidP="0017676C">
            <w:pPr>
              <w:rPr>
                <w:b/>
              </w:rPr>
            </w:pPr>
          </w:p>
        </w:tc>
      </w:tr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976" w:type="dxa"/>
          </w:tcPr>
          <w:p w:rsidR="004A51B9" w:rsidRPr="004A51B9" w:rsidRDefault="00FE33EF" w:rsidP="004A51B9">
            <w:pPr>
              <w:rPr>
                <w:b/>
              </w:rPr>
            </w:pPr>
            <w:r>
              <w:rPr>
                <w:b/>
              </w:rPr>
              <w:t>Data c</w:t>
            </w:r>
            <w:r w:rsidR="004A51B9" w:rsidRPr="004A51B9">
              <w:rPr>
                <w:b/>
              </w:rPr>
              <w:t xml:space="preserve">ollection </w:t>
            </w:r>
            <w:r>
              <w:rPr>
                <w:b/>
              </w:rPr>
              <w:t>for monitoring s</w:t>
            </w:r>
            <w:r w:rsidR="004A51B9" w:rsidRPr="004A51B9">
              <w:rPr>
                <w:b/>
              </w:rPr>
              <w:t>upervision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134,960</w:t>
            </w:r>
          </w:p>
        </w:tc>
        <w:tc>
          <w:tcPr>
            <w:tcW w:w="1168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41,446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84,315</w:t>
            </w:r>
          </w:p>
        </w:tc>
        <w:tc>
          <w:tcPr>
            <w:tcW w:w="11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9,199</w:t>
            </w:r>
          </w:p>
        </w:tc>
      </w:tr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976" w:type="dxa"/>
          </w:tcPr>
          <w:p w:rsidR="004A51B9" w:rsidRPr="004A51B9" w:rsidRDefault="00FE33EF" w:rsidP="004A51B9">
            <w:pPr>
              <w:rPr>
                <w:b/>
              </w:rPr>
            </w:pPr>
            <w:r>
              <w:rPr>
                <w:b/>
              </w:rPr>
              <w:t>Workshop for monitoring of supervisor and enumerator's t</w:t>
            </w:r>
            <w:r w:rsidR="004A51B9" w:rsidRPr="004A51B9">
              <w:rPr>
                <w:b/>
              </w:rPr>
              <w:t>rainin</w:t>
            </w:r>
            <w:r w:rsidR="004A51B9">
              <w:rPr>
                <w:b/>
              </w:rPr>
              <w:t>g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20,306</w:t>
            </w:r>
          </w:p>
        </w:tc>
        <w:tc>
          <w:tcPr>
            <w:tcW w:w="1168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1,109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17,393</w:t>
            </w:r>
          </w:p>
        </w:tc>
        <w:tc>
          <w:tcPr>
            <w:tcW w:w="1134" w:type="dxa"/>
          </w:tcPr>
          <w:p w:rsidR="004A51B9" w:rsidRDefault="004A51B9" w:rsidP="00FE33EF">
            <w:pPr>
              <w:rPr>
                <w:b/>
              </w:rPr>
            </w:pPr>
            <w:r>
              <w:rPr>
                <w:b/>
              </w:rPr>
              <w:t>1,80</w:t>
            </w:r>
            <w:r w:rsidR="00FE33EF">
              <w:rPr>
                <w:b/>
              </w:rPr>
              <w:t>4</w:t>
            </w:r>
          </w:p>
        </w:tc>
      </w:tr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976" w:type="dxa"/>
          </w:tcPr>
          <w:p w:rsidR="004A51B9" w:rsidRPr="004A51B9" w:rsidRDefault="004A51B9" w:rsidP="004A51B9">
            <w:pPr>
              <w:rPr>
                <w:b/>
              </w:rPr>
            </w:pPr>
            <w:r w:rsidRPr="004A51B9">
              <w:rPr>
                <w:b/>
              </w:rPr>
              <w:t>Pre-test for survey instruments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20,201</w:t>
            </w:r>
          </w:p>
        </w:tc>
        <w:tc>
          <w:tcPr>
            <w:tcW w:w="1168" w:type="dxa"/>
          </w:tcPr>
          <w:p w:rsidR="004A51B9" w:rsidRDefault="004A51B9" w:rsidP="00FE33EF">
            <w:pPr>
              <w:rPr>
                <w:b/>
              </w:rPr>
            </w:pPr>
            <w:r>
              <w:rPr>
                <w:b/>
              </w:rPr>
              <w:t>7,22</w:t>
            </w:r>
            <w:r w:rsidR="00FE33EF">
              <w:rPr>
                <w:b/>
              </w:rPr>
              <w:t>8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11,770</w:t>
            </w:r>
          </w:p>
        </w:tc>
        <w:tc>
          <w:tcPr>
            <w:tcW w:w="1134" w:type="dxa"/>
          </w:tcPr>
          <w:p w:rsidR="004A51B9" w:rsidRDefault="00FE33EF" w:rsidP="0017676C">
            <w:pPr>
              <w:rPr>
                <w:b/>
              </w:rPr>
            </w:pPr>
            <w:r>
              <w:rPr>
                <w:b/>
              </w:rPr>
              <w:t>1,203</w:t>
            </w:r>
          </w:p>
        </w:tc>
      </w:tr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976" w:type="dxa"/>
          </w:tcPr>
          <w:p w:rsidR="004A51B9" w:rsidRPr="004A51B9" w:rsidRDefault="004A51B9" w:rsidP="004A51B9">
            <w:pPr>
              <w:rPr>
                <w:b/>
              </w:rPr>
            </w:pPr>
            <w:r w:rsidRPr="004A51B9">
              <w:rPr>
                <w:b/>
              </w:rPr>
              <w:t>Report writing and dissemination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22,470</w:t>
            </w:r>
          </w:p>
        </w:tc>
        <w:tc>
          <w:tcPr>
            <w:tcW w:w="1168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22,470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</w:p>
        </w:tc>
        <w:tc>
          <w:tcPr>
            <w:tcW w:w="1134" w:type="dxa"/>
          </w:tcPr>
          <w:p w:rsidR="004A51B9" w:rsidRDefault="004A51B9" w:rsidP="0017676C">
            <w:pPr>
              <w:rPr>
                <w:b/>
              </w:rPr>
            </w:pPr>
          </w:p>
        </w:tc>
      </w:tr>
      <w:tr w:rsidR="004A51B9" w:rsidTr="003E0A59">
        <w:tc>
          <w:tcPr>
            <w:tcW w:w="534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976" w:type="dxa"/>
          </w:tcPr>
          <w:p w:rsidR="004A51B9" w:rsidRPr="004A51B9" w:rsidRDefault="00FE33EF" w:rsidP="004A51B9">
            <w:pPr>
              <w:rPr>
                <w:b/>
              </w:rPr>
            </w:pPr>
            <w:r>
              <w:rPr>
                <w:b/>
              </w:rPr>
              <w:t>Policy brief d</w:t>
            </w:r>
            <w:r w:rsidR="004A51B9" w:rsidRPr="004A51B9">
              <w:rPr>
                <w:b/>
              </w:rPr>
              <w:t>evelopment</w:t>
            </w:r>
          </w:p>
        </w:tc>
        <w:tc>
          <w:tcPr>
            <w:tcW w:w="1276" w:type="dxa"/>
          </w:tcPr>
          <w:p w:rsidR="004A51B9" w:rsidRDefault="004A51B9" w:rsidP="0017676C">
            <w:pPr>
              <w:rPr>
                <w:b/>
              </w:rPr>
            </w:pPr>
            <w:r>
              <w:rPr>
                <w:b/>
              </w:rPr>
              <w:t>36,342</w:t>
            </w:r>
          </w:p>
        </w:tc>
        <w:tc>
          <w:tcPr>
            <w:tcW w:w="1168" w:type="dxa"/>
          </w:tcPr>
          <w:p w:rsidR="004A51B9" w:rsidRDefault="00FE33EF" w:rsidP="0017676C">
            <w:pPr>
              <w:rPr>
                <w:b/>
              </w:rPr>
            </w:pPr>
            <w:r>
              <w:rPr>
                <w:b/>
              </w:rPr>
              <w:t>22,755</w:t>
            </w:r>
          </w:p>
        </w:tc>
        <w:tc>
          <w:tcPr>
            <w:tcW w:w="1276" w:type="dxa"/>
          </w:tcPr>
          <w:p w:rsidR="004A51B9" w:rsidRDefault="00FE33EF" w:rsidP="0017676C">
            <w:pPr>
              <w:rPr>
                <w:b/>
              </w:rPr>
            </w:pPr>
            <w:r>
              <w:rPr>
                <w:b/>
              </w:rPr>
              <w:t>778</w:t>
            </w:r>
          </w:p>
        </w:tc>
        <w:tc>
          <w:tcPr>
            <w:tcW w:w="1134" w:type="dxa"/>
          </w:tcPr>
          <w:p w:rsidR="004A51B9" w:rsidRDefault="00FE33EF" w:rsidP="0017676C">
            <w:pPr>
              <w:rPr>
                <w:b/>
              </w:rPr>
            </w:pPr>
            <w:r>
              <w:rPr>
                <w:b/>
              </w:rPr>
              <w:t>12,809</w:t>
            </w:r>
          </w:p>
        </w:tc>
      </w:tr>
      <w:tr w:rsidR="00FE33EF" w:rsidTr="003E0A59">
        <w:tc>
          <w:tcPr>
            <w:tcW w:w="534" w:type="dxa"/>
          </w:tcPr>
          <w:p w:rsidR="00FE33EF" w:rsidRDefault="00FE33EF" w:rsidP="0017676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976" w:type="dxa"/>
          </w:tcPr>
          <w:p w:rsidR="00FE33EF" w:rsidRPr="004A51B9" w:rsidRDefault="00FE33EF" w:rsidP="004A51B9">
            <w:pPr>
              <w:rPr>
                <w:b/>
              </w:rPr>
            </w:pPr>
            <w:r>
              <w:rPr>
                <w:b/>
              </w:rPr>
              <w:t>Programme and m</w:t>
            </w:r>
            <w:r w:rsidRPr="00FE33EF">
              <w:rPr>
                <w:b/>
              </w:rPr>
              <w:t>anagement</w:t>
            </w:r>
            <w:r>
              <w:rPr>
                <w:b/>
              </w:rPr>
              <w:t xml:space="preserve"> costs</w:t>
            </w:r>
            <w:r w:rsidR="009B0B1E">
              <w:rPr>
                <w:b/>
              </w:rPr>
              <w:t xml:space="preserve"> (incl. indirect cost)</w:t>
            </w:r>
          </w:p>
        </w:tc>
        <w:tc>
          <w:tcPr>
            <w:tcW w:w="1276" w:type="dxa"/>
          </w:tcPr>
          <w:p w:rsidR="00FE33EF" w:rsidRDefault="00AA3BFA" w:rsidP="0017676C">
            <w:pPr>
              <w:rPr>
                <w:b/>
              </w:rPr>
            </w:pPr>
            <w:r>
              <w:rPr>
                <w:b/>
              </w:rPr>
              <w:t>93,459</w:t>
            </w:r>
          </w:p>
        </w:tc>
        <w:tc>
          <w:tcPr>
            <w:tcW w:w="1168" w:type="dxa"/>
          </w:tcPr>
          <w:p w:rsidR="00FE33EF" w:rsidRDefault="00FE33EF" w:rsidP="0017676C">
            <w:pPr>
              <w:rPr>
                <w:b/>
              </w:rPr>
            </w:pPr>
          </w:p>
        </w:tc>
        <w:tc>
          <w:tcPr>
            <w:tcW w:w="1276" w:type="dxa"/>
          </w:tcPr>
          <w:p w:rsidR="00FE33EF" w:rsidRDefault="00FE33EF" w:rsidP="0017676C">
            <w:pPr>
              <w:rPr>
                <w:b/>
              </w:rPr>
            </w:pPr>
            <w:r>
              <w:rPr>
                <w:b/>
              </w:rPr>
              <w:t>4,630</w:t>
            </w:r>
          </w:p>
        </w:tc>
        <w:tc>
          <w:tcPr>
            <w:tcW w:w="1134" w:type="dxa"/>
          </w:tcPr>
          <w:p w:rsidR="00FE33EF" w:rsidRDefault="005B7964" w:rsidP="0017676C">
            <w:pPr>
              <w:rPr>
                <w:b/>
              </w:rPr>
            </w:pPr>
            <w:r>
              <w:rPr>
                <w:b/>
              </w:rPr>
              <w:t>88,829</w:t>
            </w:r>
          </w:p>
        </w:tc>
      </w:tr>
      <w:tr w:rsidR="0025651D" w:rsidTr="003E0A59">
        <w:tc>
          <w:tcPr>
            <w:tcW w:w="534" w:type="dxa"/>
          </w:tcPr>
          <w:p w:rsidR="0025651D" w:rsidRDefault="0025651D" w:rsidP="0017676C">
            <w:pPr>
              <w:rPr>
                <w:b/>
              </w:rPr>
            </w:pPr>
          </w:p>
        </w:tc>
        <w:tc>
          <w:tcPr>
            <w:tcW w:w="2976" w:type="dxa"/>
          </w:tcPr>
          <w:p w:rsidR="0025651D" w:rsidRDefault="0025651D" w:rsidP="004A51B9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76" w:type="dxa"/>
          </w:tcPr>
          <w:p w:rsidR="0025651D" w:rsidRDefault="005B7964" w:rsidP="0017676C">
            <w:pPr>
              <w:rPr>
                <w:b/>
              </w:rPr>
            </w:pPr>
            <w:r>
              <w:rPr>
                <w:b/>
              </w:rPr>
              <w:t>372,840</w:t>
            </w:r>
          </w:p>
        </w:tc>
        <w:tc>
          <w:tcPr>
            <w:tcW w:w="1168" w:type="dxa"/>
          </w:tcPr>
          <w:p w:rsidR="0025651D" w:rsidRDefault="0025651D" w:rsidP="00E60114">
            <w:pPr>
              <w:rPr>
                <w:b/>
              </w:rPr>
            </w:pPr>
            <w:r>
              <w:rPr>
                <w:b/>
              </w:rPr>
              <w:t>109,</w:t>
            </w:r>
            <w:r w:rsidR="00E60114">
              <w:rPr>
                <w:b/>
              </w:rPr>
              <w:t>631</w:t>
            </w:r>
          </w:p>
        </w:tc>
        <w:tc>
          <w:tcPr>
            <w:tcW w:w="1276" w:type="dxa"/>
          </w:tcPr>
          <w:p w:rsidR="0025651D" w:rsidRDefault="0025651D" w:rsidP="0017676C">
            <w:pPr>
              <w:rPr>
                <w:b/>
              </w:rPr>
            </w:pPr>
            <w:r>
              <w:rPr>
                <w:b/>
              </w:rPr>
              <w:t>145,278</w:t>
            </w:r>
          </w:p>
        </w:tc>
        <w:tc>
          <w:tcPr>
            <w:tcW w:w="1134" w:type="dxa"/>
          </w:tcPr>
          <w:p w:rsidR="0025651D" w:rsidRDefault="005B7964" w:rsidP="0017676C">
            <w:pPr>
              <w:rPr>
                <w:b/>
              </w:rPr>
            </w:pPr>
            <w:r>
              <w:rPr>
                <w:b/>
              </w:rPr>
              <w:t>117,931</w:t>
            </w:r>
          </w:p>
        </w:tc>
      </w:tr>
    </w:tbl>
    <w:p w:rsidR="004A51B9" w:rsidRPr="0017676C" w:rsidRDefault="004A51B9" w:rsidP="0017676C">
      <w:pPr>
        <w:rPr>
          <w:b/>
        </w:rPr>
      </w:pPr>
    </w:p>
    <w:p w:rsidR="00D779E4" w:rsidRDefault="00D779E4" w:rsidP="009749A7">
      <w:pPr>
        <w:rPr>
          <w:b/>
          <w:lang w:val="en-US"/>
        </w:rPr>
      </w:pPr>
      <w:r>
        <w:rPr>
          <w:b/>
          <w:lang w:val="en-US"/>
        </w:rPr>
        <w:t>Conclusion</w:t>
      </w:r>
    </w:p>
    <w:p w:rsidR="00D779E4" w:rsidRPr="0017676C" w:rsidRDefault="00D779E4" w:rsidP="009749A7">
      <w:pPr>
        <w:rPr>
          <w:lang w:val="en-US"/>
        </w:rPr>
      </w:pPr>
      <w:r>
        <w:rPr>
          <w:lang w:val="en-US"/>
        </w:rPr>
        <w:t>Pending No Cost Extension</w:t>
      </w:r>
      <w:r w:rsidR="008144B1">
        <w:rPr>
          <w:lang w:val="en-US"/>
        </w:rPr>
        <w:t xml:space="preserve"> request to DFAT</w:t>
      </w:r>
      <w:r>
        <w:rPr>
          <w:lang w:val="en-US"/>
        </w:rPr>
        <w:t xml:space="preserve">, the project should be able to be delivered </w:t>
      </w:r>
      <w:r w:rsidR="008144B1">
        <w:rPr>
          <w:lang w:val="en-US"/>
        </w:rPr>
        <w:t xml:space="preserve">by August 2017 </w:t>
      </w:r>
      <w:r>
        <w:rPr>
          <w:lang w:val="en-US"/>
        </w:rPr>
        <w:t xml:space="preserve">with valid results to inform SDG Advocacy </w:t>
      </w:r>
      <w:r w:rsidR="008144B1">
        <w:rPr>
          <w:lang w:val="en-US"/>
        </w:rPr>
        <w:t xml:space="preserve">Strategy </w:t>
      </w:r>
      <w:r>
        <w:rPr>
          <w:lang w:val="en-US"/>
        </w:rPr>
        <w:t xml:space="preserve">for inclusion of </w:t>
      </w:r>
      <w:r w:rsidR="008144B1">
        <w:rPr>
          <w:lang w:val="en-US"/>
        </w:rPr>
        <w:t xml:space="preserve">the </w:t>
      </w:r>
      <w:r>
        <w:rPr>
          <w:lang w:val="en-US"/>
        </w:rPr>
        <w:t xml:space="preserve">appropriate indicator, </w:t>
      </w:r>
      <w:r w:rsidR="008144B1">
        <w:rPr>
          <w:lang w:val="en-US"/>
        </w:rPr>
        <w:t>for development of the policy brief and subsequent r</w:t>
      </w:r>
      <w:r>
        <w:rPr>
          <w:lang w:val="en-US"/>
        </w:rPr>
        <w:t>elevant MOH policy change and for</w:t>
      </w:r>
      <w:r w:rsidR="008144B1">
        <w:rPr>
          <w:lang w:val="en-US"/>
        </w:rPr>
        <w:t xml:space="preserve"> implementation of that policy change in the Health Profession and beyond. The results will also inform the MOWECP Advocacy Strategy for abandonment of FGM/C.</w:t>
      </w:r>
    </w:p>
    <w:sectPr w:rsidR="00D779E4" w:rsidRPr="0017676C" w:rsidSect="00AB76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821F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73" w:rsidRDefault="00D47073" w:rsidP="00E1560E">
      <w:pPr>
        <w:spacing w:after="0" w:line="240" w:lineRule="auto"/>
      </w:pPr>
      <w:r>
        <w:separator/>
      </w:r>
    </w:p>
  </w:endnote>
  <w:endnote w:type="continuationSeparator" w:id="0">
    <w:p w:rsidR="00D47073" w:rsidRDefault="00D47073" w:rsidP="00E1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528844"/>
      <w:docPartObj>
        <w:docPartGallery w:val="Page Numbers (Bottom of Page)"/>
        <w:docPartUnique/>
      </w:docPartObj>
    </w:sdtPr>
    <w:sdtEndPr/>
    <w:sdtContent>
      <w:p w:rsidR="00E1560E" w:rsidRDefault="00652304">
        <w:pPr>
          <w:pStyle w:val="Footer"/>
          <w:jc w:val="right"/>
        </w:pPr>
        <w:r>
          <w:fldChar w:fldCharType="begin"/>
        </w:r>
        <w:r w:rsidR="00ED490A">
          <w:instrText xml:space="preserve"> PAGE   \* MERGEFORMAT </w:instrText>
        </w:r>
        <w:r>
          <w:fldChar w:fldCharType="separate"/>
        </w:r>
        <w:r w:rsidR="005932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560E" w:rsidRDefault="00E156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73" w:rsidRDefault="00D47073" w:rsidP="00E1560E">
      <w:pPr>
        <w:spacing w:after="0" w:line="240" w:lineRule="auto"/>
      </w:pPr>
      <w:r>
        <w:separator/>
      </w:r>
    </w:p>
  </w:footnote>
  <w:footnote w:type="continuationSeparator" w:id="0">
    <w:p w:rsidR="00D47073" w:rsidRDefault="00D47073" w:rsidP="00E1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E2B"/>
    <w:multiLevelType w:val="hybridMultilevel"/>
    <w:tmpl w:val="57141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6B08"/>
    <w:multiLevelType w:val="hybridMultilevel"/>
    <w:tmpl w:val="D0C24B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E44E7"/>
    <w:multiLevelType w:val="multilevel"/>
    <w:tmpl w:val="2F76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0F1A0E"/>
    <w:multiLevelType w:val="multilevel"/>
    <w:tmpl w:val="4CDC2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74B3936"/>
    <w:multiLevelType w:val="multilevel"/>
    <w:tmpl w:val="42F8A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C826ED0"/>
    <w:multiLevelType w:val="multilevel"/>
    <w:tmpl w:val="CBE23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1C553C4"/>
    <w:multiLevelType w:val="hybridMultilevel"/>
    <w:tmpl w:val="C5F493B0"/>
    <w:lvl w:ilvl="0" w:tplc="750CC4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C598A"/>
    <w:multiLevelType w:val="hybridMultilevel"/>
    <w:tmpl w:val="B5BC6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B776A8"/>
    <w:multiLevelType w:val="hybridMultilevel"/>
    <w:tmpl w:val="8BCA4D2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222B71"/>
    <w:multiLevelType w:val="multilevel"/>
    <w:tmpl w:val="1CE6E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ette Robertson">
    <w15:presenceInfo w15:providerId="Windows Live" w15:userId="4331faefa9254f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9A7"/>
    <w:rsid w:val="00000F17"/>
    <w:rsid w:val="00005451"/>
    <w:rsid w:val="000262AD"/>
    <w:rsid w:val="00045A7B"/>
    <w:rsid w:val="00093F20"/>
    <w:rsid w:val="001642FB"/>
    <w:rsid w:val="0017676C"/>
    <w:rsid w:val="00181FC8"/>
    <w:rsid w:val="001A48C3"/>
    <w:rsid w:val="00224AD1"/>
    <w:rsid w:val="0025651D"/>
    <w:rsid w:val="0026249B"/>
    <w:rsid w:val="002C2DBC"/>
    <w:rsid w:val="002D5557"/>
    <w:rsid w:val="002E2E68"/>
    <w:rsid w:val="00320E75"/>
    <w:rsid w:val="003573A6"/>
    <w:rsid w:val="003674D4"/>
    <w:rsid w:val="003E0A59"/>
    <w:rsid w:val="003E103C"/>
    <w:rsid w:val="004A51B9"/>
    <w:rsid w:val="004C6A42"/>
    <w:rsid w:val="0050191B"/>
    <w:rsid w:val="00513EE0"/>
    <w:rsid w:val="005201BA"/>
    <w:rsid w:val="005476F3"/>
    <w:rsid w:val="005516E1"/>
    <w:rsid w:val="00561722"/>
    <w:rsid w:val="005716EF"/>
    <w:rsid w:val="00580F74"/>
    <w:rsid w:val="005932B5"/>
    <w:rsid w:val="005B7964"/>
    <w:rsid w:val="00652304"/>
    <w:rsid w:val="008036A5"/>
    <w:rsid w:val="008144B1"/>
    <w:rsid w:val="00887898"/>
    <w:rsid w:val="008C2BD1"/>
    <w:rsid w:val="0090243D"/>
    <w:rsid w:val="009334E5"/>
    <w:rsid w:val="009543FD"/>
    <w:rsid w:val="009749A7"/>
    <w:rsid w:val="009B0B1E"/>
    <w:rsid w:val="009C63B4"/>
    <w:rsid w:val="00A833D6"/>
    <w:rsid w:val="00AA3BFA"/>
    <w:rsid w:val="00AB76BD"/>
    <w:rsid w:val="00AC4BAD"/>
    <w:rsid w:val="00B2370E"/>
    <w:rsid w:val="00B95DD5"/>
    <w:rsid w:val="00C23C70"/>
    <w:rsid w:val="00C97828"/>
    <w:rsid w:val="00CD246A"/>
    <w:rsid w:val="00D47073"/>
    <w:rsid w:val="00D779E4"/>
    <w:rsid w:val="00D91281"/>
    <w:rsid w:val="00DB65F7"/>
    <w:rsid w:val="00DB7220"/>
    <w:rsid w:val="00DB72B6"/>
    <w:rsid w:val="00DC16F0"/>
    <w:rsid w:val="00DE25BB"/>
    <w:rsid w:val="00DE4832"/>
    <w:rsid w:val="00E1560E"/>
    <w:rsid w:val="00E60114"/>
    <w:rsid w:val="00E62141"/>
    <w:rsid w:val="00E627D9"/>
    <w:rsid w:val="00E84F7F"/>
    <w:rsid w:val="00ED490A"/>
    <w:rsid w:val="00F401F0"/>
    <w:rsid w:val="00FB0F80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9A7"/>
    <w:pPr>
      <w:ind w:left="720"/>
      <w:contextualSpacing/>
    </w:pPr>
  </w:style>
  <w:style w:type="table" w:styleId="TableGrid">
    <w:name w:val="Table Grid"/>
    <w:basedOn w:val="TableNormal"/>
    <w:uiPriority w:val="39"/>
    <w:rsid w:val="00DB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1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60E"/>
  </w:style>
  <w:style w:type="paragraph" w:styleId="Footer">
    <w:name w:val="footer"/>
    <w:basedOn w:val="Normal"/>
    <w:link w:val="FooterChar"/>
    <w:uiPriority w:val="99"/>
    <w:unhideWhenUsed/>
    <w:rsid w:val="00E1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0E"/>
  </w:style>
  <w:style w:type="paragraph" w:styleId="BalloonText">
    <w:name w:val="Balloon Text"/>
    <w:basedOn w:val="Normal"/>
    <w:link w:val="BalloonTextChar"/>
    <w:uiPriority w:val="99"/>
    <w:semiHidden/>
    <w:unhideWhenUsed/>
    <w:rsid w:val="00547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9A7"/>
    <w:pPr>
      <w:ind w:left="720"/>
      <w:contextualSpacing/>
    </w:pPr>
  </w:style>
  <w:style w:type="table" w:styleId="TableGrid">
    <w:name w:val="Table Grid"/>
    <w:basedOn w:val="TableNormal"/>
    <w:uiPriority w:val="39"/>
    <w:rsid w:val="00DB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1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60E"/>
  </w:style>
  <w:style w:type="paragraph" w:styleId="Footer">
    <w:name w:val="footer"/>
    <w:basedOn w:val="Normal"/>
    <w:link w:val="FooterChar"/>
    <w:uiPriority w:val="99"/>
    <w:unhideWhenUsed/>
    <w:rsid w:val="00E1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0E"/>
  </w:style>
  <w:style w:type="paragraph" w:styleId="BalloonText">
    <w:name w:val="Balloon Text"/>
    <w:basedOn w:val="Normal"/>
    <w:link w:val="BalloonTextChar"/>
    <w:uiPriority w:val="99"/>
    <w:semiHidden/>
    <w:unhideWhenUsed/>
    <w:rsid w:val="00547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Ikhsan Nugraha</cp:lastModifiedBy>
  <cp:revision>6</cp:revision>
  <dcterms:created xsi:type="dcterms:W3CDTF">2017-01-20T02:22:00Z</dcterms:created>
  <dcterms:modified xsi:type="dcterms:W3CDTF">2017-01-20T06:34:00Z</dcterms:modified>
</cp:coreProperties>
</file>