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DAB" w:rsidRDefault="00D37DAB" w:rsidP="00D37DAB">
      <w:pPr>
        <w:pStyle w:val="Heading1"/>
      </w:pPr>
      <w:r>
        <w:t>1AC R4</w:t>
      </w:r>
    </w:p>
    <w:p w:rsidR="00D37DAB" w:rsidRDefault="00D37DAB" w:rsidP="00D37DAB"/>
    <w:p w:rsidR="00D37DAB" w:rsidRDefault="00D37DAB" w:rsidP="00D37DAB">
      <w:pPr>
        <w:pStyle w:val="Heading2"/>
      </w:pPr>
      <w:r>
        <w:lastRenderedPageBreak/>
        <w:t>Part 1 Plan Text</w:t>
      </w:r>
    </w:p>
    <w:p w:rsidR="00D37DAB" w:rsidRPr="00523183" w:rsidRDefault="00D37DAB" w:rsidP="00D37DAB"/>
    <w:p w:rsidR="00D37DAB" w:rsidRDefault="00D37DAB" w:rsidP="00D37DAB">
      <w:pPr>
        <w:pStyle w:val="Heading4"/>
      </w:pPr>
      <w:r w:rsidRPr="00523183">
        <w:t>The People’s Republic of China will impose a tax of $150</w:t>
      </w:r>
      <w:r>
        <w:t xml:space="preserve"> per ton of CO2 released in</w:t>
      </w:r>
      <w:r w:rsidRPr="00523183">
        <w:t xml:space="preserve"> the process of importing goods to China</w:t>
      </w:r>
      <w:r>
        <w:t>,</w:t>
      </w:r>
      <w:r w:rsidRPr="00523183">
        <w:t xml:space="preserve"> the process of production of goods</w:t>
      </w:r>
      <w:r>
        <w:t>, and the extraction of resources</w:t>
      </w:r>
      <w:r w:rsidRPr="00523183">
        <w:t>.  I reserve the right to clarify</w:t>
      </w:r>
      <w:r>
        <w:t>.</w:t>
      </w:r>
    </w:p>
    <w:p w:rsidR="00D37DAB" w:rsidRDefault="00D37DAB" w:rsidP="00D37DAB"/>
    <w:p w:rsidR="00D37DAB" w:rsidRDefault="00D37DAB" w:rsidP="00D37DAB">
      <w:pPr>
        <w:pStyle w:val="Heading2"/>
      </w:pPr>
      <w:r>
        <w:t>Part 2 Solvency</w:t>
      </w:r>
    </w:p>
    <w:p w:rsidR="00D37DAB" w:rsidRPr="00B46175" w:rsidRDefault="00D37DAB" w:rsidP="00D37DAB"/>
    <w:p w:rsidR="00D37DAB" w:rsidRDefault="00D37DAB" w:rsidP="00D37DAB">
      <w:pPr>
        <w:pStyle w:val="Heading4"/>
      </w:pPr>
      <w:r>
        <w:t>1. Imposing this specific tax will drastically reduce carbon emissions and prevent a 4C rise in global temperature, and China affects other countries.  Morris et al 12</w:t>
      </w:r>
    </w:p>
    <w:p w:rsidR="00D37DAB" w:rsidRDefault="00D37DAB" w:rsidP="00D37DAB">
      <w:r w:rsidRPr="00387DAD">
        <w:t xml:space="preserve">Sergey </w:t>
      </w:r>
      <w:proofErr w:type="spellStart"/>
      <w:r w:rsidRPr="00387DAD">
        <w:t>Paltsev</w:t>
      </w:r>
      <w:proofErr w:type="spellEnd"/>
      <w:r w:rsidRPr="00387DAD">
        <w:t xml:space="preserve">, Jennifer Morris, </w:t>
      </w:r>
      <w:proofErr w:type="spellStart"/>
      <w:r w:rsidRPr="00387DAD">
        <w:t>Yongxia</w:t>
      </w:r>
      <w:proofErr w:type="spellEnd"/>
      <w:r w:rsidRPr="00387DAD">
        <w:t xml:space="preserve"> </w:t>
      </w:r>
      <w:proofErr w:type="spellStart"/>
      <w:proofErr w:type="gramStart"/>
      <w:r w:rsidRPr="00387DAD">
        <w:t>Cai</w:t>
      </w:r>
      <w:proofErr w:type="spellEnd"/>
      <w:proofErr w:type="gramEnd"/>
      <w:r w:rsidRPr="00387DAD">
        <w:t xml:space="preserve">, Valerie </w:t>
      </w:r>
      <w:proofErr w:type="spellStart"/>
      <w:r w:rsidRPr="00387DAD">
        <w:t>Karplus</w:t>
      </w:r>
      <w:proofErr w:type="spellEnd"/>
      <w:r w:rsidRPr="00387DAD">
        <w:t xml:space="preserve"> and Henry Jacoby</w:t>
      </w:r>
      <w:r>
        <w:t>. “Th</w:t>
      </w:r>
      <w:r w:rsidRPr="00921F0D">
        <w:t>e Role of China in Mitigating Climate Change</w:t>
      </w:r>
      <w:r>
        <w:t xml:space="preserve">.” </w:t>
      </w:r>
      <w:r w:rsidRPr="00387DAD">
        <w:t>April 2012</w:t>
      </w:r>
      <w:r>
        <w:t>.</w:t>
      </w:r>
    </w:p>
    <w:p w:rsidR="00D37DAB" w:rsidRDefault="00D37DAB" w:rsidP="00D37DAB"/>
    <w:p w:rsidR="00D37DAB" w:rsidRPr="00D37DAB" w:rsidRDefault="00D37DAB" w:rsidP="00D37DAB">
      <w:r w:rsidRPr="00D37DAB">
        <w:t>Figure 8a shows that if only China is engaged in</w:t>
      </w:r>
    </w:p>
    <w:p w:rsidR="00D37DAB" w:rsidRPr="00D37DAB" w:rsidRDefault="00D37DAB" w:rsidP="00D37DAB">
      <w:r w:rsidRPr="00D37DAB">
        <w:t>AND</w:t>
      </w:r>
    </w:p>
    <w:p w:rsidR="00D37DAB" w:rsidRPr="00D37DAB" w:rsidRDefault="00D37DAB" w:rsidP="00D37DAB">
      <w:proofErr w:type="gramStart"/>
      <w:r w:rsidRPr="00D37DAB">
        <w:t>regions</w:t>
      </w:r>
      <w:proofErr w:type="gramEnd"/>
      <w:r w:rsidRPr="00D37DAB">
        <w:t xml:space="preserve"> will appreciably reduce the probability of more extreme levels of temperature increase.</w:t>
      </w:r>
    </w:p>
    <w:p w:rsidR="00D37DAB" w:rsidRDefault="00D37DAB" w:rsidP="00D37DAB"/>
    <w:p w:rsidR="00D37DAB" w:rsidRDefault="00D37DAB" w:rsidP="00D37DAB">
      <w:pPr>
        <w:pStyle w:val="Heading4"/>
      </w:pPr>
      <w:r>
        <w:t>2. This tax reduces oil usage.  Morris et al 2</w:t>
      </w:r>
    </w:p>
    <w:p w:rsidR="00D37DAB" w:rsidRDefault="00D37DAB" w:rsidP="00D37DAB">
      <w:r w:rsidRPr="00387DAD">
        <w:t xml:space="preserve">Sergey </w:t>
      </w:r>
      <w:proofErr w:type="spellStart"/>
      <w:r w:rsidRPr="00387DAD">
        <w:t>Paltsev</w:t>
      </w:r>
      <w:proofErr w:type="spellEnd"/>
      <w:r w:rsidRPr="00387DAD">
        <w:t xml:space="preserve">, Jennifer Morris, </w:t>
      </w:r>
      <w:proofErr w:type="spellStart"/>
      <w:r w:rsidRPr="00387DAD">
        <w:t>Yongxia</w:t>
      </w:r>
      <w:proofErr w:type="spellEnd"/>
      <w:r w:rsidRPr="00387DAD">
        <w:t xml:space="preserve"> </w:t>
      </w:r>
      <w:proofErr w:type="spellStart"/>
      <w:proofErr w:type="gramStart"/>
      <w:r w:rsidRPr="00387DAD">
        <w:t>Cai</w:t>
      </w:r>
      <w:proofErr w:type="spellEnd"/>
      <w:proofErr w:type="gramEnd"/>
      <w:r w:rsidRPr="00387DAD">
        <w:t xml:space="preserve">, Valerie </w:t>
      </w:r>
      <w:proofErr w:type="spellStart"/>
      <w:r w:rsidRPr="00387DAD">
        <w:t>Karplus</w:t>
      </w:r>
      <w:proofErr w:type="spellEnd"/>
      <w:r w:rsidRPr="00387DAD">
        <w:t xml:space="preserve"> and Henry Jacoby</w:t>
      </w:r>
      <w:r>
        <w:t>. “Th</w:t>
      </w:r>
      <w:r w:rsidRPr="00921F0D">
        <w:t>e Role of China in Mitigating Climate Change</w:t>
      </w:r>
      <w:r>
        <w:t xml:space="preserve">.” </w:t>
      </w:r>
      <w:r w:rsidRPr="00387DAD">
        <w:t>April 2012</w:t>
      </w:r>
      <w:r>
        <w:t>.</w:t>
      </w:r>
    </w:p>
    <w:p w:rsidR="00D37DAB" w:rsidRDefault="00D37DAB" w:rsidP="00D37DAB">
      <w:pPr>
        <w:rPr>
          <w:sz w:val="16"/>
        </w:rPr>
      </w:pPr>
    </w:p>
    <w:p w:rsidR="00D37DAB" w:rsidRPr="00D37DAB" w:rsidRDefault="00D37DAB" w:rsidP="00D37DAB">
      <w:r w:rsidRPr="00D37DAB">
        <w:t xml:space="preserve">Calvin et al. (2012) provide an overview of the results for the </w:t>
      </w:r>
    </w:p>
    <w:p w:rsidR="00D37DAB" w:rsidRPr="00D37DAB" w:rsidRDefault="00D37DAB" w:rsidP="00D37DAB">
      <w:r w:rsidRPr="00D37DAB">
        <w:t>AND</w:t>
      </w:r>
    </w:p>
    <w:p w:rsidR="00D37DAB" w:rsidRPr="00D37DAB" w:rsidRDefault="00D37DAB" w:rsidP="00D37DAB">
      <w:proofErr w:type="gramStart"/>
      <w:r w:rsidRPr="00D37DAB">
        <w:t>energy</w:t>
      </w:r>
      <w:proofErr w:type="gramEnd"/>
      <w:r w:rsidRPr="00D37DAB">
        <w:t>, while hydroelectricity does not grow in comparison to the Reference scenario.</w:t>
      </w:r>
    </w:p>
    <w:p w:rsidR="00D37DAB" w:rsidRDefault="00D37DAB" w:rsidP="00D37DAB"/>
    <w:p w:rsidR="00D37DAB" w:rsidRDefault="00D37DAB" w:rsidP="00D37DAB">
      <w:pPr>
        <w:pStyle w:val="Heading2"/>
      </w:pPr>
      <w:r>
        <w:t>Part 3 Environment</w:t>
      </w:r>
    </w:p>
    <w:p w:rsidR="00D37DAB" w:rsidRDefault="00D37DAB" w:rsidP="00D37DAB"/>
    <w:p w:rsidR="00D37DAB" w:rsidRDefault="00D37DAB" w:rsidP="00D37DAB">
      <w:pPr>
        <w:pStyle w:val="Heading4"/>
      </w:pPr>
      <w:r>
        <w:t>Clear scientific consensus about the relationship between oil and climate change—the more oil used, the more GHG emissions.</w:t>
      </w:r>
    </w:p>
    <w:p w:rsidR="00D37DAB" w:rsidRPr="009F11DF" w:rsidRDefault="00D37DAB" w:rsidP="00D37DAB">
      <w:pPr>
        <w:rPr>
          <w:rFonts w:cs="Myriad Pro"/>
          <w:sz w:val="23"/>
          <w:szCs w:val="23"/>
        </w:rPr>
      </w:pPr>
      <w:proofErr w:type="spellStart"/>
      <w:r w:rsidRPr="00026AB5">
        <w:rPr>
          <w:rStyle w:val="StyleStyleBold12pt"/>
        </w:rPr>
        <w:t>Koppelaar</w:t>
      </w:r>
      <w:proofErr w:type="spellEnd"/>
      <w:r w:rsidRPr="00026AB5">
        <w:rPr>
          <w:rStyle w:val="StyleStyleBold12pt"/>
        </w:rPr>
        <w:t xml:space="preserve"> 9</w:t>
      </w:r>
      <w:r>
        <w:rPr>
          <w:rStyle w:val="StyleStyleBold12pt"/>
        </w:rPr>
        <w:t>,</w:t>
      </w:r>
      <w:r w:rsidRPr="009F11DF">
        <w:t xml:space="preserve"> </w:t>
      </w:r>
      <w:r>
        <w:t>(</w:t>
      </w:r>
      <w:r>
        <w:rPr>
          <w:rFonts w:cs="Myriad Pro"/>
          <w:color w:val="000000"/>
          <w:sz w:val="23"/>
          <w:szCs w:val="23"/>
        </w:rPr>
        <w:t xml:space="preserve">Rembrandt </w:t>
      </w:r>
      <w:proofErr w:type="spellStart"/>
      <w:r>
        <w:rPr>
          <w:rFonts w:cs="Myriad Pro"/>
          <w:color w:val="000000"/>
          <w:sz w:val="23"/>
          <w:szCs w:val="23"/>
        </w:rPr>
        <w:t>Koppelaar</w:t>
      </w:r>
      <w:proofErr w:type="spellEnd"/>
      <w:r>
        <w:rPr>
          <w:rFonts w:cs="Myriad Pro"/>
          <w:color w:val="000000"/>
          <w:sz w:val="23"/>
          <w:szCs w:val="23"/>
        </w:rPr>
        <w:t>, N</w:t>
      </w:r>
      <w:r>
        <w:rPr>
          <w:rStyle w:val="st"/>
        </w:rPr>
        <w:t xml:space="preserve">etherlands Foundation for Peak Oil, </w:t>
      </w:r>
      <w:r>
        <w:rPr>
          <w:rFonts w:cs="Myriad Pro"/>
          <w:color w:val="000000"/>
          <w:sz w:val="23"/>
          <w:szCs w:val="23"/>
        </w:rPr>
        <w:t xml:space="preserve">Kevin </w:t>
      </w:r>
      <w:proofErr w:type="spellStart"/>
      <w:r>
        <w:rPr>
          <w:rFonts w:cs="Myriad Pro"/>
          <w:color w:val="000000"/>
          <w:sz w:val="23"/>
          <w:szCs w:val="23"/>
        </w:rPr>
        <w:t>Bisdom</w:t>
      </w:r>
      <w:proofErr w:type="spellEnd"/>
      <w:r>
        <w:rPr>
          <w:rFonts w:cs="Myriad Pro"/>
          <w:color w:val="000000"/>
          <w:sz w:val="23"/>
          <w:szCs w:val="23"/>
        </w:rPr>
        <w:t xml:space="preserve">, </w:t>
      </w:r>
      <w:r>
        <w:rPr>
          <w:rStyle w:val="st"/>
        </w:rPr>
        <w:t>PhD on the geology</w:t>
      </w:r>
      <w:r>
        <w:rPr>
          <w:rFonts w:cs="Myriad Pro"/>
          <w:color w:val="000000"/>
          <w:sz w:val="23"/>
          <w:szCs w:val="23"/>
        </w:rPr>
        <w:t xml:space="preserve">, Peter Polder, </w:t>
      </w:r>
      <w:r w:rsidRPr="00026AB5">
        <w:rPr>
          <w:rFonts w:cs="Myriad Pro"/>
          <w:color w:val="000000"/>
          <w:sz w:val="23"/>
          <w:szCs w:val="23"/>
        </w:rPr>
        <w:t xml:space="preserve">Less Oil, More </w:t>
      </w:r>
      <w:proofErr w:type="gramStart"/>
      <w:r w:rsidRPr="00026AB5">
        <w:rPr>
          <w:rFonts w:cs="Myriad Pro"/>
          <w:color w:val="000000"/>
          <w:sz w:val="23"/>
          <w:szCs w:val="23"/>
        </w:rPr>
        <w:t>CO2 ?</w:t>
      </w:r>
      <w:proofErr w:type="gramEnd"/>
      <w:r>
        <w:rPr>
          <w:rFonts w:cs="Myriad Pro"/>
          <w:color w:val="000000"/>
          <w:sz w:val="23"/>
          <w:szCs w:val="23"/>
        </w:rPr>
        <w:t xml:space="preserve"> </w:t>
      </w:r>
      <w:r w:rsidRPr="00026AB5">
        <w:rPr>
          <w:rFonts w:cs="Myriad Pro"/>
          <w:color w:val="000000"/>
          <w:sz w:val="23"/>
          <w:szCs w:val="23"/>
        </w:rPr>
        <w:t>The interplay between Climate Change and Peak Oil</w:t>
      </w:r>
      <w:r>
        <w:rPr>
          <w:rFonts w:cs="Myriad Pro"/>
          <w:color w:val="000000"/>
          <w:sz w:val="23"/>
          <w:szCs w:val="23"/>
        </w:rPr>
        <w:t xml:space="preserve">, </w:t>
      </w:r>
      <w:r w:rsidRPr="009F11DF">
        <w:rPr>
          <w:rFonts w:cs="Myriad Pro"/>
          <w:color w:val="000000"/>
          <w:sz w:val="23"/>
          <w:szCs w:val="23"/>
        </w:rPr>
        <w:t>April 2009</w:t>
      </w:r>
      <w:r>
        <w:rPr>
          <w:rFonts w:cs="Myriad Pro"/>
          <w:color w:val="000000"/>
          <w:sz w:val="23"/>
          <w:szCs w:val="23"/>
        </w:rPr>
        <w:t xml:space="preserve">, </w:t>
      </w:r>
      <w:r w:rsidRPr="009F11DF">
        <w:rPr>
          <w:rFonts w:cs="Myriad Pro"/>
          <w:sz w:val="23"/>
          <w:szCs w:val="23"/>
        </w:rPr>
        <w:t>http://www.peakoil.nl/wp-content/uploads/2009/05/april_2009_less_oil_more_co2_aspo_netherlands.pdf</w:t>
      </w:r>
      <w:r>
        <w:rPr>
          <w:rFonts w:cs="Myriad Pro"/>
          <w:sz w:val="23"/>
          <w:szCs w:val="23"/>
        </w:rPr>
        <w:t>)</w:t>
      </w:r>
    </w:p>
    <w:p w:rsidR="00D37DAB" w:rsidRPr="00026AB5" w:rsidRDefault="00D37DAB" w:rsidP="00D37DAB">
      <w:pPr>
        <w:rPr>
          <w:rFonts w:cs="Myriad Pro"/>
          <w:color w:val="000000"/>
          <w:sz w:val="23"/>
          <w:szCs w:val="23"/>
        </w:rPr>
      </w:pPr>
    </w:p>
    <w:p w:rsidR="00D37DAB" w:rsidRPr="00D37DAB" w:rsidRDefault="00D37DAB" w:rsidP="00D37DAB">
      <w:r w:rsidRPr="00D37DAB">
        <w:t xml:space="preserve">The current scientific consensus is that there is a clear causal relationship between fossil fuel </w:t>
      </w:r>
    </w:p>
    <w:p w:rsidR="00D37DAB" w:rsidRPr="00D37DAB" w:rsidRDefault="00D37DAB" w:rsidP="00D37DAB">
      <w:r w:rsidRPr="00D37DAB">
        <w:t>AND</w:t>
      </w:r>
    </w:p>
    <w:p w:rsidR="00D37DAB" w:rsidRPr="00D37DAB" w:rsidRDefault="00D37DAB" w:rsidP="00D37DAB">
      <w:r w:rsidRPr="00D37DAB">
        <w:t>Current levels are rising by 2 ppm a year and already exceed 380 ppm</w:t>
      </w:r>
    </w:p>
    <w:p w:rsidR="00D37DAB" w:rsidRDefault="00D37DAB" w:rsidP="00D37DAB"/>
    <w:p w:rsidR="00D37DAB" w:rsidRDefault="00D37DAB" w:rsidP="00D37DAB">
      <w:pPr>
        <w:pStyle w:val="Heading4"/>
      </w:pPr>
      <w:proofErr w:type="gramStart"/>
      <w:r>
        <w:t>Two internal links from oil to environmental destruction.</w:t>
      </w:r>
      <w:proofErr w:type="gramEnd"/>
    </w:p>
    <w:p w:rsidR="00D37DAB" w:rsidRDefault="00D37DAB" w:rsidP="00D37DAB"/>
    <w:p w:rsidR="00D37DAB" w:rsidRDefault="00D37DAB" w:rsidP="00D37DAB">
      <w:pPr>
        <w:pStyle w:val="Heading4"/>
      </w:pPr>
      <w:r>
        <w:t>One is transportation and spillage.</w:t>
      </w:r>
    </w:p>
    <w:p w:rsidR="00D37DAB" w:rsidRDefault="00D37DAB" w:rsidP="00D37DAB">
      <w:r w:rsidRPr="007F3A22">
        <w:rPr>
          <w:rStyle w:val="StyleStyleBold12pt"/>
        </w:rPr>
        <w:t>O’Rourke and Connolly 03,</w:t>
      </w:r>
      <w:r>
        <w:t xml:space="preserve"> (</w:t>
      </w:r>
      <w:proofErr w:type="spellStart"/>
      <w:r w:rsidRPr="007F3A22">
        <w:t>Dara</w:t>
      </w:r>
      <w:proofErr w:type="spellEnd"/>
      <w:r w:rsidRPr="007F3A22">
        <w:t xml:space="preserve"> O’Rourke</w:t>
      </w:r>
      <w:r>
        <w:t xml:space="preserve">, </w:t>
      </w:r>
      <w:r w:rsidRPr="007F3A22">
        <w:t>Department of Environmental Science, Policy, and Management</w:t>
      </w:r>
      <w:r>
        <w:t xml:space="preserve">, UC Berkeley, </w:t>
      </w:r>
      <w:r w:rsidRPr="007F3A22">
        <w:t>and Sarah Connolly</w:t>
      </w:r>
      <w:r>
        <w:t xml:space="preserve">, </w:t>
      </w:r>
      <w:r w:rsidRPr="007F3A22">
        <w:t>Department of Urban Studies and Planning, Massachusetts Institute of Technology</w:t>
      </w:r>
      <w:r>
        <w:t xml:space="preserve">, </w:t>
      </w:r>
      <w:r w:rsidRPr="007F3A22">
        <w:t>JUST OIL? THE DISTRIBUTION OF ENVIRONMENTAL AND SOCIAL IMPACTS OF OIL PRODUCTION AND CONSUMPTION</w:t>
      </w:r>
      <w:r>
        <w:t xml:space="preserve">, Annual Review of Environmental Resources, 2003, Vol. 28, pp. </w:t>
      </w:r>
      <w:r w:rsidRPr="007F3A22">
        <w:t>587–617</w:t>
      </w:r>
      <w:r>
        <w:t xml:space="preserve">, Published </w:t>
      </w:r>
      <w:r w:rsidRPr="007F3A22">
        <w:t>August 14, 2003</w:t>
      </w:r>
      <w:r>
        <w:t xml:space="preserve">, </w:t>
      </w:r>
      <w:r w:rsidRPr="007F3A22">
        <w:t>http://escholarship.org/uc/item/32t2x692</w:t>
      </w:r>
      <w:r>
        <w:t>)</w:t>
      </w:r>
    </w:p>
    <w:p w:rsidR="00D37DAB" w:rsidRDefault="00D37DAB" w:rsidP="00D37DAB"/>
    <w:p w:rsidR="00D37DAB" w:rsidRPr="00D37DAB" w:rsidRDefault="00D37DAB" w:rsidP="00D37DAB">
      <w:r w:rsidRPr="00D37DAB">
        <w:t xml:space="preserve">Transportation of oil results in regular oil spills throughout the world. Although large oil </w:t>
      </w:r>
    </w:p>
    <w:p w:rsidR="00D37DAB" w:rsidRPr="00D37DAB" w:rsidRDefault="00D37DAB" w:rsidP="00D37DAB">
      <w:r w:rsidRPr="00D37DAB">
        <w:t>AND</w:t>
      </w:r>
    </w:p>
    <w:p w:rsidR="00D37DAB" w:rsidRPr="00D37DAB" w:rsidRDefault="00D37DAB" w:rsidP="00D37DAB">
      <w:proofErr w:type="gramStart"/>
      <w:r w:rsidRPr="00D37DAB">
        <w:t>commercial</w:t>
      </w:r>
      <w:proofErr w:type="gramEnd"/>
      <w:r w:rsidRPr="00D37DAB">
        <w:t xml:space="preserve"> fishermen and an estimated $135 million in lost revenues (50).</w:t>
      </w:r>
    </w:p>
    <w:p w:rsidR="00D37DAB" w:rsidRDefault="00D37DAB" w:rsidP="00D37DAB"/>
    <w:p w:rsidR="00D37DAB" w:rsidRDefault="00D37DAB" w:rsidP="00D37DAB">
      <w:pPr>
        <w:pStyle w:val="Heading4"/>
      </w:pPr>
      <w:r>
        <w:t>Two is consumption.</w:t>
      </w:r>
    </w:p>
    <w:p w:rsidR="00D37DAB" w:rsidRDefault="00D37DAB" w:rsidP="00D37DAB">
      <w:r w:rsidRPr="007F3A22">
        <w:rPr>
          <w:rStyle w:val="StyleStyleBold12pt"/>
        </w:rPr>
        <w:t>O’Rourke and Connolly 03,</w:t>
      </w:r>
      <w:r>
        <w:t xml:space="preserve"> (</w:t>
      </w:r>
      <w:proofErr w:type="spellStart"/>
      <w:r w:rsidRPr="007F3A22">
        <w:t>Dara</w:t>
      </w:r>
      <w:proofErr w:type="spellEnd"/>
      <w:r w:rsidRPr="007F3A22">
        <w:t xml:space="preserve"> O’Rourke</w:t>
      </w:r>
      <w:r>
        <w:t xml:space="preserve">, </w:t>
      </w:r>
      <w:r w:rsidRPr="007F3A22">
        <w:t>Department of Environmental Science, Policy, and Management</w:t>
      </w:r>
      <w:r>
        <w:t xml:space="preserve">, UC Berkeley, </w:t>
      </w:r>
      <w:r w:rsidRPr="007F3A22">
        <w:t>and Sarah Connolly</w:t>
      </w:r>
      <w:r>
        <w:t xml:space="preserve">, </w:t>
      </w:r>
      <w:r w:rsidRPr="007F3A22">
        <w:t>Department of Urban Studies and Planning, Massachusetts Institute of Technology</w:t>
      </w:r>
      <w:r>
        <w:t xml:space="preserve">, </w:t>
      </w:r>
      <w:r w:rsidRPr="007F3A22">
        <w:t>JUST OIL? THE DISTRIBUTION OF ENVIRONMENTAL AND SOCIAL IMPACTS OF OIL PRODUCTION AND CONSUMPTION</w:t>
      </w:r>
      <w:r>
        <w:t xml:space="preserve">, Annual Review of Environmental Resources, 2003, Vol. 28, pp. </w:t>
      </w:r>
      <w:r w:rsidRPr="007F3A22">
        <w:t>587–617</w:t>
      </w:r>
      <w:r>
        <w:t xml:space="preserve">, Published </w:t>
      </w:r>
      <w:r w:rsidRPr="007F3A22">
        <w:t>August 14, 2003</w:t>
      </w:r>
      <w:r>
        <w:t xml:space="preserve">, </w:t>
      </w:r>
      <w:r w:rsidRPr="007F3A22">
        <w:t>http://escholarship.org/uc/item/32t2x692</w:t>
      </w:r>
      <w:r>
        <w:t>)</w:t>
      </w:r>
    </w:p>
    <w:p w:rsidR="00D37DAB" w:rsidRDefault="00D37DAB" w:rsidP="00D37DAB"/>
    <w:p w:rsidR="00D37DAB" w:rsidRPr="00D37DAB" w:rsidRDefault="00D37DAB" w:rsidP="00D37DAB">
      <w:r w:rsidRPr="00D37DAB">
        <w:t xml:space="preserve">The combustion of petroleum products contributes to numerous environmental </w:t>
      </w:r>
      <w:proofErr w:type="spellStart"/>
      <w:r w:rsidRPr="00D37DAB">
        <w:t>im</w:t>
      </w:r>
      <w:proofErr w:type="spellEnd"/>
      <w:r w:rsidRPr="00D37DAB">
        <w:t>- pacts including air pollution</w:t>
      </w:r>
    </w:p>
    <w:p w:rsidR="00D37DAB" w:rsidRPr="00D37DAB" w:rsidRDefault="00D37DAB" w:rsidP="00D37DAB">
      <w:r w:rsidRPr="00D37DAB">
        <w:t>AND</w:t>
      </w:r>
    </w:p>
    <w:p w:rsidR="00D37DAB" w:rsidRPr="00D37DAB" w:rsidRDefault="00D37DAB" w:rsidP="00D37DAB">
      <w:proofErr w:type="gramStart"/>
      <w:r w:rsidRPr="00D37DAB">
        <w:t>and</w:t>
      </w:r>
      <w:proofErr w:type="gramEnd"/>
      <w:r w:rsidRPr="00D37DAB">
        <w:t xml:space="preserve"> particularly stark impacts in some of the poorest countries in the world.</w:t>
      </w:r>
    </w:p>
    <w:p w:rsidR="00D37DAB" w:rsidRDefault="00D37DAB" w:rsidP="00D37DAB">
      <w:pPr>
        <w:pStyle w:val="Heading4"/>
      </w:pPr>
      <w:r>
        <w:t>Two impacts</w:t>
      </w:r>
    </w:p>
    <w:p w:rsidR="00D37DAB" w:rsidRDefault="00D37DAB" w:rsidP="00D37DAB">
      <w:pPr>
        <w:pStyle w:val="Heading4"/>
      </w:pPr>
      <w:r>
        <w:t>1. Scientists agree—climate change decimates multiple levels of biodiversity culminating in extinction.</w:t>
      </w:r>
    </w:p>
    <w:p w:rsidR="00D37DAB" w:rsidRDefault="00D37DAB" w:rsidP="00D37DAB">
      <w:proofErr w:type="spellStart"/>
      <w:r w:rsidRPr="008E66B1">
        <w:rPr>
          <w:rStyle w:val="StyleStyleBold12pt"/>
        </w:rPr>
        <w:t>Bellard</w:t>
      </w:r>
      <w:proofErr w:type="spellEnd"/>
      <w:r w:rsidRPr="008E66B1">
        <w:rPr>
          <w:rStyle w:val="StyleStyleBold12pt"/>
        </w:rPr>
        <w:t xml:space="preserve"> et al</w:t>
      </w:r>
      <w:r>
        <w:rPr>
          <w:rStyle w:val="StyleStyleBold12pt"/>
        </w:rPr>
        <w:t>.</w:t>
      </w:r>
      <w:r w:rsidRPr="008E66B1">
        <w:rPr>
          <w:rStyle w:val="StyleStyleBold12pt"/>
        </w:rPr>
        <w:t xml:space="preserve"> 12</w:t>
      </w:r>
      <w:r>
        <w:rPr>
          <w:rStyle w:val="StyleStyleBold12pt"/>
        </w:rPr>
        <w:t xml:space="preserve">, </w:t>
      </w:r>
      <w:r>
        <w:t xml:space="preserve">(Céline </w:t>
      </w:r>
      <w:proofErr w:type="spellStart"/>
      <w:r>
        <w:t>Bellard</w:t>
      </w:r>
      <w:proofErr w:type="spellEnd"/>
      <w:r>
        <w:t xml:space="preserve">, </w:t>
      </w:r>
      <w:proofErr w:type="spellStart"/>
      <w:r>
        <w:t>pHD</w:t>
      </w:r>
      <w:proofErr w:type="spellEnd"/>
      <w:r>
        <w:t xml:space="preserve"> of Ecology at the University of </w:t>
      </w:r>
      <w:proofErr w:type="gramStart"/>
      <w:r>
        <w:t>Paris ,</w:t>
      </w:r>
      <w:proofErr w:type="gramEnd"/>
      <w:r>
        <w:rPr>
          <w:b/>
          <w:bCs/>
          <w:sz w:val="26"/>
        </w:rPr>
        <w:t xml:space="preserve"> </w:t>
      </w:r>
      <w:r>
        <w:t xml:space="preserve">Cleo </w:t>
      </w:r>
      <w:proofErr w:type="spellStart"/>
      <w:r>
        <w:t>Bertelsmeier</w:t>
      </w:r>
      <w:proofErr w:type="spellEnd"/>
      <w:r>
        <w:t>,</w:t>
      </w:r>
      <w:r w:rsidRPr="008E66B1">
        <w:t xml:space="preserve"> </w:t>
      </w:r>
      <w:r>
        <w:t>Prof of Ecology at the University of Paris,</w:t>
      </w:r>
      <w:r>
        <w:rPr>
          <w:b/>
          <w:bCs/>
          <w:sz w:val="26"/>
        </w:rPr>
        <w:t xml:space="preserve"> </w:t>
      </w:r>
      <w:r>
        <w:t xml:space="preserve">Paul </w:t>
      </w:r>
      <w:proofErr w:type="spellStart"/>
      <w:r>
        <w:t>Leadley</w:t>
      </w:r>
      <w:proofErr w:type="spellEnd"/>
      <w:r>
        <w:t xml:space="preserve">, Prof of Ecology at the University of Paris, </w:t>
      </w:r>
      <w:proofErr w:type="spellStart"/>
      <w:r>
        <w:t>Wilfried</w:t>
      </w:r>
      <w:proofErr w:type="spellEnd"/>
      <w:r>
        <w:t xml:space="preserve"> </w:t>
      </w:r>
      <w:proofErr w:type="spellStart"/>
      <w:r>
        <w:t>Thuiller</w:t>
      </w:r>
      <w:proofErr w:type="spellEnd"/>
      <w:r>
        <w:t xml:space="preserve">, Director at the </w:t>
      </w:r>
      <w:proofErr w:type="spellStart"/>
      <w:r>
        <w:t>Laboratoire</w:t>
      </w:r>
      <w:proofErr w:type="spellEnd"/>
      <w:r>
        <w:t xml:space="preserve"> </w:t>
      </w:r>
      <w:proofErr w:type="spellStart"/>
      <w:r>
        <w:t>d’Ecologie</w:t>
      </w:r>
      <w:proofErr w:type="spellEnd"/>
      <w:r>
        <w:t xml:space="preserve"> Alpine, Franck </w:t>
      </w:r>
      <w:proofErr w:type="spellStart"/>
      <w:r>
        <w:t>Courchamp</w:t>
      </w:r>
      <w:proofErr w:type="spellEnd"/>
      <w:r>
        <w:t>,</w:t>
      </w:r>
      <w:r w:rsidRPr="008E66B1">
        <w:t xml:space="preserve"> </w:t>
      </w:r>
      <w:r>
        <w:t>Prof of Ecology at the University of Paris ,</w:t>
      </w:r>
      <w:r>
        <w:rPr>
          <w:b/>
          <w:bCs/>
          <w:sz w:val="26"/>
        </w:rPr>
        <w:t xml:space="preserve"> </w:t>
      </w:r>
      <w:r>
        <w:t>Impacts of climate change on the future of biodiversity, Ecology Letters Volume 15, Issue 4, pages 365–377, April 2012)</w:t>
      </w:r>
    </w:p>
    <w:p w:rsidR="00D37DAB" w:rsidRPr="005913A9" w:rsidRDefault="00D37DAB" w:rsidP="00D37DAB">
      <w:pPr>
        <w:rPr>
          <w:b/>
          <w:sz w:val="26"/>
        </w:rPr>
      </w:pPr>
    </w:p>
    <w:p w:rsidR="00D37DAB" w:rsidRPr="00D37DAB" w:rsidRDefault="00D37DAB" w:rsidP="00D37DAB">
      <w:r w:rsidRPr="00D37DAB">
        <w:t xml:space="preserve">Many studies in recent years have investigated the effects of climate change on the future </w:t>
      </w:r>
    </w:p>
    <w:p w:rsidR="00D37DAB" w:rsidRPr="00D37DAB" w:rsidRDefault="00D37DAB" w:rsidP="00D37DAB">
      <w:r w:rsidRPr="00D37DAB">
        <w:t>AND</w:t>
      </w:r>
    </w:p>
    <w:p w:rsidR="00D37DAB" w:rsidRPr="00D37DAB" w:rsidRDefault="00D37DAB" w:rsidP="00D37DAB">
      <w:proofErr w:type="gramStart"/>
      <w:r w:rsidRPr="00D37DAB">
        <w:t>biodiversity</w:t>
      </w:r>
      <w:proofErr w:type="gramEnd"/>
      <w:r w:rsidRPr="00D37DAB">
        <w:t xml:space="preserve"> can respond in several ways, through several types of mechanisms.</w:t>
      </w:r>
    </w:p>
    <w:p w:rsidR="00D37DAB" w:rsidRPr="00C44927" w:rsidRDefault="00D37DAB" w:rsidP="00D37DAB">
      <w:pPr>
        <w:pStyle w:val="Heading4"/>
      </w:pPr>
      <w:r w:rsidRPr="00C44927">
        <w:t>Loss of biodiversity will</w:t>
      </w:r>
      <w:r>
        <w:t xml:space="preserve"> independently</w:t>
      </w:r>
      <w:r w:rsidRPr="00C44927">
        <w:t xml:space="preserve"> lead to extinction – global ecosy</w:t>
      </w:r>
      <w:r>
        <w:t>stems are reliant on each other</w:t>
      </w:r>
    </w:p>
    <w:p w:rsidR="00D37DAB" w:rsidRPr="00C44927" w:rsidRDefault="00D37DAB" w:rsidP="00D37DAB">
      <w:proofErr w:type="spellStart"/>
      <w:r w:rsidRPr="00C44927">
        <w:rPr>
          <w:rStyle w:val="StyleStyleBold12pt"/>
        </w:rPr>
        <w:t>Tonn</w:t>
      </w:r>
      <w:proofErr w:type="spellEnd"/>
      <w:r w:rsidRPr="00C44927">
        <w:rPr>
          <w:rStyle w:val="StyleStyleBold12pt"/>
        </w:rPr>
        <w:t xml:space="preserve"> 7,</w:t>
      </w:r>
      <w:r>
        <w:t xml:space="preserve"> </w:t>
      </w:r>
      <w:r w:rsidRPr="00C44927">
        <w:t xml:space="preserve">Bruce E. </w:t>
      </w:r>
      <w:proofErr w:type="spellStart"/>
      <w:r w:rsidRPr="00C44927">
        <w:t>Tonn</w:t>
      </w:r>
      <w:proofErr w:type="spellEnd"/>
      <w:r w:rsidRPr="00C44927">
        <w:t>, Urban Planning Prof @ Tennessee, November 2007 (Futures v. 39, no. 9, “Futures Sustainability”, l/n)</w:t>
      </w:r>
    </w:p>
    <w:p w:rsidR="00D37DAB" w:rsidRDefault="00D37DAB" w:rsidP="00D37DAB">
      <w:pPr>
        <w:pStyle w:val="card"/>
        <w:ind w:left="0"/>
      </w:pPr>
    </w:p>
    <w:p w:rsidR="00D37DAB" w:rsidRPr="00D37DAB" w:rsidRDefault="00D37DAB" w:rsidP="00D37DAB">
      <w:r w:rsidRPr="00D37DAB">
        <w:t xml:space="preserve">The first principle is the most important because earth-life is needed to support </w:t>
      </w:r>
    </w:p>
    <w:p w:rsidR="00D37DAB" w:rsidRPr="00D37DAB" w:rsidRDefault="00D37DAB" w:rsidP="00D37DAB">
      <w:r w:rsidRPr="00D37DAB">
        <w:t>AND</w:t>
      </w:r>
    </w:p>
    <w:p w:rsidR="00D37DAB" w:rsidRPr="00D37DAB" w:rsidRDefault="00D37DAB" w:rsidP="00D37DAB">
      <w:proofErr w:type="gramStart"/>
      <w:r w:rsidRPr="00D37DAB">
        <w:t>earth</w:t>
      </w:r>
      <w:proofErr w:type="gramEnd"/>
      <w:r w:rsidRPr="00D37DAB">
        <w:t>-life into the distant future the earth's biodiversity must be protected.</w:t>
      </w:r>
    </w:p>
    <w:p w:rsidR="00D37DAB" w:rsidRPr="00ED39FD" w:rsidRDefault="00D37DAB" w:rsidP="00D37DAB">
      <w:pPr>
        <w:rPr>
          <w:sz w:val="16"/>
        </w:rPr>
      </w:pPr>
    </w:p>
    <w:p w:rsidR="00D37DAB" w:rsidRPr="007F3A22" w:rsidRDefault="00D37DAB" w:rsidP="00D37DAB">
      <w:pPr>
        <w:pStyle w:val="Heading4"/>
      </w:pPr>
      <w:bookmarkStart w:id="0" w:name="_Toc228809249"/>
      <w:r>
        <w:t xml:space="preserve">2. </w:t>
      </w:r>
      <w:r w:rsidRPr="007F3A22">
        <w:t xml:space="preserve">Runaway warming is beginning now – </w:t>
      </w:r>
      <w:bookmarkEnd w:id="0"/>
      <w:r>
        <w:t xml:space="preserve">if we hit a 4 degrees Celsius rise, extinction is inevitable, and my solvency </w:t>
      </w:r>
      <w:proofErr w:type="spellStart"/>
      <w:proofErr w:type="gramStart"/>
      <w:r>
        <w:t>ev</w:t>
      </w:r>
      <w:proofErr w:type="spellEnd"/>
      <w:proofErr w:type="gramEnd"/>
      <w:r>
        <w:t xml:space="preserve"> says the plan is key to stopping this.</w:t>
      </w:r>
    </w:p>
    <w:p w:rsidR="00D37DAB" w:rsidRPr="00416F85" w:rsidRDefault="00D37DAB" w:rsidP="00D37DAB">
      <w:proofErr w:type="spellStart"/>
      <w:r w:rsidRPr="00416F85">
        <w:rPr>
          <w:rStyle w:val="StyleStyleBold12pt"/>
        </w:rPr>
        <w:t>Tickell</w:t>
      </w:r>
      <w:proofErr w:type="spellEnd"/>
      <w:r w:rsidRPr="00416F85">
        <w:rPr>
          <w:rStyle w:val="StyleStyleBold12pt"/>
        </w:rPr>
        <w:t xml:space="preserve"> 08,</w:t>
      </w:r>
      <w:r w:rsidRPr="00416F85">
        <w:t xml:space="preserve"> (Oliver, The Guardian, “On a planet 4C hotter, all we can prepare for is extinction”, 8/11, http://www.guardian.co.uk/commentisfree/2008/aug/11/climatechange)</w:t>
      </w:r>
    </w:p>
    <w:p w:rsidR="00D37DAB" w:rsidRPr="00FA2DD7" w:rsidRDefault="00D37DAB" w:rsidP="00D37DAB"/>
    <w:p w:rsidR="00D37DAB" w:rsidRPr="00D37DAB" w:rsidRDefault="00D37DAB" w:rsidP="00D37DAB">
      <w:r w:rsidRPr="00D37DAB">
        <w:t xml:space="preserve">We need to get prepared for four degrees of global warming, Bob Watson told </w:t>
      </w:r>
    </w:p>
    <w:p w:rsidR="00D37DAB" w:rsidRPr="00D37DAB" w:rsidRDefault="00D37DAB" w:rsidP="00D37DAB">
      <w:r w:rsidRPr="00D37DAB">
        <w:t>AND</w:t>
      </w:r>
    </w:p>
    <w:p w:rsidR="00D37DAB" w:rsidRPr="00D37DAB" w:rsidRDefault="00D37DAB" w:rsidP="00D37DAB">
      <w:proofErr w:type="gramStart"/>
      <w:r w:rsidRPr="00D37DAB">
        <w:t>warming</w:t>
      </w:r>
      <w:proofErr w:type="gramEnd"/>
      <w:r w:rsidRPr="00D37DAB">
        <w:t xml:space="preserve"> caused by human emissions could propel us towards a similar hothouse Earth.</w:t>
      </w:r>
    </w:p>
    <w:p w:rsidR="00D37DAB" w:rsidRDefault="00D37DAB" w:rsidP="00D37DAB"/>
    <w:p w:rsidR="00D37DAB" w:rsidRDefault="00D37DAB" w:rsidP="00D37DAB">
      <w:pPr>
        <w:pStyle w:val="Heading2"/>
      </w:pPr>
      <w:r>
        <w:t>Part 4 Framework</w:t>
      </w:r>
    </w:p>
    <w:p w:rsidR="00D37DAB" w:rsidRPr="00F30DA2" w:rsidRDefault="00D37DAB" w:rsidP="00D37DAB"/>
    <w:p w:rsidR="00D37DAB" w:rsidRDefault="00D37DAB" w:rsidP="00D37DAB">
      <w:r>
        <w:t xml:space="preserve">I value </w:t>
      </w:r>
      <w:proofErr w:type="gramStart"/>
      <w:r>
        <w:t>morality,</w:t>
      </w:r>
      <w:proofErr w:type="gramEnd"/>
      <w:r>
        <w:t xml:space="preserve"> the standard is maximizing expected well-being.</w:t>
      </w:r>
    </w:p>
    <w:p w:rsidR="00D37DAB" w:rsidRPr="00D37DAB" w:rsidRDefault="00D37DAB" w:rsidP="00D37DAB">
      <w:pPr>
        <w:pStyle w:val="Heading4"/>
      </w:pPr>
      <w:r>
        <w:t>1.</w:t>
      </w:r>
      <w:r w:rsidRPr="00170F91">
        <w:t xml:space="preserve"> </w:t>
      </w:r>
      <w:r>
        <w:t>T</w:t>
      </w:r>
      <w:r w:rsidRPr="00170F91">
        <w:t xml:space="preserve">he resolution is a question between two policies, so we should use the moral theory that is best for policymaking, which </w:t>
      </w:r>
      <w:r w:rsidRPr="00D37DAB">
        <w:t xml:space="preserve">is util. </w:t>
      </w:r>
      <w:proofErr w:type="spellStart"/>
      <w:r w:rsidRPr="00D37DAB">
        <w:t>Woller</w:t>
      </w:r>
      <w:proofErr w:type="spellEnd"/>
      <w:r w:rsidRPr="00D37DAB">
        <w:t>:</w:t>
      </w:r>
    </w:p>
    <w:p w:rsidR="00D37DAB" w:rsidRPr="00D37DAB" w:rsidRDefault="00D37DAB" w:rsidP="00D37DAB">
      <w:r w:rsidRPr="00D37DAB">
        <w:t>(Gary, Economics Professor at BYU, “Policy Currents,” June, http://apsapolicysection.org/vol7_2/</w:t>
      </w:r>
      <w:proofErr w:type="gramStart"/>
      <w:r w:rsidRPr="00D37DAB">
        <w:t>72.pdf )</w:t>
      </w:r>
      <w:proofErr w:type="gramEnd"/>
      <w:r w:rsidRPr="00D37DAB">
        <w:t xml:space="preserve"> Showers</w:t>
      </w:r>
    </w:p>
    <w:p w:rsidR="00D37DAB" w:rsidRPr="00D37DAB" w:rsidRDefault="00D37DAB" w:rsidP="00D37DAB"/>
    <w:p w:rsidR="00D37DAB" w:rsidRPr="00D37DAB" w:rsidRDefault="00D37DAB" w:rsidP="00D37DAB">
      <w:r w:rsidRPr="00D37DAB">
        <w:t xml:space="preserve">Moreover, virtually all public policies entail some redistribution of economic or political resources, </w:t>
      </w:r>
    </w:p>
    <w:p w:rsidR="00D37DAB" w:rsidRPr="00D37DAB" w:rsidRDefault="00D37DAB" w:rsidP="00D37DAB">
      <w:r w:rsidRPr="00D37DAB">
        <w:t>AND</w:t>
      </w:r>
    </w:p>
    <w:p w:rsidR="00D37DAB" w:rsidRPr="00D37DAB" w:rsidRDefault="00D37DAB" w:rsidP="00D37DAB">
      <w:proofErr w:type="gramStart"/>
      <w:r w:rsidRPr="00D37DAB">
        <w:t>offs</w:t>
      </w:r>
      <w:proofErr w:type="gramEnd"/>
      <w:r w:rsidRPr="00D37DAB">
        <w:t xml:space="preserve"> implied by their polices are somehow to the overall  advantage of society. </w:t>
      </w:r>
    </w:p>
    <w:p w:rsidR="00D37DAB" w:rsidRDefault="00D37DAB" w:rsidP="00D37DAB">
      <w:pPr>
        <w:pStyle w:val="Heading4"/>
      </w:pPr>
      <w:r>
        <w:t>2. There is no stable conception of personhood over time, implies we can only base morality on specific contexts and consequences.  Shultz</w:t>
      </w:r>
    </w:p>
    <w:p w:rsidR="00D37DAB" w:rsidRPr="000C38A8" w:rsidRDefault="00D37DAB" w:rsidP="00D37DAB">
      <w:pPr>
        <w:rPr>
          <w:sz w:val="16"/>
          <w:szCs w:val="16"/>
        </w:rPr>
      </w:pPr>
      <w:proofErr w:type="gramStart"/>
      <w:r w:rsidRPr="000C38A8">
        <w:rPr>
          <w:sz w:val="16"/>
          <w:szCs w:val="16"/>
        </w:rPr>
        <w:t>Persons, Selves, and Utilitarianism.</w:t>
      </w:r>
      <w:proofErr w:type="gramEnd"/>
      <w:r w:rsidRPr="000C38A8">
        <w:rPr>
          <w:sz w:val="16"/>
          <w:szCs w:val="16"/>
        </w:rPr>
        <w:t xml:space="preserve"> Bart Shultz.</w:t>
      </w:r>
    </w:p>
    <w:p w:rsidR="00D37DAB" w:rsidRPr="00D37DAB" w:rsidRDefault="00D37DAB" w:rsidP="00D37DAB">
      <w:r w:rsidRPr="00D37DAB">
        <w:t xml:space="preserve">Furthermore, since on this view the continued existence of a person over time just </w:t>
      </w:r>
    </w:p>
    <w:p w:rsidR="00D37DAB" w:rsidRPr="00D37DAB" w:rsidRDefault="00D37DAB" w:rsidP="00D37DAB">
      <w:r w:rsidRPr="00D37DAB">
        <w:t>AND</w:t>
      </w:r>
    </w:p>
    <w:p w:rsidR="00D37DAB" w:rsidRPr="00D37DAB" w:rsidRDefault="00D37DAB" w:rsidP="00D37DAB">
      <w:r w:rsidRPr="00D37DAB">
        <w:t>Personal identity [is] can, in this sense, be indeterminate.</w:t>
      </w:r>
    </w:p>
    <w:p w:rsidR="00D37DAB" w:rsidRDefault="00D37DAB" w:rsidP="00D37DAB"/>
    <w:p w:rsidR="00D37DAB" w:rsidRDefault="00D37DAB" w:rsidP="00D37DAB">
      <w:r w:rsidRPr="002A25DA">
        <w:t>In the absence of a stable conception of personhood over time, the value of persons can only stem from the states of affairs that comprise their actions and consequences. This takes out all assumptions of a conception of agent-relative desires or static human agency since morality is external any stable conception of personhood</w:t>
      </w:r>
      <w:r>
        <w:t>.</w:t>
      </w:r>
      <w:r w:rsidRPr="002A25DA">
        <w:t xml:space="preserve"> </w:t>
      </w:r>
    </w:p>
    <w:p w:rsidR="00D37DAB" w:rsidRDefault="00D37DAB" w:rsidP="00D37DAB"/>
    <w:p w:rsidR="00D37DAB" w:rsidRDefault="00D37DAB" w:rsidP="00D37DAB">
      <w:pPr>
        <w:pStyle w:val="Heading4"/>
      </w:pPr>
      <w:r>
        <w:t xml:space="preserve">3. All moral theories must appeal to a value of truth.  The only way to determine what is true is to determine whether it is true in a specific context.  </w:t>
      </w:r>
      <w:proofErr w:type="spellStart"/>
      <w:r>
        <w:t>Brendel</w:t>
      </w:r>
      <w:proofErr w:type="spellEnd"/>
      <w:r>
        <w:t xml:space="preserve"> and </w:t>
      </w:r>
      <w:proofErr w:type="spellStart"/>
      <w:r>
        <w:t>Jager</w:t>
      </w:r>
      <w:proofErr w:type="spellEnd"/>
    </w:p>
    <w:p w:rsidR="00D37DAB" w:rsidRDefault="00D37DAB" w:rsidP="00D37DAB">
      <w:pPr>
        <w:rPr>
          <w:sz w:val="16"/>
          <w:szCs w:val="16"/>
        </w:rPr>
      </w:pPr>
      <w:proofErr w:type="spellStart"/>
      <w:r w:rsidRPr="000C52E0">
        <w:rPr>
          <w:sz w:val="16"/>
          <w:szCs w:val="16"/>
        </w:rPr>
        <w:t>Elke</w:t>
      </w:r>
      <w:proofErr w:type="spellEnd"/>
      <w:r w:rsidRPr="000C52E0">
        <w:rPr>
          <w:sz w:val="16"/>
          <w:szCs w:val="16"/>
        </w:rPr>
        <w:t xml:space="preserve"> </w:t>
      </w:r>
      <w:proofErr w:type="spellStart"/>
      <w:r w:rsidRPr="000C52E0">
        <w:rPr>
          <w:sz w:val="16"/>
          <w:szCs w:val="16"/>
        </w:rPr>
        <w:t>Brendel</w:t>
      </w:r>
      <w:proofErr w:type="spellEnd"/>
      <w:r w:rsidRPr="000C52E0">
        <w:rPr>
          <w:sz w:val="16"/>
          <w:szCs w:val="16"/>
        </w:rPr>
        <w:t xml:space="preserve"> and </w:t>
      </w:r>
      <w:proofErr w:type="spellStart"/>
      <w:r w:rsidRPr="000C52E0">
        <w:rPr>
          <w:sz w:val="16"/>
          <w:szCs w:val="16"/>
        </w:rPr>
        <w:t>Christoph</w:t>
      </w:r>
      <w:proofErr w:type="spellEnd"/>
      <w:r w:rsidRPr="000C52E0">
        <w:rPr>
          <w:sz w:val="16"/>
          <w:szCs w:val="16"/>
        </w:rPr>
        <w:t xml:space="preserve"> </w:t>
      </w:r>
      <w:proofErr w:type="spellStart"/>
      <w:r w:rsidRPr="000C52E0">
        <w:rPr>
          <w:sz w:val="16"/>
          <w:szCs w:val="16"/>
        </w:rPr>
        <w:t>Jäger</w:t>
      </w:r>
      <w:proofErr w:type="spellEnd"/>
      <w:r w:rsidRPr="000C52E0">
        <w:rPr>
          <w:sz w:val="16"/>
          <w:szCs w:val="16"/>
        </w:rPr>
        <w:t>.  “</w:t>
      </w:r>
      <w:proofErr w:type="spellStart"/>
      <w:r w:rsidRPr="000C52E0">
        <w:rPr>
          <w:sz w:val="16"/>
          <w:szCs w:val="16"/>
        </w:rPr>
        <w:t>Contextualist</w:t>
      </w:r>
      <w:proofErr w:type="spellEnd"/>
      <w:r w:rsidRPr="000C52E0">
        <w:rPr>
          <w:sz w:val="16"/>
          <w:szCs w:val="16"/>
        </w:rPr>
        <w:t xml:space="preserve"> Approaches to Epistemology: Problems and Prospects.”  </w:t>
      </w:r>
      <w:proofErr w:type="gramStart"/>
      <w:r w:rsidRPr="000C52E0">
        <w:rPr>
          <w:sz w:val="16"/>
          <w:szCs w:val="16"/>
        </w:rPr>
        <w:t xml:space="preserve">2004.  </w:t>
      </w:r>
      <w:proofErr w:type="gramEnd"/>
      <w:r w:rsidRPr="000C52E0">
        <w:rPr>
          <w:sz w:val="16"/>
          <w:szCs w:val="16"/>
        </w:rPr>
        <w:t>http://www.jstor.org/stable/20013285</w:t>
      </w:r>
    </w:p>
    <w:p w:rsidR="00D37DAB" w:rsidRPr="000C52E0" w:rsidRDefault="00D37DAB" w:rsidP="00D37DAB">
      <w:pPr>
        <w:rPr>
          <w:sz w:val="16"/>
          <w:szCs w:val="16"/>
        </w:rPr>
      </w:pPr>
    </w:p>
    <w:p w:rsidR="00D37DAB" w:rsidRPr="00D37DAB" w:rsidRDefault="00D37DAB" w:rsidP="00D37DAB">
      <w:r w:rsidRPr="00D37DAB">
        <w:t xml:space="preserve">One theory of </w:t>
      </w:r>
      <w:proofErr w:type="gramStart"/>
      <w:r w:rsidRPr="00D37DAB">
        <w:t xml:space="preserve">knowledge which has had a major impact on recent </w:t>
      </w:r>
      <w:proofErr w:type="spellStart"/>
      <w:r w:rsidRPr="00D37DAB">
        <w:t>contextualist</w:t>
      </w:r>
      <w:proofErr w:type="spellEnd"/>
      <w:r w:rsidRPr="00D37DAB">
        <w:t xml:space="preserve"> approaches</w:t>
      </w:r>
      <w:proofErr w:type="gramEnd"/>
      <w:r w:rsidRPr="00D37DAB">
        <w:t xml:space="preserve"> is </w:t>
      </w:r>
    </w:p>
    <w:p w:rsidR="00D37DAB" w:rsidRPr="00D37DAB" w:rsidRDefault="00D37DAB" w:rsidP="00D37DAB">
      <w:r w:rsidRPr="00D37DAB">
        <w:t>AND</w:t>
      </w:r>
    </w:p>
    <w:p w:rsidR="00D37DAB" w:rsidRPr="00D37DAB" w:rsidRDefault="00D37DAB" w:rsidP="00D37DAB">
      <w:proofErr w:type="gramStart"/>
      <w:r w:rsidRPr="00D37DAB">
        <w:t>zebras</w:t>
      </w:r>
      <w:proofErr w:type="gramEnd"/>
      <w:r w:rsidRPr="00D37DAB">
        <w:t>, unless you can rule out the possibility that they are cleverly disguised</w:t>
      </w:r>
    </w:p>
    <w:p w:rsidR="00D37DAB" w:rsidRDefault="00D37DAB" w:rsidP="00D37DAB"/>
    <w:p w:rsidR="00D37DAB" w:rsidRDefault="00D37DAB" w:rsidP="00D37DAB">
      <w:r>
        <w:t xml:space="preserve">Since we can only determine the validity of a statement in a specific context, we can only determine the truth of the resolution in a specific instance of environmental protection or resource extraction, i.e. a plan or counterplan.  So, plans are necessary to determine the validity of the res, which comes before theory about plans since </w:t>
      </w:r>
    </w:p>
    <w:p w:rsidR="00D37DAB" w:rsidRDefault="00D37DAB" w:rsidP="00D37DAB">
      <w:pPr>
        <w:pStyle w:val="ListParagraph"/>
        <w:numPr>
          <w:ilvl w:val="0"/>
          <w:numId w:val="6"/>
        </w:numPr>
      </w:pPr>
      <w:proofErr w:type="spellStart"/>
      <w:r>
        <w:t>Args</w:t>
      </w:r>
      <w:proofErr w:type="spellEnd"/>
      <w:r>
        <w:t xml:space="preserve"> about why plans are bad contradict themselves because they argue that the truth is bad. And</w:t>
      </w:r>
    </w:p>
    <w:p w:rsidR="00D37DAB" w:rsidRDefault="00D37DAB" w:rsidP="00D37DAB">
      <w:pPr>
        <w:pStyle w:val="ListParagraph"/>
        <w:numPr>
          <w:ilvl w:val="0"/>
          <w:numId w:val="6"/>
        </w:numPr>
      </w:pPr>
      <w:r>
        <w:t>There is more abuse if I’m denied the ability to prove the res true since I would have no offense, and nor would you.</w:t>
      </w:r>
    </w:p>
    <w:p w:rsidR="00D37DAB" w:rsidRDefault="00D37DAB" w:rsidP="00D37DAB"/>
    <w:p w:rsidR="00D37DAB" w:rsidRDefault="00D37DAB" w:rsidP="00D37DAB">
      <w:r>
        <w:t xml:space="preserve">This also means that the negative must have a specific counter-advocacy that specifies a developing country and action in that country in order to negate the resolution, they can’t simply criticize the representations or discourse of the </w:t>
      </w:r>
      <w:proofErr w:type="spellStart"/>
      <w:r>
        <w:t>aff</w:t>
      </w:r>
      <w:proofErr w:type="spellEnd"/>
      <w:r>
        <w:t>, they must provide a specific advocacy and have offense back to that advocacy.</w:t>
      </w:r>
    </w:p>
    <w:p w:rsidR="00D37DAB" w:rsidRDefault="00D37DAB" w:rsidP="00D37DAB">
      <w:pPr>
        <w:pStyle w:val="Heading4"/>
      </w:pPr>
      <w:r>
        <w:t xml:space="preserve">Contextual epistemology implies pragmatism.  </w:t>
      </w:r>
      <w:proofErr w:type="spellStart"/>
      <w:r>
        <w:t>Hookaway</w:t>
      </w:r>
      <w:proofErr w:type="spellEnd"/>
    </w:p>
    <w:p w:rsidR="00D37DAB" w:rsidRDefault="00D37DAB" w:rsidP="00D37DAB">
      <w:pPr>
        <w:rPr>
          <w:sz w:val="16"/>
        </w:rPr>
      </w:pPr>
      <w:proofErr w:type="spellStart"/>
      <w:r w:rsidRPr="006503B4">
        <w:rPr>
          <w:sz w:val="16"/>
        </w:rPr>
        <w:t>Hookaway</w:t>
      </w:r>
      <w:proofErr w:type="spellEnd"/>
      <w:r w:rsidRPr="006503B4">
        <w:rPr>
          <w:sz w:val="16"/>
        </w:rPr>
        <w:t xml:space="preserve">, Christopher.  “JAMES’S EPISTEMOLOGY AND THE WILL TO BELIEVE.”  </w:t>
      </w:r>
      <w:proofErr w:type="gramStart"/>
      <w:r w:rsidRPr="006503B4">
        <w:rPr>
          <w:sz w:val="16"/>
        </w:rPr>
        <w:t>2011.  http://lnx.journalofpragmatism.eu/wp-content/uploads/2011/07/Hookway.pdf</w:t>
      </w:r>
      <w:proofErr w:type="gramEnd"/>
    </w:p>
    <w:p w:rsidR="00D37DAB" w:rsidRPr="006503B4" w:rsidRDefault="00D37DAB" w:rsidP="00D37DAB">
      <w:pPr>
        <w:rPr>
          <w:sz w:val="16"/>
        </w:rPr>
      </w:pPr>
    </w:p>
    <w:p w:rsidR="00D37DAB" w:rsidRPr="00D37DAB" w:rsidRDefault="00D37DAB" w:rsidP="00D37DAB">
      <w:proofErr w:type="gramStart"/>
      <w:r w:rsidRPr="00D37DAB">
        <w:t>l</w:t>
      </w:r>
      <w:proofErr w:type="gramEnd"/>
      <w:r w:rsidRPr="00D37DAB">
        <w:t xml:space="preserve"> examine some evidence that James was sympathetic to epistemic </w:t>
      </w:r>
      <w:proofErr w:type="spellStart"/>
      <w:r w:rsidRPr="00D37DAB">
        <w:t>contextualism</w:t>
      </w:r>
      <w:proofErr w:type="spellEnd"/>
      <w:r w:rsidRPr="00D37DAB">
        <w:t xml:space="preserve">. </w:t>
      </w:r>
      <w:proofErr w:type="spellStart"/>
      <w:r w:rsidRPr="00D37DAB">
        <w:t>Contextualists</w:t>
      </w:r>
      <w:proofErr w:type="spellEnd"/>
      <w:r w:rsidRPr="00D37DAB">
        <w:t xml:space="preserve"> hold that </w:t>
      </w:r>
    </w:p>
    <w:p w:rsidR="00D37DAB" w:rsidRPr="00D37DAB" w:rsidRDefault="00D37DAB" w:rsidP="00D37DAB">
      <w:r w:rsidRPr="00D37DAB">
        <w:t>AND</w:t>
      </w:r>
    </w:p>
    <w:p w:rsidR="00D37DAB" w:rsidRPr="00D37DAB" w:rsidRDefault="00D37DAB" w:rsidP="00D37DAB">
      <w:proofErr w:type="gramStart"/>
      <w:r w:rsidRPr="00D37DAB">
        <w:t>is</w:t>
      </w:r>
      <w:proofErr w:type="gramEnd"/>
      <w:r w:rsidRPr="00D37DAB">
        <w:t xml:space="preserve"> required for belief in results of medical research than for casual reflection.</w:t>
      </w:r>
    </w:p>
    <w:p w:rsidR="00D37DAB" w:rsidRDefault="00D37DAB" w:rsidP="00D37DAB">
      <w:pPr>
        <w:rPr>
          <w:rFonts w:eastAsia="Calibri"/>
        </w:rPr>
      </w:pPr>
    </w:p>
    <w:p w:rsidR="00D37DAB" w:rsidRDefault="00D37DAB" w:rsidP="00D37DAB">
      <w:r w:rsidRPr="002A25DA">
        <w:rPr>
          <w:rFonts w:eastAsia="Calibri"/>
        </w:rPr>
        <w:t xml:space="preserve">The pragmatic theory of truth applied to ethics </w:t>
      </w:r>
      <w:r>
        <w:rPr>
          <w:rFonts w:eastAsia="Calibri"/>
        </w:rPr>
        <w:t>implies util</w:t>
      </w:r>
      <w:r w:rsidRPr="002A25DA">
        <w:rPr>
          <w:rFonts w:eastAsia="Calibri"/>
        </w:rPr>
        <w:t xml:space="preserve">. To prove the resolution true as a general principle, we have to show its general usefulness or practical value to </w:t>
      </w:r>
      <w:r>
        <w:rPr>
          <w:rFonts w:eastAsia="Calibri"/>
        </w:rPr>
        <w:t xml:space="preserve">us </w:t>
      </w:r>
      <w:r w:rsidRPr="002A25DA">
        <w:rPr>
          <w:rFonts w:eastAsia="Calibri"/>
        </w:rPr>
        <w:t xml:space="preserve">as a true statement. </w:t>
      </w:r>
      <w:proofErr w:type="spellStart"/>
      <w:r w:rsidRPr="002A25DA">
        <w:rPr>
          <w:rFonts w:eastAsia="Calibri"/>
        </w:rPr>
        <w:t>Util</w:t>
      </w:r>
      <w:proofErr w:type="spellEnd"/>
      <w:r w:rsidRPr="002A25DA">
        <w:rPr>
          <w:rFonts w:eastAsia="Calibri"/>
        </w:rPr>
        <w:t xml:space="preserve"> is the only theory of ethics that stems from taking into account the general pragmatic implications of our beliefs. No other philosophy meets the generality and practicality requirements of pragmatism</w:t>
      </w:r>
    </w:p>
    <w:p w:rsidR="00D37DAB" w:rsidRPr="00B96AD6" w:rsidRDefault="00D37DAB" w:rsidP="00D37DAB"/>
    <w:p w:rsidR="00D37DAB" w:rsidRDefault="00D37DAB" w:rsidP="00D37DAB">
      <w:pPr>
        <w:pStyle w:val="Heading4"/>
        <w:rPr>
          <w:rFonts w:eastAsia="Cambria"/>
          <w:szCs w:val="26"/>
        </w:rPr>
      </w:pPr>
      <w:r>
        <w:t xml:space="preserve">4. </w:t>
      </w:r>
      <w:r w:rsidRPr="00EE3DCF">
        <w:t xml:space="preserve">In case of moral uncertainty, i.e. defense on either framework, prevent extinction to preserve our ability to recognize value, </w:t>
      </w:r>
      <w:proofErr w:type="spellStart"/>
      <w:r w:rsidRPr="00EE3DCF">
        <w:t>Bostrom</w:t>
      </w:r>
      <w:bookmarkStart w:id="1" w:name="_GoBack"/>
      <w:bookmarkEnd w:id="1"/>
      <w:proofErr w:type="spellEnd"/>
      <w:r w:rsidRPr="002203F6">
        <w:rPr>
          <w:rFonts w:eastAsia="Cambria"/>
          <w:szCs w:val="26"/>
        </w:rPr>
        <w:t>:</w:t>
      </w:r>
    </w:p>
    <w:p w:rsidR="00D37DAB" w:rsidRPr="00D37DAB" w:rsidRDefault="00D37DAB" w:rsidP="00D37DAB">
      <w:proofErr w:type="spellStart"/>
      <w:r w:rsidRPr="00D37DAB">
        <w:t>Bostrum</w:t>
      </w:r>
      <w:proofErr w:type="spellEnd"/>
      <w:r w:rsidRPr="00D37DAB">
        <w:t xml:space="preserve">, Nick. </w:t>
      </w:r>
      <w:proofErr w:type="gramStart"/>
      <w:r w:rsidRPr="00D37DAB">
        <w:t>University of Oxford Professor.</w:t>
      </w:r>
      <w:proofErr w:type="gramEnd"/>
      <w:r w:rsidRPr="00D37DAB">
        <w:t xml:space="preserve"> </w:t>
      </w:r>
      <w:proofErr w:type="gramStart"/>
      <w:r w:rsidRPr="00D37DAB">
        <w:t xml:space="preserve">2011. </w:t>
      </w:r>
      <w:hyperlink r:id="rId8" w:history="1">
        <w:proofErr w:type="gramEnd"/>
        <w:r w:rsidRPr="00D37DAB">
          <w:t>http://www.existential-risk.org/concept.html</w:t>
        </w:r>
        <w:proofErr w:type="gramStart"/>
      </w:hyperlink>
      <w:proofErr w:type="gramEnd"/>
    </w:p>
    <w:p w:rsidR="00D37DAB" w:rsidRPr="00D37DAB" w:rsidRDefault="00D37DAB" w:rsidP="00D37DAB">
      <w:r w:rsidRPr="00D37DAB">
        <w:t xml:space="preserve">“These reflections on moral uncertainty suggest[s] an alternative, complementary way </w:t>
      </w:r>
    </w:p>
    <w:p w:rsidR="00D37DAB" w:rsidRPr="00D37DAB" w:rsidRDefault="00D37DAB" w:rsidP="00D37DAB">
      <w:r w:rsidRPr="00D37DAB">
        <w:t>AND</w:t>
      </w:r>
    </w:p>
    <w:p w:rsidR="00D37DAB" w:rsidRPr="00D37DAB" w:rsidRDefault="00D37DAB" w:rsidP="00D37DAB">
      <w:proofErr w:type="gramStart"/>
      <w:r w:rsidRPr="00D37DAB">
        <w:t>to</w:t>
      </w:r>
      <w:proofErr w:type="gramEnd"/>
      <w:r w:rsidRPr="00D37DAB">
        <w:t xml:space="preserve"> increase the probability that the future will contain a lot of value.” </w:t>
      </w:r>
    </w:p>
    <w:sectPr w:rsidR="00D37DAB" w:rsidRPr="00D37DA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DAB" w:rsidRDefault="00D37DAB" w:rsidP="00E46E7E">
      <w:r>
        <w:separator/>
      </w:r>
    </w:p>
  </w:endnote>
  <w:endnote w:type="continuationSeparator" w:id="0">
    <w:p w:rsidR="00D37DAB" w:rsidRDefault="00D37DA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Myriad Pro">
    <w:charset w:val="00"/>
    <w:family w:val="auto"/>
    <w:pitch w:val="variable"/>
    <w:sig w:usb0="20000287" w:usb1="00000001"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DAB" w:rsidRDefault="00D37DAB" w:rsidP="00E46E7E">
      <w:r>
        <w:separator/>
      </w:r>
    </w:p>
  </w:footnote>
  <w:footnote w:type="continuationSeparator" w:id="0">
    <w:p w:rsidR="00D37DAB" w:rsidRDefault="00D37DA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C0432C8"/>
    <w:multiLevelType w:val="hybridMultilevel"/>
    <w:tmpl w:val="AE2C7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7C0670"/>
    <w:multiLevelType w:val="multilevel"/>
    <w:tmpl w:val="2B0E152A"/>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DAB"/>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37DAB"/>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D37DAB"/>
    <w:pPr>
      <w:numPr>
        <w:numId w:val="5"/>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37DAB"/>
    <w:rPr>
      <w:rFonts w:ascii="Times New Roman" w:eastAsia="Cambria" w:hAnsi="Times New Roman" w:cs="Times New Roman"/>
      <w:b/>
      <w:sz w:val="26"/>
      <w:szCs w:val="22"/>
      <w:lang w:eastAsia="ja-JP"/>
    </w:rPr>
  </w:style>
  <w:style w:type="character" w:customStyle="1" w:styleId="st">
    <w:name w:val="st"/>
    <w:basedOn w:val="DefaultParagraphFont"/>
    <w:rsid w:val="00D37DAB"/>
  </w:style>
  <w:style w:type="character" w:customStyle="1" w:styleId="A2">
    <w:name w:val="A2"/>
    <w:uiPriority w:val="99"/>
    <w:rsid w:val="00D37DAB"/>
    <w:rPr>
      <w:rFonts w:cs="Myriad Pro"/>
      <w:color w:val="000000"/>
      <w:sz w:val="22"/>
      <w:szCs w:val="22"/>
    </w:rPr>
  </w:style>
  <w:style w:type="character" w:customStyle="1" w:styleId="A3">
    <w:name w:val="A3"/>
    <w:uiPriority w:val="99"/>
    <w:rsid w:val="00D37DAB"/>
    <w:rPr>
      <w:rFonts w:cs="Myriad Pro"/>
      <w:color w:val="000000"/>
      <w:sz w:val="12"/>
      <w:szCs w:val="12"/>
    </w:rPr>
  </w:style>
  <w:style w:type="paragraph" w:customStyle="1" w:styleId="card">
    <w:name w:val="card"/>
    <w:basedOn w:val="Normal"/>
    <w:next w:val="Normal"/>
    <w:link w:val="cardChar"/>
    <w:rsid w:val="00D37DAB"/>
    <w:pPr>
      <w:ind w:left="288" w:right="288"/>
    </w:pPr>
    <w:rPr>
      <w:rFonts w:ascii="Times New Roman" w:eastAsia="Calibri" w:hAnsi="Times New Roman" w:cs="Times New Roman"/>
      <w:szCs w:val="22"/>
    </w:rPr>
  </w:style>
  <w:style w:type="character" w:customStyle="1" w:styleId="cardChar">
    <w:name w:val="card Char"/>
    <w:basedOn w:val="DefaultParagraphFont"/>
    <w:link w:val="card"/>
    <w:rsid w:val="00D37DAB"/>
    <w:rPr>
      <w:rFonts w:ascii="Times New Roman" w:eastAsia="Calibri" w:hAnsi="Times New Roman" w:cs="Times New Roman"/>
      <w:sz w:val="22"/>
      <w:szCs w:val="22"/>
    </w:rPr>
  </w:style>
  <w:style w:type="character" w:customStyle="1" w:styleId="underline">
    <w:name w:val="underline"/>
    <w:basedOn w:val="DefaultParagraphFont"/>
    <w:qFormat/>
    <w:rsid w:val="00D37DAB"/>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D37DAB"/>
    <w:rPr>
      <w:rFonts w:ascii="Times New Roman" w:hAnsi="Times New Roman"/>
      <w:b/>
      <w:sz w:val="24"/>
    </w:rPr>
  </w:style>
  <w:style w:type="paragraph" w:styleId="FootnoteText">
    <w:name w:val="footnote text"/>
    <w:basedOn w:val="Normal"/>
    <w:link w:val="FootnoteTextChar"/>
    <w:uiPriority w:val="99"/>
    <w:qFormat/>
    <w:rsid w:val="00D37DAB"/>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D37DAB"/>
    <w:rPr>
      <w:rFonts w:ascii="Times New Roman" w:eastAsiaTheme="minorHAnsi" w:hAnsi="Times New Roman"/>
      <w:sz w:val="20"/>
      <w:szCs w:val="20"/>
    </w:rPr>
  </w:style>
  <w:style w:type="character" w:styleId="FootnoteReference">
    <w:name w:val="footnote reference"/>
    <w:basedOn w:val="DefaultParagraphFont"/>
    <w:rsid w:val="00D37DAB"/>
    <w:rPr>
      <w:rFonts w:cs="Times New Roman"/>
      <w:vertAlign w:val="superscript"/>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37DAB"/>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D37DAB"/>
    <w:rPr>
      <w:rFonts w:ascii="Times New Roman" w:hAnsi="Times New Roman"/>
      <w:sz w:val="24"/>
      <w:u w:val="single"/>
    </w:rPr>
  </w:style>
  <w:style w:type="character" w:customStyle="1" w:styleId="Minimize">
    <w:name w:val="Minimize"/>
    <w:basedOn w:val="Maximize"/>
    <w:qFormat/>
    <w:rsid w:val="00D37DAB"/>
    <w:rPr>
      <w:rFonts w:ascii="Times New Roman" w:hAnsi="Times New Roman"/>
      <w:sz w:val="12"/>
      <w:u w:val="none"/>
    </w:rPr>
  </w:style>
  <w:style w:type="paragraph" w:customStyle="1" w:styleId="Standard">
    <w:name w:val="Standard"/>
    <w:rsid w:val="00D37DAB"/>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D37DAB"/>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D37DAB"/>
    <w:pPr>
      <w:numPr>
        <w:numId w:val="5"/>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37DAB"/>
    <w:rPr>
      <w:rFonts w:ascii="Times New Roman" w:eastAsia="Cambria" w:hAnsi="Times New Roman" w:cs="Times New Roman"/>
      <w:b/>
      <w:sz w:val="26"/>
      <w:szCs w:val="22"/>
      <w:lang w:eastAsia="ja-JP"/>
    </w:rPr>
  </w:style>
  <w:style w:type="character" w:customStyle="1" w:styleId="st">
    <w:name w:val="st"/>
    <w:basedOn w:val="DefaultParagraphFont"/>
    <w:rsid w:val="00D37DAB"/>
  </w:style>
  <w:style w:type="character" w:customStyle="1" w:styleId="A2">
    <w:name w:val="A2"/>
    <w:uiPriority w:val="99"/>
    <w:rsid w:val="00D37DAB"/>
    <w:rPr>
      <w:rFonts w:cs="Myriad Pro"/>
      <w:color w:val="000000"/>
      <w:sz w:val="22"/>
      <w:szCs w:val="22"/>
    </w:rPr>
  </w:style>
  <w:style w:type="character" w:customStyle="1" w:styleId="A3">
    <w:name w:val="A3"/>
    <w:uiPriority w:val="99"/>
    <w:rsid w:val="00D37DAB"/>
    <w:rPr>
      <w:rFonts w:cs="Myriad Pro"/>
      <w:color w:val="000000"/>
      <w:sz w:val="12"/>
      <w:szCs w:val="12"/>
    </w:rPr>
  </w:style>
  <w:style w:type="paragraph" w:customStyle="1" w:styleId="card">
    <w:name w:val="card"/>
    <w:basedOn w:val="Normal"/>
    <w:next w:val="Normal"/>
    <w:link w:val="cardChar"/>
    <w:rsid w:val="00D37DAB"/>
    <w:pPr>
      <w:ind w:left="288" w:right="288"/>
    </w:pPr>
    <w:rPr>
      <w:rFonts w:ascii="Times New Roman" w:eastAsia="Calibri" w:hAnsi="Times New Roman" w:cs="Times New Roman"/>
      <w:szCs w:val="22"/>
    </w:rPr>
  </w:style>
  <w:style w:type="character" w:customStyle="1" w:styleId="cardChar">
    <w:name w:val="card Char"/>
    <w:basedOn w:val="DefaultParagraphFont"/>
    <w:link w:val="card"/>
    <w:rsid w:val="00D37DAB"/>
    <w:rPr>
      <w:rFonts w:ascii="Times New Roman" w:eastAsia="Calibri" w:hAnsi="Times New Roman" w:cs="Times New Roman"/>
      <w:sz w:val="22"/>
      <w:szCs w:val="22"/>
    </w:rPr>
  </w:style>
  <w:style w:type="character" w:customStyle="1" w:styleId="underline">
    <w:name w:val="underline"/>
    <w:basedOn w:val="DefaultParagraphFont"/>
    <w:qFormat/>
    <w:rsid w:val="00D37DAB"/>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D37DAB"/>
    <w:rPr>
      <w:rFonts w:ascii="Times New Roman" w:hAnsi="Times New Roman"/>
      <w:b/>
      <w:sz w:val="24"/>
    </w:rPr>
  </w:style>
  <w:style w:type="paragraph" w:styleId="FootnoteText">
    <w:name w:val="footnote text"/>
    <w:basedOn w:val="Normal"/>
    <w:link w:val="FootnoteTextChar"/>
    <w:uiPriority w:val="99"/>
    <w:qFormat/>
    <w:rsid w:val="00D37DAB"/>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D37DAB"/>
    <w:rPr>
      <w:rFonts w:ascii="Times New Roman" w:eastAsiaTheme="minorHAnsi" w:hAnsi="Times New Roman"/>
      <w:sz w:val="20"/>
      <w:szCs w:val="20"/>
    </w:rPr>
  </w:style>
  <w:style w:type="character" w:styleId="FootnoteReference">
    <w:name w:val="footnote reference"/>
    <w:basedOn w:val="DefaultParagraphFont"/>
    <w:rsid w:val="00D37DAB"/>
    <w:rPr>
      <w:rFonts w:cs="Times New Roman"/>
      <w:vertAlign w:val="superscript"/>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37DAB"/>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D37DAB"/>
    <w:rPr>
      <w:rFonts w:ascii="Times New Roman" w:hAnsi="Times New Roman"/>
      <w:sz w:val="24"/>
      <w:u w:val="single"/>
    </w:rPr>
  </w:style>
  <w:style w:type="character" w:customStyle="1" w:styleId="Minimize">
    <w:name w:val="Minimize"/>
    <w:basedOn w:val="Maximize"/>
    <w:qFormat/>
    <w:rsid w:val="00D37DAB"/>
    <w:rPr>
      <w:rFonts w:ascii="Times New Roman" w:hAnsi="Times New Roman"/>
      <w:sz w:val="12"/>
      <w:u w:val="none"/>
    </w:rPr>
  </w:style>
  <w:style w:type="paragraph" w:customStyle="1" w:styleId="Standard">
    <w:name w:val="Standard"/>
    <w:rsid w:val="00D37DAB"/>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D37DA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xistential-risk.org/concept.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placid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7</Pages>
  <Words>1279</Words>
  <Characters>7293</Characters>
  <Application>Microsoft Macintosh Word</Application>
  <DocSecurity>0</DocSecurity>
  <Lines>60</Lines>
  <Paragraphs>17</Paragraphs>
  <ScaleCrop>false</ScaleCrop>
  <Company>Whitman College</Company>
  <LinksUpToDate>false</LinksUpToDate>
  <CharactersWithSpaces>8555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Placido</dc:creator>
  <cp:keywords/>
  <dc:description/>
  <cp:lastModifiedBy>Tom Placido</cp:lastModifiedBy>
  <cp:revision>1</cp:revision>
  <dcterms:created xsi:type="dcterms:W3CDTF">2014-02-08T19:58:00Z</dcterms:created>
  <dcterms:modified xsi:type="dcterms:W3CDTF">2014-02-08T20:07:00Z</dcterms:modified>
</cp:coreProperties>
</file>