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965B19" w:rsidP="00965B19">
      <w:pPr>
        <w:pStyle w:val="Heading1"/>
      </w:pPr>
      <w:r>
        <w:t>1AC R1</w:t>
      </w:r>
    </w:p>
    <w:p w:rsidR="00965B19" w:rsidRDefault="00965B19" w:rsidP="00965B19"/>
    <w:p w:rsidR="00965B19" w:rsidRDefault="00965B19" w:rsidP="00965B19">
      <w:pPr>
        <w:pStyle w:val="Heading2"/>
      </w:pPr>
      <w:r>
        <w:lastRenderedPageBreak/>
        <w:t>Part 1 Framework</w:t>
      </w:r>
    </w:p>
    <w:p w:rsidR="00965B19" w:rsidRDefault="00965B19" w:rsidP="00965B19">
      <w:pPr>
        <w:pStyle w:val="Heading4"/>
      </w:pPr>
      <w:r>
        <w:t xml:space="preserve">I value </w:t>
      </w:r>
      <w:proofErr w:type="gramStart"/>
      <w:r>
        <w:t>morality,</w:t>
      </w:r>
      <w:proofErr w:type="gramEnd"/>
      <w:r>
        <w:t xml:space="preserve"> the standard is maximizing expected well-being.</w:t>
      </w:r>
    </w:p>
    <w:p w:rsidR="00965B19" w:rsidRPr="00170F91" w:rsidRDefault="00965B19" w:rsidP="00965B19">
      <w:pPr>
        <w:pStyle w:val="Heading4"/>
      </w:pPr>
      <w:r>
        <w:t>1. T</w:t>
      </w:r>
      <w:r w:rsidRPr="00170F91">
        <w:t xml:space="preserve">he resolution is a question between two policies, so we should use the moral theory that is best for policymaking, which is </w:t>
      </w:r>
      <w:r w:rsidRPr="00965B19">
        <w:t xml:space="preserve">util. </w:t>
      </w:r>
      <w:proofErr w:type="spellStart"/>
      <w:r w:rsidRPr="00965B19">
        <w:t>Woller</w:t>
      </w:r>
      <w:proofErr w:type="spellEnd"/>
    </w:p>
    <w:p w:rsidR="00965B19" w:rsidRDefault="00965B19" w:rsidP="00965B19">
      <w:r w:rsidRPr="00965B19">
        <w:t>Gary, Economics Professor at BYU, “Policy Currents,” June, http://apsapolicysection.org/vol7_2/</w:t>
      </w:r>
      <w:proofErr w:type="gramStart"/>
      <w:r w:rsidRPr="00965B19">
        <w:t>72.pdf )</w:t>
      </w:r>
      <w:proofErr w:type="gramEnd"/>
      <w:r w:rsidRPr="00965B19">
        <w:t xml:space="preserve"> Showers</w:t>
      </w:r>
    </w:p>
    <w:p w:rsidR="00965B19" w:rsidRPr="00965B19" w:rsidRDefault="00965B19" w:rsidP="00965B19"/>
    <w:p w:rsidR="00965B19" w:rsidRPr="00965B19" w:rsidRDefault="00965B19" w:rsidP="00965B19">
      <w:r w:rsidRPr="00965B19">
        <w:t xml:space="preserve">Moreover, virtually all public policies entail some redistribution of economic or political resources, </w:t>
      </w:r>
    </w:p>
    <w:p w:rsidR="00965B19" w:rsidRPr="00965B19" w:rsidRDefault="00965B19" w:rsidP="00965B19">
      <w:r w:rsidRPr="00965B19">
        <w:t>AND</w:t>
      </w:r>
    </w:p>
    <w:p w:rsidR="00965B19" w:rsidRPr="00965B19" w:rsidRDefault="00965B19" w:rsidP="00965B19">
      <w:proofErr w:type="gramStart"/>
      <w:r w:rsidRPr="00965B19">
        <w:t>offs</w:t>
      </w:r>
      <w:proofErr w:type="gramEnd"/>
      <w:r w:rsidRPr="00965B19">
        <w:t xml:space="preserve"> implied by their polices are somehow to the overall  advantage of society. </w:t>
      </w:r>
    </w:p>
    <w:p w:rsidR="00965B19" w:rsidRPr="00965B19" w:rsidRDefault="00965B19" w:rsidP="00965B19"/>
    <w:p w:rsidR="00965B19" w:rsidRDefault="00965B19" w:rsidP="00965B19">
      <w:pPr>
        <w:pStyle w:val="Heading4"/>
      </w:pPr>
      <w:r>
        <w:t xml:space="preserve">2. </w:t>
      </w:r>
      <w:r w:rsidRPr="008A6993">
        <w:t>Equality. Morality must treat everyone equally to avoid arbitrariness, Singer</w:t>
      </w:r>
    </w:p>
    <w:p w:rsidR="00965B19" w:rsidRDefault="00965B19" w:rsidP="00965B19">
      <w:pPr>
        <w:rPr>
          <w:sz w:val="16"/>
          <w:szCs w:val="16"/>
        </w:rPr>
      </w:pPr>
      <w:r w:rsidRPr="008A6993">
        <w:rPr>
          <w:sz w:val="16"/>
          <w:szCs w:val="16"/>
        </w:rPr>
        <w:t>Singer, Peter. “Practical Ethics.”  1983.  Page 22.</w:t>
      </w:r>
    </w:p>
    <w:p w:rsidR="00965B19" w:rsidRPr="008A6993" w:rsidRDefault="00965B19" w:rsidP="00965B19">
      <w:pPr>
        <w:rPr>
          <w:sz w:val="16"/>
          <w:szCs w:val="16"/>
        </w:rPr>
      </w:pPr>
    </w:p>
    <w:p w:rsidR="00965B19" w:rsidRPr="00965B19" w:rsidRDefault="00965B19" w:rsidP="00965B19">
      <w:r w:rsidRPr="00965B19">
        <w:t>From this point of view, race is irrelevant to the consideration of interests</w:t>
      </w:r>
      <w:proofErr w:type="gramStart"/>
      <w:r w:rsidRPr="00965B19">
        <w:t>;</w:t>
      </w:r>
      <w:proofErr w:type="gramEnd"/>
      <w:r w:rsidRPr="00965B19">
        <w:t xml:space="preserve"> </w:t>
      </w:r>
    </w:p>
    <w:p w:rsidR="00965B19" w:rsidRPr="00965B19" w:rsidRDefault="00965B19" w:rsidP="00965B19">
      <w:r w:rsidRPr="00965B19">
        <w:t>AND</w:t>
      </w:r>
    </w:p>
    <w:p w:rsidR="00965B19" w:rsidRPr="00965B19" w:rsidRDefault="00965B19" w:rsidP="00965B19">
      <w:proofErr w:type="gramStart"/>
      <w:r w:rsidRPr="00965B19">
        <w:t>sufferings</w:t>
      </w:r>
      <w:proofErr w:type="gramEnd"/>
      <w:r w:rsidRPr="00965B19">
        <w:t xml:space="preserve"> of Jews, Gypsies and Slavs were of no concern to them.</w:t>
      </w:r>
    </w:p>
    <w:p w:rsidR="00965B19" w:rsidRDefault="00965B19" w:rsidP="00965B19">
      <w:pPr>
        <w:rPr>
          <w:rFonts w:cs="Times New Roman"/>
          <w:color w:val="000000"/>
        </w:rPr>
      </w:pPr>
    </w:p>
    <w:p w:rsidR="00965B19" w:rsidRPr="00B42454" w:rsidRDefault="00965B19" w:rsidP="00965B19">
      <w:pPr>
        <w:rPr>
          <w:rFonts w:cs="Times New Roman"/>
          <w:color w:val="000000"/>
        </w:rPr>
      </w:pPr>
      <w:r w:rsidRPr="00B42454">
        <w:rPr>
          <w:rFonts w:cs="Times New Roman"/>
          <w:color w:val="000000"/>
        </w:rPr>
        <w:t xml:space="preserve">And, </w:t>
      </w:r>
      <w:r>
        <w:rPr>
          <w:rFonts w:cs="Times New Roman"/>
          <w:color w:val="000000"/>
        </w:rPr>
        <w:t>equality</w:t>
      </w:r>
      <w:r w:rsidRPr="00B42454">
        <w:rPr>
          <w:rFonts w:cs="Times New Roman"/>
          <w:color w:val="000000"/>
        </w:rPr>
        <w:t xml:space="preserve"> strongly implies util.</w:t>
      </w:r>
    </w:p>
    <w:p w:rsidR="00965B19" w:rsidRPr="00B42454" w:rsidRDefault="00965B19" w:rsidP="00965B19">
      <w:pPr>
        <w:pStyle w:val="ListParagraph"/>
        <w:numPr>
          <w:ilvl w:val="0"/>
          <w:numId w:val="6"/>
        </w:numPr>
        <w:spacing w:line="276" w:lineRule="auto"/>
        <w:rPr>
          <w:rFonts w:ascii="Times New Roman" w:hAnsi="Times New Roman" w:cs="Times New Roman"/>
          <w:color w:val="000000"/>
        </w:rPr>
      </w:pPr>
      <w:r>
        <w:rPr>
          <w:rFonts w:ascii="Times New Roman" w:hAnsi="Times New Roman" w:cs="Times New Roman"/>
          <w:color w:val="000000"/>
        </w:rPr>
        <w:t>E</w:t>
      </w:r>
      <w:r w:rsidRPr="00B42454">
        <w:rPr>
          <w:rFonts w:ascii="Times New Roman" w:hAnsi="Times New Roman" w:cs="Times New Roman"/>
          <w:color w:val="000000"/>
        </w:rPr>
        <w:t xml:space="preserve">very life has the same value under </w:t>
      </w:r>
      <w:proofErr w:type="spellStart"/>
      <w:r w:rsidRPr="00B42454">
        <w:rPr>
          <w:rFonts w:ascii="Times New Roman" w:hAnsi="Times New Roman" w:cs="Times New Roman"/>
          <w:color w:val="000000"/>
        </w:rPr>
        <w:t>util</w:t>
      </w:r>
      <w:proofErr w:type="spellEnd"/>
      <w:r w:rsidRPr="00B42454">
        <w:rPr>
          <w:rFonts w:ascii="Times New Roman" w:hAnsi="Times New Roman" w:cs="Times New Roman"/>
          <w:color w:val="000000"/>
        </w:rPr>
        <w:t xml:space="preserve"> -- one isn't more important than five.</w:t>
      </w:r>
    </w:p>
    <w:p w:rsidR="00965B19" w:rsidRDefault="00965B19" w:rsidP="00965B19">
      <w:pPr>
        <w:pStyle w:val="ListParagraph"/>
        <w:numPr>
          <w:ilvl w:val="0"/>
          <w:numId w:val="6"/>
        </w:numPr>
        <w:spacing w:line="276" w:lineRule="auto"/>
        <w:rPr>
          <w:rFonts w:ascii="Times New Roman" w:hAnsi="Times New Roman" w:cs="Times New Roman"/>
          <w:color w:val="000000"/>
        </w:rPr>
      </w:pPr>
      <w:r>
        <w:rPr>
          <w:rFonts w:ascii="Times New Roman" w:hAnsi="Times New Roman" w:cs="Times New Roman"/>
          <w:color w:val="000000"/>
        </w:rPr>
        <w:t>A</w:t>
      </w:r>
      <w:r w:rsidRPr="00B42454">
        <w:rPr>
          <w:rFonts w:ascii="Times New Roman" w:hAnsi="Times New Roman" w:cs="Times New Roman"/>
          <w:color w:val="000000"/>
        </w:rPr>
        <w:t xml:space="preserve">nyone would want the right to life, and would want that right to be maximized when in conflict since there's a greater probability that </w:t>
      </w:r>
      <w:proofErr w:type="gramStart"/>
      <w:r w:rsidRPr="00B42454">
        <w:rPr>
          <w:rFonts w:ascii="Times New Roman" w:hAnsi="Times New Roman" w:cs="Times New Roman"/>
          <w:color w:val="000000"/>
        </w:rPr>
        <w:t>the s/he</w:t>
      </w:r>
      <w:proofErr w:type="gramEnd"/>
      <w:r w:rsidRPr="00B42454">
        <w:rPr>
          <w:rFonts w:ascii="Times New Roman" w:hAnsi="Times New Roman" w:cs="Times New Roman"/>
          <w:color w:val="000000"/>
        </w:rPr>
        <w:t xml:space="preserve"> is saved.</w:t>
      </w:r>
    </w:p>
    <w:p w:rsidR="00965B19" w:rsidRDefault="00965B19" w:rsidP="00965B19"/>
    <w:p w:rsidR="00965B19" w:rsidRDefault="00965B19" w:rsidP="00965B19">
      <w:pPr>
        <w:pStyle w:val="Heading4"/>
      </w:pPr>
      <w:r>
        <w:t xml:space="preserve">3. </w:t>
      </w:r>
      <w:r w:rsidRPr="008A6993">
        <w:t>Pain. The overriding motivating factor in human behavior is pain, Nagel:</w:t>
      </w:r>
    </w:p>
    <w:p w:rsidR="00965B19" w:rsidRPr="00965B19" w:rsidRDefault="00965B19" w:rsidP="00965B19">
      <w:r w:rsidRPr="00965B19">
        <w:t>Thomas Nagel, The View From Nowhere, HUP, 1986: 156-168.</w:t>
      </w:r>
    </w:p>
    <w:p w:rsidR="00965B19" w:rsidRPr="008A6993" w:rsidRDefault="00965B19" w:rsidP="00965B19"/>
    <w:p w:rsidR="00965B19" w:rsidRPr="00965B19" w:rsidRDefault="00965B19" w:rsidP="00965B19">
      <w:r w:rsidRPr="00965B19">
        <w:t xml:space="preserve">I shall defend the unsurprising claim that sensory pleasure is good and pain bad, </w:t>
      </w:r>
    </w:p>
    <w:p w:rsidR="00965B19" w:rsidRPr="00965B19" w:rsidRDefault="00965B19" w:rsidP="00965B19">
      <w:r w:rsidRPr="00965B19">
        <w:t>AND</w:t>
      </w:r>
    </w:p>
    <w:p w:rsidR="00965B19" w:rsidRPr="00965B19" w:rsidRDefault="00965B19" w:rsidP="00965B19">
      <w:proofErr w:type="gramStart"/>
      <w:r w:rsidRPr="00965B19">
        <w:t>such</w:t>
      </w:r>
      <w:proofErr w:type="gramEnd"/>
      <w:r w:rsidRPr="00965B19">
        <w:t xml:space="preserve"> cases. There can be no reason to reject the appearances here.</w:t>
      </w:r>
    </w:p>
    <w:p w:rsidR="00965B19" w:rsidRPr="008A6993" w:rsidRDefault="00965B19" w:rsidP="00965B19">
      <w:pPr>
        <w:pStyle w:val="Heading4"/>
        <w:rPr>
          <w:rFonts w:eastAsia="Cambria"/>
          <w:szCs w:val="26"/>
        </w:rPr>
      </w:pPr>
      <w:r>
        <w:t>4</w:t>
      </w:r>
      <w:r w:rsidRPr="008A6993">
        <w:t xml:space="preserve">. In case of moral uncertainty, i.e. defense on either framework, prevent extinction to preserve our ability to recognize value, </w:t>
      </w:r>
      <w:proofErr w:type="spellStart"/>
      <w:r w:rsidRPr="008A6993">
        <w:t>Bostrom</w:t>
      </w:r>
      <w:proofErr w:type="spellEnd"/>
    </w:p>
    <w:p w:rsidR="00965B19" w:rsidRPr="00965B19" w:rsidRDefault="00965B19" w:rsidP="00965B19">
      <w:proofErr w:type="spellStart"/>
      <w:r w:rsidRPr="00965B19">
        <w:t>Bostrum</w:t>
      </w:r>
      <w:proofErr w:type="spellEnd"/>
      <w:r w:rsidRPr="00965B19">
        <w:t xml:space="preserve">, Nick. </w:t>
      </w:r>
      <w:proofErr w:type="gramStart"/>
      <w:r w:rsidRPr="00965B19">
        <w:t>University of Oxford Professor.</w:t>
      </w:r>
      <w:proofErr w:type="gramEnd"/>
      <w:r w:rsidRPr="00965B19">
        <w:t xml:space="preserve"> </w:t>
      </w:r>
      <w:proofErr w:type="gramStart"/>
      <w:r w:rsidRPr="00965B19">
        <w:t xml:space="preserve">2011. </w:t>
      </w:r>
      <w:hyperlink r:id="rId8" w:history="1">
        <w:proofErr w:type="gramEnd"/>
        <w:r w:rsidRPr="00965B19">
          <w:t>http://www.existential-risk.org/concept.html</w:t>
        </w:r>
        <w:proofErr w:type="gramStart"/>
      </w:hyperlink>
      <w:proofErr w:type="gramEnd"/>
    </w:p>
    <w:p w:rsidR="00965B19" w:rsidRPr="00965B19" w:rsidRDefault="00965B19" w:rsidP="00965B19">
      <w:pPr>
        <w:pStyle w:val="FootnoteText"/>
        <w:rPr>
          <w:b/>
          <w:sz w:val="16"/>
          <w:szCs w:val="16"/>
        </w:rPr>
      </w:pPr>
    </w:p>
    <w:p w:rsidR="00965B19" w:rsidRPr="00965B19" w:rsidRDefault="00965B19" w:rsidP="00965B19">
      <w:r w:rsidRPr="00965B19">
        <w:t xml:space="preserve">“These reflections on moral uncertainty suggest an alternative, complementary way </w:t>
      </w:r>
    </w:p>
    <w:p w:rsidR="00965B19" w:rsidRPr="00965B19" w:rsidRDefault="00965B19" w:rsidP="00965B19">
      <w:r w:rsidRPr="00965B19">
        <w:t>AND</w:t>
      </w:r>
    </w:p>
    <w:p w:rsidR="00965B19" w:rsidRPr="00965B19" w:rsidRDefault="00965B19" w:rsidP="00965B19">
      <w:proofErr w:type="gramStart"/>
      <w:r w:rsidRPr="00965B19">
        <w:t>to</w:t>
      </w:r>
      <w:proofErr w:type="gramEnd"/>
      <w:r w:rsidRPr="00965B19">
        <w:t xml:space="preserve"> increase the probability that the future will contain a lot of value.” </w:t>
      </w:r>
    </w:p>
    <w:p w:rsidR="00965B19" w:rsidRPr="00AB698B" w:rsidRDefault="00965B19" w:rsidP="00965B19">
      <w:pPr>
        <w:rPr>
          <w:i/>
        </w:rPr>
      </w:pPr>
    </w:p>
    <w:p w:rsidR="00965B19" w:rsidRDefault="00965B19" w:rsidP="00965B19">
      <w:pPr>
        <w:pStyle w:val="Heading2"/>
      </w:pPr>
      <w:r>
        <w:t>Part 2 Plan Text</w:t>
      </w:r>
    </w:p>
    <w:p w:rsidR="00965B19" w:rsidRPr="00523183" w:rsidRDefault="00965B19" w:rsidP="00965B19"/>
    <w:p w:rsidR="00965B19" w:rsidRDefault="00965B19" w:rsidP="00965B19">
      <w:pPr>
        <w:pStyle w:val="Heading4"/>
      </w:pPr>
      <w:r w:rsidRPr="00523183">
        <w:t>The People’s Republic of China will impose a tax of $150</w:t>
      </w:r>
      <w:r>
        <w:t xml:space="preserve"> per ton of CO2 released in</w:t>
      </w:r>
      <w:r w:rsidRPr="00523183">
        <w:t xml:space="preserve"> the process of importing goods to China</w:t>
      </w:r>
      <w:r>
        <w:t>,</w:t>
      </w:r>
      <w:r w:rsidRPr="00523183">
        <w:t xml:space="preserve"> the process of production of goods</w:t>
      </w:r>
      <w:r>
        <w:t>, and the extraction of resources</w:t>
      </w:r>
      <w:r w:rsidRPr="00523183">
        <w:t>.  I reserve the right to clarify</w:t>
      </w:r>
      <w:r>
        <w:t>.</w:t>
      </w:r>
    </w:p>
    <w:p w:rsidR="00965B19" w:rsidRDefault="00965B19" w:rsidP="00965B19"/>
    <w:p w:rsidR="00965B19" w:rsidRDefault="00965B19" w:rsidP="00965B19">
      <w:pPr>
        <w:pStyle w:val="Heading2"/>
      </w:pPr>
      <w:r>
        <w:t>Part 3 is Global Warming</w:t>
      </w:r>
    </w:p>
    <w:p w:rsidR="00965B19" w:rsidRDefault="00965B19" w:rsidP="00965B19">
      <w:pPr>
        <w:pStyle w:val="Heading4"/>
      </w:pPr>
      <w:r>
        <w:t>There are 3 internal links from the plan to solving global warming</w:t>
      </w:r>
    </w:p>
    <w:p w:rsidR="00965B19" w:rsidRDefault="00965B19" w:rsidP="00965B19">
      <w:pPr>
        <w:pStyle w:val="Heading4"/>
      </w:pPr>
      <w:bookmarkStart w:id="0" w:name="_Toc228809249"/>
      <w:r>
        <w:t>1. Imposing this specific tax will drastically reduce carbon emissions and prevent a 4C rise in global temperature, and China affects other countries.  Morris et al 12</w:t>
      </w:r>
    </w:p>
    <w:p w:rsidR="00965B19" w:rsidRPr="00965B19" w:rsidRDefault="00965B19" w:rsidP="00965B19">
      <w:r w:rsidRPr="00965B19">
        <w:t xml:space="preserve">Sergey </w:t>
      </w:r>
      <w:proofErr w:type="spellStart"/>
      <w:r w:rsidRPr="00965B19">
        <w:t>Paltsev</w:t>
      </w:r>
      <w:proofErr w:type="spellEnd"/>
      <w:r w:rsidRPr="00965B19">
        <w:t xml:space="preserve">, Jennifer Morris, </w:t>
      </w:r>
      <w:proofErr w:type="spellStart"/>
      <w:r w:rsidRPr="00965B19">
        <w:t>Yongxia</w:t>
      </w:r>
      <w:proofErr w:type="spellEnd"/>
      <w:r w:rsidRPr="00965B19">
        <w:t xml:space="preserve"> </w:t>
      </w:r>
      <w:proofErr w:type="spellStart"/>
      <w:proofErr w:type="gramStart"/>
      <w:r w:rsidRPr="00965B19">
        <w:t>Cai</w:t>
      </w:r>
      <w:proofErr w:type="spellEnd"/>
      <w:proofErr w:type="gramEnd"/>
      <w:r w:rsidRPr="00965B19">
        <w:t xml:space="preserve">, Valerie </w:t>
      </w:r>
      <w:proofErr w:type="spellStart"/>
      <w:r w:rsidRPr="00965B19">
        <w:t>Karplus</w:t>
      </w:r>
      <w:proofErr w:type="spellEnd"/>
      <w:r w:rsidRPr="00965B19">
        <w:t xml:space="preserve"> and Henry Jacoby. “The Role of China in Mitigating Climate Change.” April 2012.</w:t>
      </w:r>
    </w:p>
    <w:p w:rsidR="00965B19" w:rsidRPr="004B509C" w:rsidRDefault="00965B19" w:rsidP="00965B19">
      <w:pPr>
        <w:rPr>
          <w:rStyle w:val="StyleStyleBold12pt"/>
          <w:sz w:val="16"/>
          <w:szCs w:val="16"/>
        </w:rPr>
      </w:pPr>
    </w:p>
    <w:p w:rsidR="00965B19" w:rsidRPr="00965B19" w:rsidRDefault="00965B19" w:rsidP="00965B19">
      <w:r w:rsidRPr="00965B19">
        <w:t>Figure 8a shows that if only China is engaged in</w:t>
      </w:r>
    </w:p>
    <w:p w:rsidR="00965B19" w:rsidRPr="00965B19" w:rsidRDefault="00965B19" w:rsidP="00965B19">
      <w:r w:rsidRPr="00965B19">
        <w:t>AND</w:t>
      </w:r>
    </w:p>
    <w:p w:rsidR="00965B19" w:rsidRPr="00965B19" w:rsidRDefault="00965B19" w:rsidP="00965B19">
      <w:proofErr w:type="gramStart"/>
      <w:r w:rsidRPr="00965B19">
        <w:t>regions</w:t>
      </w:r>
      <w:proofErr w:type="gramEnd"/>
      <w:r w:rsidRPr="00965B19">
        <w:t xml:space="preserve"> will appreciably reduce the probability of more extreme levels of temperature increase.</w:t>
      </w:r>
    </w:p>
    <w:p w:rsidR="00965B19" w:rsidRDefault="00965B19" w:rsidP="00965B19"/>
    <w:p w:rsidR="00965B19" w:rsidRDefault="00965B19" w:rsidP="00965B19">
      <w:pPr>
        <w:pStyle w:val="Heading4"/>
      </w:pPr>
      <w:r>
        <w:t>2. Carbon taxes spur green tech development.  Jaffe et al 02</w:t>
      </w:r>
    </w:p>
    <w:p w:rsidR="00965B19" w:rsidRPr="00965B19" w:rsidRDefault="00965B19" w:rsidP="00965B19">
      <w:r w:rsidRPr="00965B19">
        <w:t xml:space="preserve">Adam B. Jaffe, Richard G. Newell and Robert N. </w:t>
      </w:r>
      <w:proofErr w:type="spellStart"/>
      <w:r w:rsidRPr="00965B19">
        <w:t>Stavins</w:t>
      </w:r>
      <w:proofErr w:type="spellEnd"/>
      <w:r w:rsidRPr="00965B19">
        <w:t>.  “Environmental Policy and</w:t>
      </w:r>
    </w:p>
    <w:p w:rsidR="00965B19" w:rsidRPr="00965B19" w:rsidRDefault="00965B19" w:rsidP="00965B19">
      <w:r w:rsidRPr="00965B19">
        <w:t>Technological Change.” April 2002.  http://www.feem.it/userfiles/attach/Publication/NDL2002/NDL2002-026.pdf</w:t>
      </w:r>
    </w:p>
    <w:p w:rsidR="00965B19" w:rsidRPr="00965B19" w:rsidRDefault="00965B19" w:rsidP="00965B19"/>
    <w:p w:rsidR="00965B19" w:rsidRPr="00965B19" w:rsidRDefault="00965B19" w:rsidP="00965B19">
      <w:r w:rsidRPr="00965B19">
        <w:t xml:space="preserve">For purposes of examining the link between environmental policy instruments and technological change, policies </w:t>
      </w:r>
    </w:p>
    <w:p w:rsidR="00965B19" w:rsidRPr="00965B19" w:rsidRDefault="00965B19" w:rsidP="00965B19">
      <w:r w:rsidRPr="00965B19">
        <w:t>AND</w:t>
      </w:r>
    </w:p>
    <w:p w:rsidR="00965B19" w:rsidRPr="00965B19" w:rsidRDefault="00965B19" w:rsidP="00965B19">
      <w:proofErr w:type="gramStart"/>
      <w:r w:rsidRPr="00965B19">
        <w:t>cost</w:t>
      </w:r>
      <w:proofErr w:type="gramEnd"/>
      <w:r w:rsidRPr="00965B19">
        <w:t xml:space="preserve"> technology or process for doing so can be identified and adopted.8</w:t>
      </w:r>
    </w:p>
    <w:p w:rsidR="00965B19" w:rsidRDefault="00965B19" w:rsidP="00965B19"/>
    <w:p w:rsidR="00965B19" w:rsidRDefault="00965B19" w:rsidP="00965B19">
      <w:r>
        <w:t>And, Chinese tech development means increased exports at a cheaper price, so more countries will get the new tech.</w:t>
      </w:r>
    </w:p>
    <w:p w:rsidR="00965B19" w:rsidRDefault="00965B19" w:rsidP="00965B19"/>
    <w:p w:rsidR="00965B19" w:rsidRPr="00965B19" w:rsidRDefault="00965B19" w:rsidP="00965B19">
      <w:pPr>
        <w:pStyle w:val="Heading4"/>
      </w:pPr>
      <w:r w:rsidRPr="00965B19">
        <w:t>Green tech is key to solving warming.  Perkins et al 02</w:t>
      </w:r>
    </w:p>
    <w:p w:rsidR="00965B19" w:rsidRPr="00965B19" w:rsidRDefault="00965B19" w:rsidP="00965B19">
      <w:r w:rsidRPr="00965B19">
        <w:t>Martin I. Hoffert</w:t>
      </w:r>
      <w:proofErr w:type="gramStart"/>
      <w:r w:rsidRPr="00965B19">
        <w:t>,1</w:t>
      </w:r>
      <w:proofErr w:type="gramEnd"/>
      <w:r w:rsidRPr="00965B19">
        <w:t xml:space="preserve"> * Ken Caldeira,3 Gregory Benford,4 David R. Criswell,5 Christopher Green,6 Howard Herzog,7 </w:t>
      </w:r>
      <w:proofErr w:type="spellStart"/>
      <w:r w:rsidRPr="00965B19">
        <w:t>Atul</w:t>
      </w:r>
      <w:proofErr w:type="spellEnd"/>
      <w:r w:rsidRPr="00965B19">
        <w:t xml:space="preserve"> K. Jain,8 </w:t>
      </w:r>
      <w:proofErr w:type="spellStart"/>
      <w:r w:rsidRPr="00965B19">
        <w:t>Haroon</w:t>
      </w:r>
      <w:proofErr w:type="spellEnd"/>
      <w:r w:rsidRPr="00965B19">
        <w:t xml:space="preserve"> S. Kheshgi,9 Klaus S. Lackner,10 John S. Lewis,12 H. Douglas Lightfoot,13 Wallace Manheimer,14 John C. Mankins,15 Michael E. Mauel,11 L. John Perkins,3 Michael E. Schlesinger,8 Tyler Volk,2 Tom M. L. Wigley16.  “Advanced Technology Paths to Global Climate Stability: Energy for a Greenhouse Planet.”  1 November 2002.</w:t>
      </w:r>
    </w:p>
    <w:p w:rsidR="00965B19" w:rsidRPr="00965B19" w:rsidRDefault="00965B19" w:rsidP="00965B19"/>
    <w:p w:rsidR="00965B19" w:rsidRPr="00965B19" w:rsidRDefault="00965B19" w:rsidP="00965B19">
      <w:r w:rsidRPr="00965B19">
        <w:t xml:space="preserve">Arguably, the most effective way to re- duce CO2 emissions with economic growth </w:t>
      </w:r>
    </w:p>
    <w:p w:rsidR="00965B19" w:rsidRPr="00965B19" w:rsidRDefault="00965B19" w:rsidP="00965B19">
      <w:r w:rsidRPr="00965B19">
        <w:t>AND</w:t>
      </w:r>
    </w:p>
    <w:p w:rsidR="00965B19" w:rsidRPr="00965B19" w:rsidRDefault="00965B19" w:rsidP="00965B19">
      <w:proofErr w:type="spellStart"/>
      <w:proofErr w:type="gramStart"/>
      <w:r w:rsidRPr="00965B19">
        <w:t>gies</w:t>
      </w:r>
      <w:proofErr w:type="spellEnd"/>
      <w:proofErr w:type="gramEnd"/>
      <w:r w:rsidRPr="00965B19">
        <w:t xml:space="preserve"> that will require drastic technological breakthroughs. . . .” (12)</w:t>
      </w:r>
    </w:p>
    <w:p w:rsidR="00965B19" w:rsidRDefault="00965B19" w:rsidP="00965B19"/>
    <w:p w:rsidR="00965B19" w:rsidRDefault="00965B19" w:rsidP="00965B19">
      <w:pPr>
        <w:pStyle w:val="Heading4"/>
      </w:pPr>
      <w:r>
        <w:t>3. Carbon tax can spur a shift to renewables—France is using the policy now.</w:t>
      </w:r>
    </w:p>
    <w:p w:rsidR="00965B19" w:rsidRDefault="00965B19" w:rsidP="00965B19">
      <w:proofErr w:type="spellStart"/>
      <w:r w:rsidRPr="003733EB">
        <w:rPr>
          <w:rStyle w:val="StyleStyleBold12pt"/>
        </w:rPr>
        <w:t>Vorrath</w:t>
      </w:r>
      <w:proofErr w:type="spellEnd"/>
      <w:r w:rsidRPr="003733EB">
        <w:rPr>
          <w:rStyle w:val="StyleStyleBold12pt"/>
        </w:rPr>
        <w:t xml:space="preserve"> 13,</w:t>
      </w:r>
      <w:r>
        <w:t xml:space="preserve"> (</w:t>
      </w:r>
      <w:r w:rsidRPr="003733EB">
        <w:t xml:space="preserve">Sophie </w:t>
      </w:r>
      <w:proofErr w:type="spellStart"/>
      <w:r w:rsidRPr="003733EB">
        <w:t>Vorrath</w:t>
      </w:r>
      <w:proofErr w:type="spellEnd"/>
      <w:r>
        <w:t xml:space="preserve">, </w:t>
      </w:r>
      <w:r w:rsidRPr="003733EB">
        <w:t>France to tax nuclear, fossil fuels to boost shift to renewables</w:t>
      </w:r>
      <w:r>
        <w:t xml:space="preserve">, </w:t>
      </w:r>
      <w:r w:rsidRPr="003733EB">
        <w:t>24 September 2013</w:t>
      </w:r>
      <w:r>
        <w:t xml:space="preserve">, </w:t>
      </w:r>
      <w:r w:rsidRPr="003733EB">
        <w:t>http://reneweconomy.com.au/2013/france-to-tax-nuclear-fossil-fuels-to-boost-shift-to-renewables-42651</w:t>
      </w:r>
      <w:r>
        <w:t>)</w:t>
      </w:r>
    </w:p>
    <w:p w:rsidR="00965B19" w:rsidRDefault="00965B19" w:rsidP="00965B19"/>
    <w:p w:rsidR="00965B19" w:rsidRPr="00965B19" w:rsidRDefault="00965B19" w:rsidP="00965B19">
      <w:r w:rsidRPr="00965B19">
        <w:t xml:space="preserve">France has unveiled plans to use a levy on nuclear energy, as well as </w:t>
      </w:r>
    </w:p>
    <w:p w:rsidR="00965B19" w:rsidRPr="00965B19" w:rsidRDefault="00965B19" w:rsidP="00965B19">
      <w:r w:rsidRPr="00965B19">
        <w:t>AND</w:t>
      </w:r>
    </w:p>
    <w:p w:rsidR="00965B19" w:rsidRPr="00965B19" w:rsidRDefault="00965B19" w:rsidP="00965B19">
      <w:proofErr w:type="gramStart"/>
      <w:r w:rsidRPr="00965B19">
        <w:t>spur</w:t>
      </w:r>
      <w:proofErr w:type="gramEnd"/>
      <w:r w:rsidRPr="00965B19">
        <w:t xml:space="preserve"> efficiency in homes, as well as encourage the uptakes of EVs.</w:t>
      </w:r>
    </w:p>
    <w:p w:rsidR="00965B19" w:rsidRDefault="00965B19" w:rsidP="00965B19"/>
    <w:p w:rsidR="00965B19" w:rsidRDefault="00965B19" w:rsidP="00965B19">
      <w:pPr>
        <w:pStyle w:val="Heading4"/>
      </w:pPr>
      <w:r>
        <w:t>Only renewables can solve warming – no alternatives</w:t>
      </w:r>
    </w:p>
    <w:p w:rsidR="00965B19" w:rsidRDefault="00965B19" w:rsidP="00965B19">
      <w:proofErr w:type="spellStart"/>
      <w:r w:rsidRPr="00D84910">
        <w:rPr>
          <w:rStyle w:val="StyleStyleBold12pt"/>
        </w:rPr>
        <w:t>Fripp</w:t>
      </w:r>
      <w:proofErr w:type="spellEnd"/>
      <w:r>
        <w:rPr>
          <w:rStyle w:val="StyleStyleBold12pt"/>
        </w:rPr>
        <w:t xml:space="preserve"> </w:t>
      </w:r>
      <w:r w:rsidRPr="00D84910">
        <w:rPr>
          <w:rStyle w:val="StyleStyleBold12pt"/>
        </w:rPr>
        <w:t>11,</w:t>
      </w:r>
      <w:r>
        <w:t xml:space="preserve"> Research fellow, Environmental Change Institute and Exeter College, Oxford University, 11</w:t>
      </w:r>
      <w:r>
        <w:t xml:space="preserve">, </w:t>
      </w:r>
      <w:r>
        <w:t xml:space="preserve">(Matthias, Research fellow at the Environmental Change Institute and Exeter College, Oxford, PhD from Energy and Resource Program @ UC Berkeley, </w:t>
      </w:r>
    </w:p>
    <w:p w:rsidR="00965B19" w:rsidRDefault="00965B19" w:rsidP="00965B19">
      <w:r>
        <w:t>“Renewables”, 11-8-11, http://www.economist.com/debate/files/view/Renewbles_debate_arti</w:t>
      </w:r>
      <w:r>
        <w:t>fact0.pdf, accessed 7-31-12</w:t>
      </w:r>
      <w:r>
        <w:t>)</w:t>
      </w:r>
    </w:p>
    <w:p w:rsidR="00965B19" w:rsidRDefault="00965B19" w:rsidP="00965B19"/>
    <w:p w:rsidR="00965B19" w:rsidRPr="00965B19" w:rsidRDefault="00965B19" w:rsidP="00965B19">
      <w:r w:rsidRPr="00965B19">
        <w:t xml:space="preserve">We must reduce global greenhouse gas emissions by at least 80% by 2050 in </w:t>
      </w:r>
    </w:p>
    <w:p w:rsidR="00965B19" w:rsidRPr="00965B19" w:rsidRDefault="00965B19" w:rsidP="00965B19">
      <w:r w:rsidRPr="00965B19">
        <w:t>AND</w:t>
      </w:r>
    </w:p>
    <w:p w:rsidR="00965B19" w:rsidRPr="00965B19" w:rsidRDefault="00965B19" w:rsidP="00965B19">
      <w:r w:rsidRPr="00965B19">
        <w:t>—</w:t>
      </w:r>
      <w:proofErr w:type="gramStart"/>
      <w:r w:rsidRPr="00965B19">
        <w:t>a</w:t>
      </w:r>
      <w:proofErr w:type="gramEnd"/>
      <w:r w:rsidRPr="00965B19">
        <w:t xml:space="preserve"> target that will be reached by 2030 at current growth rates.</w:t>
      </w:r>
    </w:p>
    <w:p w:rsidR="00965B19" w:rsidRDefault="00965B19" w:rsidP="00965B19"/>
    <w:p w:rsidR="00965B19" w:rsidRPr="007F3A22" w:rsidRDefault="00965B19" w:rsidP="00965B19">
      <w:pPr>
        <w:pStyle w:val="Heading4"/>
      </w:pPr>
      <w:r w:rsidRPr="007F3A22">
        <w:t xml:space="preserve">Runaway warming is beginning now – </w:t>
      </w:r>
      <w:bookmarkEnd w:id="0"/>
      <w:r>
        <w:t xml:space="preserve">if we hit a 4 degrees Celsius rise, extinction is inevitable, and my solvency </w:t>
      </w:r>
      <w:proofErr w:type="spellStart"/>
      <w:proofErr w:type="gramStart"/>
      <w:r>
        <w:t>ev</w:t>
      </w:r>
      <w:proofErr w:type="spellEnd"/>
      <w:proofErr w:type="gramEnd"/>
      <w:r>
        <w:t xml:space="preserve"> says the plan is key to stopping this.</w:t>
      </w:r>
    </w:p>
    <w:p w:rsidR="00965B19" w:rsidRPr="00965B19" w:rsidRDefault="00965B19" w:rsidP="00965B19">
      <w:proofErr w:type="spellStart"/>
      <w:r w:rsidRPr="00416F85">
        <w:rPr>
          <w:rStyle w:val="StyleStyleBold12pt"/>
        </w:rPr>
        <w:t>Tickell</w:t>
      </w:r>
      <w:proofErr w:type="spellEnd"/>
      <w:r w:rsidRPr="00416F85">
        <w:rPr>
          <w:rStyle w:val="StyleStyleBold12pt"/>
        </w:rPr>
        <w:t xml:space="preserve"> 08,</w:t>
      </w:r>
      <w:r w:rsidRPr="00416F85">
        <w:t xml:space="preserve"> </w:t>
      </w:r>
      <w:r w:rsidRPr="00965B19">
        <w:t>(Oliver, The Guardian, “On a planet 4C hotter, all we can prepare for is extinction”, 8/11, http://www.guardian.co.uk/commentisfree/2008/aug/11/climatechange)</w:t>
      </w:r>
    </w:p>
    <w:p w:rsidR="00965B19" w:rsidRPr="00965B19" w:rsidRDefault="00965B19" w:rsidP="00965B19"/>
    <w:p w:rsidR="00965B19" w:rsidRPr="00965B19" w:rsidRDefault="00965B19" w:rsidP="00965B19">
      <w:r w:rsidRPr="00965B19">
        <w:t xml:space="preserve">We need to get prepared for four degrees of global warming, Bob Watson told </w:t>
      </w:r>
    </w:p>
    <w:p w:rsidR="00965B19" w:rsidRPr="00965B19" w:rsidRDefault="00965B19" w:rsidP="00965B19">
      <w:r w:rsidRPr="00965B19">
        <w:t>AND</w:t>
      </w:r>
    </w:p>
    <w:p w:rsidR="00965B19" w:rsidRPr="00965B19" w:rsidRDefault="00965B19" w:rsidP="00965B19">
      <w:proofErr w:type="gramStart"/>
      <w:r w:rsidRPr="00965B19">
        <w:t>warming</w:t>
      </w:r>
      <w:proofErr w:type="gramEnd"/>
      <w:r w:rsidRPr="00965B19">
        <w:t xml:space="preserve"> caused by human emissions could propel us towards a similar hothouse Earth.</w:t>
      </w:r>
    </w:p>
    <w:p w:rsidR="00965B19" w:rsidRPr="00965B19" w:rsidRDefault="00965B19" w:rsidP="00965B19"/>
    <w:p w:rsidR="00965B19" w:rsidRPr="005B05FD" w:rsidRDefault="00965B19" w:rsidP="00965B19">
      <w:pPr>
        <w:pStyle w:val="Heading4"/>
      </w:pPr>
      <w:r>
        <w:t>And, w</w:t>
      </w:r>
      <w:r w:rsidRPr="005B05FD">
        <w:t>arming is anthropogenic</w:t>
      </w:r>
      <w:r>
        <w:t xml:space="preserve"> and real</w:t>
      </w:r>
      <w:r w:rsidRPr="005B05FD">
        <w:t xml:space="preserve"> – most </w:t>
      </w:r>
      <w:r>
        <w:t>comprehensive</w:t>
      </w:r>
      <w:r w:rsidRPr="005B05FD">
        <w:t xml:space="preserve"> analysis to date proves</w:t>
      </w:r>
    </w:p>
    <w:p w:rsidR="00965B19" w:rsidRDefault="00965B19" w:rsidP="00965B19">
      <w:pPr>
        <w:rPr>
          <w:rFonts w:asciiTheme="majorHAnsi" w:hAnsiTheme="majorHAnsi"/>
        </w:rPr>
      </w:pPr>
      <w:r w:rsidRPr="005B05FD">
        <w:rPr>
          <w:rFonts w:asciiTheme="majorHAnsi" w:hAnsiTheme="majorHAnsi"/>
          <w:b/>
          <w:bCs/>
        </w:rPr>
        <w:t>Green 13</w:t>
      </w:r>
      <w:r w:rsidRPr="005B05FD">
        <w:rPr>
          <w:rFonts w:asciiTheme="majorHAnsi" w:hAnsiTheme="majorHAnsi"/>
        </w:rPr>
        <w:t> – Professor of Chemistry @ Michigan Tech,</w:t>
      </w:r>
      <w:r>
        <w:rPr>
          <w:rFonts w:asciiTheme="majorHAnsi" w:hAnsiTheme="majorHAnsi"/>
        </w:rPr>
        <w:t xml:space="preserve"> </w:t>
      </w:r>
      <w:r w:rsidRPr="005B05FD">
        <w:rPr>
          <w:rFonts w:asciiTheme="majorHAnsi" w:hAnsiTheme="majorHAnsi"/>
        </w:rPr>
        <w:t xml:space="preserve">*John Cook – Fellow @ Global Change Institute, produced climate communication resources adopted by </w:t>
      </w:r>
      <w:proofErr w:type="spellStart"/>
      <w:r w:rsidRPr="0094048F">
        <w:rPr>
          <w:rFonts w:asciiTheme="majorHAnsi" w:hAnsiTheme="majorHAnsi"/>
        </w:rPr>
        <w:t>organisations</w:t>
      </w:r>
      <w:proofErr w:type="spellEnd"/>
      <w:r w:rsidRPr="0094048F">
        <w:rPr>
          <w:rFonts w:asciiTheme="majorHAnsi" w:hAnsiTheme="majorHAnsi"/>
        </w:rPr>
        <w:t xml:space="preserve"> such as NOAA and the U.S. Navy</w:t>
      </w:r>
      <w:r>
        <w:rPr>
          <w:rFonts w:asciiTheme="majorHAnsi" w:hAnsiTheme="majorHAnsi"/>
        </w:rPr>
        <w:t xml:space="preserve"> </w:t>
      </w:r>
      <w:r w:rsidRPr="0094048F">
        <w:rPr>
          <w:rFonts w:asciiTheme="majorHAnsi" w:hAnsiTheme="majorHAnsi"/>
          <w:bCs/>
        </w:rPr>
        <w:t xml:space="preserve">Dana </w:t>
      </w:r>
      <w:proofErr w:type="spellStart"/>
      <w:r w:rsidRPr="0094048F">
        <w:rPr>
          <w:rFonts w:asciiTheme="majorHAnsi" w:hAnsiTheme="majorHAnsi"/>
          <w:bCs/>
        </w:rPr>
        <w:t>Nuccitelli</w:t>
      </w:r>
      <w:proofErr w:type="spellEnd"/>
      <w:r w:rsidRPr="0094048F">
        <w:rPr>
          <w:rFonts w:asciiTheme="majorHAnsi" w:hAnsiTheme="majorHAnsi"/>
          <w:bCs/>
        </w:rPr>
        <w:t xml:space="preserve"> – MA in Physics @ UC-Davis</w:t>
      </w:r>
      <w:r>
        <w:rPr>
          <w:rFonts w:asciiTheme="majorHAnsi" w:hAnsiTheme="majorHAnsi"/>
          <w:bCs/>
        </w:rPr>
        <w:t xml:space="preserve"> </w:t>
      </w:r>
      <w:r w:rsidRPr="0094048F">
        <w:rPr>
          <w:rFonts w:asciiTheme="majorHAnsi" w:hAnsiTheme="majorHAnsi"/>
        </w:rPr>
        <w:t>*Mark Richardson – PhD Candidate in</w:t>
      </w:r>
      <w:r w:rsidRPr="005B05FD">
        <w:rPr>
          <w:rFonts w:asciiTheme="majorHAnsi" w:hAnsiTheme="majorHAnsi"/>
        </w:rPr>
        <w:t xml:space="preserve"> Meteorology, et al.,</w:t>
      </w:r>
      <w:r>
        <w:rPr>
          <w:rFonts w:asciiTheme="majorHAnsi" w:hAnsiTheme="majorHAnsi"/>
        </w:rPr>
        <w:t xml:space="preserve"> </w:t>
      </w:r>
      <w:r w:rsidRPr="005B05FD">
        <w:rPr>
          <w:rFonts w:asciiTheme="majorHAnsi" w:hAnsiTheme="majorHAnsi"/>
        </w:rPr>
        <w:t>("Quantifying the consensus on anthropogenic global warming in the scientific literature," Environmental Research Letters, 8.2)</w:t>
      </w:r>
    </w:p>
    <w:p w:rsidR="00965B19" w:rsidRDefault="00965B19" w:rsidP="00965B19">
      <w:pPr>
        <w:rPr>
          <w:rFonts w:asciiTheme="majorHAnsi" w:hAnsiTheme="majorHAnsi"/>
        </w:rPr>
      </w:pPr>
    </w:p>
    <w:p w:rsidR="00965B19" w:rsidRPr="00965B19" w:rsidRDefault="00965B19" w:rsidP="00965B19">
      <w:r w:rsidRPr="00965B19">
        <w:t xml:space="preserve">An accurate perception of the degree of scientiﬁc consensus is an essential element to public </w:t>
      </w:r>
    </w:p>
    <w:p w:rsidR="00965B19" w:rsidRPr="00965B19" w:rsidRDefault="00965B19" w:rsidP="00965B19">
      <w:r w:rsidRPr="00965B19">
        <w:t>AND</w:t>
      </w:r>
    </w:p>
    <w:p w:rsidR="00965B19" w:rsidRPr="00965B19" w:rsidRDefault="00965B19" w:rsidP="00965B19">
      <w:proofErr w:type="gramStart"/>
      <w:r w:rsidRPr="00965B19">
        <w:t>exerted</w:t>
      </w:r>
      <w:proofErr w:type="gramEnd"/>
      <w:r w:rsidRPr="00965B19">
        <w:t xml:space="preserve"> an opposite effect by biasing raters towards a ‘no position’ classiﬁcation.</w:t>
      </w:r>
    </w:p>
    <w:p w:rsidR="00965B19" w:rsidRDefault="00965B19" w:rsidP="00965B19"/>
    <w:p w:rsidR="00965B19" w:rsidRDefault="00965B19" w:rsidP="00965B19"/>
    <w:p w:rsidR="00965B19" w:rsidRDefault="00965B19" w:rsidP="00965B19"/>
    <w:p w:rsidR="00965B19" w:rsidRDefault="00965B19" w:rsidP="00965B19">
      <w:pPr>
        <w:pStyle w:val="Heading1"/>
      </w:pPr>
      <w:r>
        <w:t>1AR R1</w:t>
      </w:r>
    </w:p>
    <w:p w:rsidR="00965B19" w:rsidRDefault="00965B19" w:rsidP="00965B19"/>
    <w:p w:rsidR="00965B19" w:rsidRDefault="00965B19" w:rsidP="00965B19">
      <w:pPr>
        <w:pStyle w:val="Heading3"/>
      </w:pPr>
      <w:r>
        <w:t>Biodiversity Defense</w:t>
      </w:r>
    </w:p>
    <w:p w:rsidR="00965B19" w:rsidRPr="00BB30F5" w:rsidRDefault="00965B19" w:rsidP="00965B19">
      <w:pPr>
        <w:pStyle w:val="Heading4"/>
      </w:pPr>
      <w:r w:rsidRPr="00BB30F5">
        <w:t>Humans will survive—we can isolate ourselves from the environment</w:t>
      </w:r>
    </w:p>
    <w:p w:rsidR="00965B19" w:rsidRPr="00965B19" w:rsidRDefault="00965B19" w:rsidP="00965B19">
      <w:pPr>
        <w:rPr>
          <w:rStyle w:val="StyleStyleBold12pt"/>
        </w:rPr>
      </w:pPr>
      <w:r w:rsidRPr="00965B19">
        <w:rPr>
          <w:rStyle w:val="StyleStyleBold12pt"/>
        </w:rPr>
        <w:t xml:space="preserve">POWERS 2002 </w:t>
      </w:r>
    </w:p>
    <w:p w:rsidR="00965B19" w:rsidRPr="00965B19" w:rsidRDefault="00965B19" w:rsidP="00965B19">
      <w:r w:rsidRPr="00965B19">
        <w:t>(Lawrence, Professor of Natural Sciences, Oregon Institute of Technology, The Chronicle of Higher Education, August 9)</w:t>
      </w:r>
    </w:p>
    <w:p w:rsidR="00965B19" w:rsidRPr="00965B19" w:rsidRDefault="00965B19" w:rsidP="00965B19"/>
    <w:p w:rsidR="00965B19" w:rsidRPr="00965B19" w:rsidRDefault="00965B19" w:rsidP="00965B19">
      <w:r w:rsidRPr="00965B19">
        <w:t xml:space="preserve">Mass extinctions appear to result from major climatic changes or catastrophes, such as asteroid </w:t>
      </w:r>
    </w:p>
    <w:p w:rsidR="00965B19" w:rsidRPr="00965B19" w:rsidRDefault="00965B19" w:rsidP="00965B19">
      <w:r w:rsidRPr="00965B19">
        <w:t>AND</w:t>
      </w:r>
    </w:p>
    <w:p w:rsidR="00965B19" w:rsidRPr="00965B19" w:rsidRDefault="00965B19" w:rsidP="00965B19">
      <w:proofErr w:type="spellStart"/>
      <w:r w:rsidRPr="00965B19">
        <w:t>Boulter</w:t>
      </w:r>
      <w:proofErr w:type="spellEnd"/>
      <w:r w:rsidRPr="00965B19">
        <w:t xml:space="preserve"> </w:t>
      </w:r>
      <w:proofErr w:type="gramStart"/>
      <w:r w:rsidRPr="00965B19">
        <w:t>mourns</w:t>
      </w:r>
      <w:proofErr w:type="gramEnd"/>
      <w:r w:rsidRPr="00965B19">
        <w:t xml:space="preserve"> we will no longer behold vanish before our distant descendants' eyes.</w:t>
      </w:r>
    </w:p>
    <w:p w:rsidR="00965B19" w:rsidRPr="00965B19" w:rsidRDefault="00965B19" w:rsidP="00965B19">
      <w:pPr>
        <w:pStyle w:val="Heading3"/>
      </w:pPr>
      <w:r>
        <w:t>Property Rights Turns</w:t>
      </w:r>
    </w:p>
    <w:p w:rsidR="00965B19" w:rsidRDefault="00965B19" w:rsidP="00965B19">
      <w:pPr>
        <w:pStyle w:val="Heading4"/>
      </w:pPr>
      <w:r>
        <w:t xml:space="preserve">Rights to freedom are predicated upon possibility of property. </w:t>
      </w:r>
      <w:proofErr w:type="spellStart"/>
      <w:r>
        <w:t>Ataner</w:t>
      </w:r>
      <w:proofErr w:type="spellEnd"/>
      <w:r>
        <w:t xml:space="preserve"> 1</w:t>
      </w:r>
      <w:r>
        <w:t>2</w:t>
      </w:r>
      <w:r>
        <w:t>:</w:t>
      </w:r>
    </w:p>
    <w:p w:rsidR="00965B19" w:rsidRDefault="00965B19" w:rsidP="00965B19">
      <w:r>
        <w:t>(</w:t>
      </w:r>
      <w:r w:rsidRPr="00965B19">
        <w:t>ATTILA ATANER, B.A., J.D.</w:t>
      </w:r>
      <w:r>
        <w:t xml:space="preserve">, McMaster University Master of Arts, </w:t>
      </w:r>
      <w:r w:rsidRPr="00965B19">
        <w:t>KANT ON FREEDOM, PROPERTY RIGHTS AND ENVIRONMENTAL PROTECTION</w:t>
      </w:r>
      <w:r>
        <w:t xml:space="preserve">, </w:t>
      </w:r>
      <w:r w:rsidRPr="00965B19">
        <w:t>October 2012</w:t>
      </w:r>
      <w:r>
        <w:t xml:space="preserve">, </w:t>
      </w:r>
      <w:r w:rsidRPr="00965B19">
        <w:t>http://www.academia.edu/2346248/KANT_ON_FREEDOM_PROPERTY_RIGHTS_AND_ENVIRONMENTAL_PROTECTION</w:t>
      </w:r>
      <w:r>
        <w:t>)</w:t>
      </w:r>
    </w:p>
    <w:p w:rsidR="00965B19" w:rsidRPr="00965B19" w:rsidRDefault="00965B19" w:rsidP="00965B19"/>
    <w:p w:rsidR="00965B19" w:rsidRPr="00965B19" w:rsidRDefault="00965B19" w:rsidP="00965B19">
      <w:r w:rsidRPr="00965B19">
        <w:t xml:space="preserve">My second line of argument in rejecting the claim that </w:t>
      </w:r>
      <w:proofErr w:type="spellStart"/>
      <w:r w:rsidRPr="00965B19">
        <w:t>unowned</w:t>
      </w:r>
      <w:proofErr w:type="spellEnd"/>
      <w:r w:rsidRPr="00965B19">
        <w:t xml:space="preserve"> lands </w:t>
      </w:r>
      <w:proofErr w:type="gramStart"/>
      <w:r w:rsidRPr="00965B19">
        <w:t>are</w:t>
      </w:r>
      <w:proofErr w:type="gramEnd"/>
      <w:r w:rsidRPr="00965B19">
        <w:t xml:space="preserve"> freely destructible</w:t>
      </w:r>
    </w:p>
    <w:p w:rsidR="00965B19" w:rsidRPr="00965B19" w:rsidRDefault="00965B19" w:rsidP="00965B19">
      <w:r w:rsidRPr="00965B19">
        <w:t>AND</w:t>
      </w:r>
    </w:p>
    <w:p w:rsidR="00965B19" w:rsidRPr="00965B19" w:rsidRDefault="00965B19" w:rsidP="00965B19">
      <w:proofErr w:type="gramStart"/>
      <w:r w:rsidRPr="00965B19">
        <w:t>exactly</w:t>
      </w:r>
      <w:proofErr w:type="gramEnd"/>
      <w:r w:rsidRPr="00965B19">
        <w:t xml:space="preserve"> parallel to the incoherence of suicide (as a matter of Virtue).</w:t>
      </w:r>
    </w:p>
    <w:p w:rsidR="00965B19" w:rsidRDefault="00965B19" w:rsidP="00965B19">
      <w:pPr>
        <w:pStyle w:val="Heading4"/>
      </w:pPr>
      <w:r w:rsidRPr="00965B19">
        <w:t xml:space="preserve">Thus resource extraction can’t be prioritized since continued use would yield a contradiction. </w:t>
      </w:r>
      <w:proofErr w:type="spellStart"/>
      <w:r w:rsidRPr="00965B19">
        <w:t>Ataner</w:t>
      </w:r>
      <w:proofErr w:type="spellEnd"/>
      <w:r w:rsidRPr="00965B19">
        <w:t xml:space="preserve"> 2:</w:t>
      </w:r>
    </w:p>
    <w:p w:rsidR="00965B19" w:rsidRDefault="00965B19" w:rsidP="00965B19">
      <w:r>
        <w:t>(</w:t>
      </w:r>
      <w:r w:rsidRPr="00965B19">
        <w:t>ATTILA ATANER, B.A., J.D.</w:t>
      </w:r>
      <w:r>
        <w:t xml:space="preserve">, McMaster University Master of Arts, </w:t>
      </w:r>
      <w:r w:rsidRPr="00965B19">
        <w:t>KANT ON FREEDOM, PROPERTY RIGHTS AND ENVIRONMENTAL PROTECTION</w:t>
      </w:r>
      <w:r>
        <w:t xml:space="preserve">, </w:t>
      </w:r>
      <w:r w:rsidRPr="00965B19">
        <w:t>October 2012</w:t>
      </w:r>
      <w:r>
        <w:t xml:space="preserve">, </w:t>
      </w:r>
      <w:r w:rsidRPr="00965B19">
        <w:t>http://www.academia.edu/2346248/KANT_ON_FREEDOM_PROPERTY_RIGHTS_AND_ENVIRONMENTAL_PROTECTION</w:t>
      </w:r>
      <w:r>
        <w:t>)</w:t>
      </w:r>
    </w:p>
    <w:p w:rsidR="00965B19" w:rsidRPr="00965B19" w:rsidRDefault="00965B19" w:rsidP="00965B19"/>
    <w:p w:rsidR="00965B19" w:rsidRPr="00965B19" w:rsidRDefault="00965B19" w:rsidP="00965B19">
      <w:r w:rsidRPr="00965B19">
        <w:t>Otherwise, freedom would be systematically depriving itself of the use of objects of choice</w:t>
      </w:r>
    </w:p>
    <w:p w:rsidR="00965B19" w:rsidRPr="00965B19" w:rsidRDefault="00965B19" w:rsidP="00965B19">
      <w:r w:rsidRPr="00965B19">
        <w:t>AND</w:t>
      </w:r>
    </w:p>
    <w:p w:rsidR="00965B19" w:rsidRPr="00965B19" w:rsidRDefault="00965B19" w:rsidP="00965B19">
      <w:proofErr w:type="gramStart"/>
      <w:r w:rsidRPr="00965B19">
        <w:t>first</w:t>
      </w:r>
      <w:proofErr w:type="gramEnd"/>
      <w:r w:rsidRPr="00965B19">
        <w:t xml:space="preserve"> place, then some form of legal sanction ought to be applied.)</w:t>
      </w:r>
    </w:p>
    <w:p w:rsidR="00965B19" w:rsidRDefault="00965B19" w:rsidP="00965B19"/>
    <w:p w:rsidR="00965B19" w:rsidRPr="00A94013" w:rsidRDefault="00965B19" w:rsidP="00965B19">
      <w:r w:rsidRPr="00A94013">
        <w:t>Thus, all uses of property must be consistent with the conception and maintenance of a system of property over time. Resource extraction fails to maintain the system and thus is illegitimate as a moral duty.</w:t>
      </w:r>
    </w:p>
    <w:p w:rsidR="00965B19" w:rsidRDefault="00965B19" w:rsidP="00965B19">
      <w:pPr>
        <w:pStyle w:val="Heading4"/>
      </w:pPr>
      <w:r>
        <w:t xml:space="preserve">The concept of destroying property contradicts freedom of ownership in the first place. </w:t>
      </w:r>
      <w:proofErr w:type="spellStart"/>
      <w:r>
        <w:t>Ataner</w:t>
      </w:r>
      <w:proofErr w:type="spellEnd"/>
      <w:r>
        <w:t xml:space="preserve"> 3:</w:t>
      </w:r>
    </w:p>
    <w:p w:rsidR="00965B19" w:rsidRDefault="00965B19" w:rsidP="00965B19">
      <w:r>
        <w:t>(</w:t>
      </w:r>
      <w:r w:rsidRPr="00965B19">
        <w:t>ATTILA ATANER, B.A., J.D.</w:t>
      </w:r>
      <w:r>
        <w:t xml:space="preserve">, McMaster University Master of Arts, </w:t>
      </w:r>
      <w:r w:rsidRPr="00965B19">
        <w:t>KANT ON FREEDOM, PROPERTY RIGHTS AND ENVIRONMENTAL PROTECTION</w:t>
      </w:r>
      <w:r>
        <w:t xml:space="preserve">, </w:t>
      </w:r>
      <w:r w:rsidRPr="00965B19">
        <w:t>October 2012</w:t>
      </w:r>
      <w:r>
        <w:t xml:space="preserve">, </w:t>
      </w:r>
      <w:r w:rsidRPr="00965B19">
        <w:t>http://www.academia.edu/2346248/KANT_ON_FREEDOM_PROPERTY_RIGHTS_AND_ENVIRONMENTAL_PROTECTION</w:t>
      </w:r>
      <w:r>
        <w:t>)</w:t>
      </w:r>
    </w:p>
    <w:p w:rsidR="00965B19" w:rsidRPr="00965B19" w:rsidRDefault="00965B19" w:rsidP="00965B19"/>
    <w:p w:rsidR="00965B19" w:rsidRPr="00965B19" w:rsidRDefault="00965B19" w:rsidP="00965B19">
      <w:r w:rsidRPr="00965B19">
        <w:t xml:space="preserve">For, by polluting a tract of land, for example, the polluter has </w:t>
      </w:r>
    </w:p>
    <w:p w:rsidR="00965B19" w:rsidRPr="00965B19" w:rsidRDefault="00965B19" w:rsidP="00965B19">
      <w:r w:rsidRPr="00965B19">
        <w:t>AND</w:t>
      </w:r>
    </w:p>
    <w:p w:rsidR="00965B19" w:rsidRPr="00965B19" w:rsidRDefault="00965B19" w:rsidP="00965B19">
      <w:proofErr w:type="gramStart"/>
      <w:r w:rsidRPr="00965B19">
        <w:t>on</w:t>
      </w:r>
      <w:proofErr w:type="gramEnd"/>
      <w:r w:rsidRPr="00965B19">
        <w:t xml:space="preserve"> land that is supposedly terra nullius, or on res nullius objects.</w:t>
      </w:r>
      <w:bookmarkStart w:id="1" w:name="_GoBack"/>
      <w:bookmarkEnd w:id="1"/>
    </w:p>
    <w:sectPr w:rsidR="00965B19" w:rsidRPr="00965B1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B19" w:rsidRDefault="00965B19" w:rsidP="00E46E7E">
      <w:r>
        <w:separator/>
      </w:r>
    </w:p>
  </w:endnote>
  <w:endnote w:type="continuationSeparator" w:id="0">
    <w:p w:rsidR="00965B19" w:rsidRDefault="00965B1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B19" w:rsidRDefault="00965B19" w:rsidP="00E46E7E">
      <w:r>
        <w:separator/>
      </w:r>
    </w:p>
  </w:footnote>
  <w:footnote w:type="continuationSeparator" w:id="0">
    <w:p w:rsidR="00965B19" w:rsidRDefault="00965B1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4093BD5"/>
    <w:multiLevelType w:val="hybridMultilevel"/>
    <w:tmpl w:val="DE5C1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C0670"/>
    <w:multiLevelType w:val="multilevel"/>
    <w:tmpl w:val="6804C23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B19"/>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65B19"/>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965B19"/>
    <w:pPr>
      <w:numPr>
        <w:numId w:val="5"/>
      </w:numPr>
      <w:spacing w:before="260"/>
    </w:pPr>
    <w:rPr>
      <w:rFonts w:ascii="Times New Roman" w:eastAsia="Cambria" w:hAnsi="Times New Roman" w:cs="Times New Roman"/>
      <w:b/>
      <w:sz w:val="16"/>
      <w:szCs w:val="1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65B19"/>
    <w:rPr>
      <w:rFonts w:ascii="Times New Roman" w:eastAsia="Cambria" w:hAnsi="Times New Roman" w:cs="Times New Roman"/>
      <w:b/>
      <w:sz w:val="16"/>
      <w:szCs w:val="16"/>
      <w:lang w:eastAsia="ja-JP"/>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965B19"/>
    <w:rPr>
      <w:rFonts w:ascii="Times New Roman" w:hAnsi="Times New Roman"/>
      <w:b/>
      <w:sz w:val="24"/>
    </w:rPr>
  </w:style>
  <w:style w:type="paragraph" w:styleId="FootnoteText">
    <w:name w:val="footnote text"/>
    <w:basedOn w:val="Normal"/>
    <w:link w:val="FootnoteTextChar"/>
    <w:uiPriority w:val="99"/>
    <w:qFormat/>
    <w:rsid w:val="00965B19"/>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965B19"/>
    <w:rPr>
      <w:rFonts w:ascii="Times New Roman" w:eastAsiaTheme="minorHAnsi" w:hAnsi="Times New Roman"/>
      <w:sz w:val="20"/>
      <w:szCs w:val="20"/>
    </w:rPr>
  </w:style>
  <w:style w:type="character" w:customStyle="1" w:styleId="Maximize">
    <w:name w:val="Maximize"/>
    <w:basedOn w:val="DefaultParagraphFont"/>
    <w:qFormat/>
    <w:rsid w:val="00965B19"/>
    <w:rPr>
      <w:rFonts w:ascii="Times New Roman" w:hAnsi="Times New Roman"/>
      <w:sz w:val="24"/>
      <w:u w:val="single"/>
    </w:rPr>
  </w:style>
  <w:style w:type="character" w:customStyle="1" w:styleId="Minimize">
    <w:name w:val="Minimize"/>
    <w:basedOn w:val="Maximize"/>
    <w:qFormat/>
    <w:rsid w:val="00965B19"/>
    <w:rPr>
      <w:rFonts w:ascii="Times New Roman" w:hAnsi="Times New Roman"/>
      <w:sz w:val="12"/>
      <w:u w:val="none"/>
    </w:rPr>
  </w:style>
  <w:style w:type="character" w:styleId="FootnoteReference">
    <w:name w:val="footnote reference"/>
    <w:basedOn w:val="DefaultParagraphFont"/>
    <w:uiPriority w:val="99"/>
    <w:rsid w:val="00965B19"/>
    <w:rPr>
      <w:vertAlign w:val="superscript"/>
    </w:rPr>
  </w:style>
  <w:style w:type="paragraph" w:customStyle="1" w:styleId="Tags">
    <w:name w:val="Tags"/>
    <w:basedOn w:val="Normal"/>
    <w:qFormat/>
    <w:rsid w:val="00965B19"/>
    <w:rPr>
      <w:rFonts w:ascii="Times New Roman" w:eastAsia="Calibri" w:hAnsi="Times New Roman" w:cs="Times New Roman"/>
      <w:b/>
      <w:sz w:val="28"/>
      <w:szCs w:val="22"/>
    </w:rPr>
  </w:style>
  <w:style w:type="paragraph" w:customStyle="1" w:styleId="cards">
    <w:name w:val="cards"/>
    <w:basedOn w:val="Normal"/>
    <w:qFormat/>
    <w:rsid w:val="00965B19"/>
    <w:rPr>
      <w:rFonts w:ascii="Times New Roman" w:eastAsia="Calibr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965B19"/>
    <w:pPr>
      <w:numPr>
        <w:numId w:val="5"/>
      </w:numPr>
      <w:spacing w:before="260"/>
    </w:pPr>
    <w:rPr>
      <w:rFonts w:ascii="Times New Roman" w:eastAsia="Cambria" w:hAnsi="Times New Roman" w:cs="Times New Roman"/>
      <w:b/>
      <w:sz w:val="16"/>
      <w:szCs w:val="1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965B19"/>
    <w:rPr>
      <w:rFonts w:ascii="Times New Roman" w:eastAsia="Cambria" w:hAnsi="Times New Roman" w:cs="Times New Roman"/>
      <w:b/>
      <w:sz w:val="16"/>
      <w:szCs w:val="16"/>
      <w:lang w:eastAsia="ja-JP"/>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965B19"/>
    <w:rPr>
      <w:rFonts w:ascii="Times New Roman" w:hAnsi="Times New Roman"/>
      <w:b/>
      <w:sz w:val="24"/>
    </w:rPr>
  </w:style>
  <w:style w:type="paragraph" w:styleId="FootnoteText">
    <w:name w:val="footnote text"/>
    <w:basedOn w:val="Normal"/>
    <w:link w:val="FootnoteTextChar"/>
    <w:uiPriority w:val="99"/>
    <w:qFormat/>
    <w:rsid w:val="00965B19"/>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965B19"/>
    <w:rPr>
      <w:rFonts w:ascii="Times New Roman" w:eastAsiaTheme="minorHAnsi" w:hAnsi="Times New Roman"/>
      <w:sz w:val="20"/>
      <w:szCs w:val="20"/>
    </w:rPr>
  </w:style>
  <w:style w:type="character" w:customStyle="1" w:styleId="Maximize">
    <w:name w:val="Maximize"/>
    <w:basedOn w:val="DefaultParagraphFont"/>
    <w:qFormat/>
    <w:rsid w:val="00965B19"/>
    <w:rPr>
      <w:rFonts w:ascii="Times New Roman" w:hAnsi="Times New Roman"/>
      <w:sz w:val="24"/>
      <w:u w:val="single"/>
    </w:rPr>
  </w:style>
  <w:style w:type="character" w:customStyle="1" w:styleId="Minimize">
    <w:name w:val="Minimize"/>
    <w:basedOn w:val="Maximize"/>
    <w:qFormat/>
    <w:rsid w:val="00965B19"/>
    <w:rPr>
      <w:rFonts w:ascii="Times New Roman" w:hAnsi="Times New Roman"/>
      <w:sz w:val="12"/>
      <w:u w:val="none"/>
    </w:rPr>
  </w:style>
  <w:style w:type="character" w:styleId="FootnoteReference">
    <w:name w:val="footnote reference"/>
    <w:basedOn w:val="DefaultParagraphFont"/>
    <w:uiPriority w:val="99"/>
    <w:rsid w:val="00965B19"/>
    <w:rPr>
      <w:vertAlign w:val="superscript"/>
    </w:rPr>
  </w:style>
  <w:style w:type="paragraph" w:customStyle="1" w:styleId="Tags">
    <w:name w:val="Tags"/>
    <w:basedOn w:val="Normal"/>
    <w:qFormat/>
    <w:rsid w:val="00965B19"/>
    <w:rPr>
      <w:rFonts w:ascii="Times New Roman" w:eastAsia="Calibri" w:hAnsi="Times New Roman" w:cs="Times New Roman"/>
      <w:b/>
      <w:sz w:val="28"/>
      <w:szCs w:val="22"/>
    </w:rPr>
  </w:style>
  <w:style w:type="paragraph" w:customStyle="1" w:styleId="cards">
    <w:name w:val="cards"/>
    <w:basedOn w:val="Normal"/>
    <w:qFormat/>
    <w:rsid w:val="00965B19"/>
    <w:rPr>
      <w:rFonts w:ascii="Times New Roman" w:eastAsia="Calibr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8</Pages>
  <Words>1217</Words>
  <Characters>6937</Characters>
  <Application>Microsoft Macintosh Word</Application>
  <DocSecurity>0</DocSecurity>
  <Lines>57</Lines>
  <Paragraphs>16</Paragraphs>
  <ScaleCrop>false</ScaleCrop>
  <Company>Whitman College</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2014-02-09T08:28:00Z</dcterms:created>
  <dcterms:modified xsi:type="dcterms:W3CDTF">2014-02-09T08:37:00Z</dcterms:modified>
</cp:coreProperties>
</file>