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9FA" w:rsidRDefault="00F669FA" w:rsidP="00F669FA">
      <w:pPr>
        <w:pStyle w:val="Heading2"/>
      </w:pPr>
      <w:r>
        <w:t>Supreme Court AC</w:t>
      </w:r>
      <w:bookmarkStart w:id="0" w:name="_GoBack"/>
      <w:bookmarkEnd w:id="0"/>
    </w:p>
    <w:p w:rsidR="00F669FA" w:rsidRDefault="00F669FA" w:rsidP="00F669FA">
      <w:pPr>
        <w:pStyle w:val="Heading3"/>
      </w:pPr>
      <w:r>
        <w:lastRenderedPageBreak/>
        <w:t>A is the Plan Text</w:t>
      </w:r>
    </w:p>
    <w:p w:rsidR="00F669FA" w:rsidRDefault="00F669FA" w:rsidP="00F669FA"/>
    <w:p w:rsidR="00F669FA" w:rsidRDefault="00F669FA" w:rsidP="00F669FA">
      <w:pPr>
        <w:pStyle w:val="Heading4"/>
      </w:pPr>
      <w:r>
        <w:t>The United States Congress passes a reform of the Criminal Justice System that makes truth seeking more important than attorney-client privilege by abolishing the privilege.</w:t>
      </w:r>
    </w:p>
    <w:p w:rsidR="00F669FA" w:rsidRDefault="00F669FA" w:rsidP="00F669FA"/>
    <w:p w:rsidR="00F669FA" w:rsidRDefault="00F669FA" w:rsidP="00F669FA">
      <w:pPr>
        <w:pStyle w:val="Heading3"/>
      </w:pPr>
      <w:r>
        <w:t>B is the Solvency</w:t>
      </w:r>
    </w:p>
    <w:p w:rsidR="00F669FA" w:rsidRDefault="00F669FA" w:rsidP="00F669FA">
      <w:pPr>
        <w:pStyle w:val="Heading4"/>
      </w:pPr>
      <w:r>
        <w:t>After passage by Congress, the Supreme Court would strike down the abolishment as unconstitutional:</w:t>
      </w:r>
    </w:p>
    <w:p w:rsidR="00F669FA" w:rsidRPr="00416A69" w:rsidRDefault="00F669FA" w:rsidP="00F669FA">
      <w:pPr>
        <w:pStyle w:val="Heading4"/>
        <w:rPr>
          <w:rStyle w:val="Heading3Char"/>
          <w:b/>
          <w:bCs/>
        </w:rPr>
      </w:pPr>
      <w:r>
        <w:t>First, a lack of attorney-client privilege violates the Sixth Amendment, which guarantees clients the effective assistance of counsel, for two reasons:</w:t>
      </w:r>
    </w:p>
    <w:p w:rsidR="00F669FA" w:rsidRDefault="00F669FA" w:rsidP="00F669FA">
      <w:pPr>
        <w:pStyle w:val="Heading4"/>
      </w:pPr>
      <w:r>
        <w:t xml:space="preserve">A. Denial of the privilege deprives the </w:t>
      </w:r>
      <w:r>
        <w:t xml:space="preserve">client of a partisan </w:t>
      </w:r>
      <w:proofErr w:type="spellStart"/>
      <w:r>
        <w:t>advocate.</w:t>
      </w:r>
    </w:p>
    <w:p w:rsidR="00F669FA" w:rsidRDefault="00F669FA" w:rsidP="00F669FA">
      <w:r w:rsidRPr="00F669FA">
        <w:rPr>
          <w:rStyle w:val="StyleStyleBold12pt"/>
        </w:rPr>
        <w:t>Dashjian</w:t>
      </w:r>
      <w:proofErr w:type="spellEnd"/>
      <w:r w:rsidRPr="00F669FA">
        <w:rPr>
          <w:rStyle w:val="StyleStyleBold12pt"/>
        </w:rPr>
        <w:t>,</w:t>
      </w:r>
      <w:r>
        <w:t xml:space="preserve"> </w:t>
      </w:r>
      <w:r w:rsidRPr="00F669FA">
        <w:t xml:space="preserve">Michael B. </w:t>
      </w:r>
      <w:proofErr w:type="spellStart"/>
      <w:r w:rsidRPr="00F669FA">
        <w:t>Dashjian</w:t>
      </w:r>
      <w:proofErr w:type="spellEnd"/>
      <w:r w:rsidRPr="00F669FA">
        <w:t xml:space="preserve">, People v. Meredith: The Attorney-Client Privilege and the Criminal Defendant's Constitutional Rights, 70 Cal. L. Rev. 1048 (1982). </w:t>
      </w:r>
      <w:hyperlink r:id="rId8" w:history="1">
        <w:r w:rsidRPr="00F669FA">
          <w:t>http://scholarship.law.berkeley.edu/californialawreview/vol70/iss4/10</w:t>
        </w:r>
      </w:hyperlink>
      <w:r w:rsidRPr="00F669FA">
        <w:t>.  MG</w:t>
      </w:r>
    </w:p>
    <w:p w:rsidR="00F669FA" w:rsidRPr="00F669FA" w:rsidRDefault="00F669FA" w:rsidP="00F669FA">
      <w:r w:rsidRPr="00F669FA">
        <w:br/>
        <w:t xml:space="preserve">If a state denied a criminal defendant the attorney-client privilege, the </w:t>
      </w:r>
    </w:p>
    <w:p w:rsidR="00F669FA" w:rsidRPr="00F669FA" w:rsidRDefault="00F669FA" w:rsidP="00F669FA">
      <w:r w:rsidRPr="00F669FA">
        <w:t>AND</w:t>
      </w:r>
    </w:p>
    <w:p w:rsidR="00F669FA" w:rsidRPr="00F669FA" w:rsidRDefault="00F669FA" w:rsidP="00F669FA">
      <w:proofErr w:type="gramStart"/>
      <w:r w:rsidRPr="00F669FA">
        <w:t>re</w:t>
      </w:r>
      <w:proofErr w:type="gramEnd"/>
      <w:r w:rsidRPr="00F669FA">
        <w:t xml:space="preserve">- </w:t>
      </w:r>
      <w:proofErr w:type="spellStart"/>
      <w:r w:rsidRPr="00F669FA">
        <w:t>quired</w:t>
      </w:r>
      <w:proofErr w:type="spellEnd"/>
      <w:r w:rsidRPr="00F669FA">
        <w:t xml:space="preserve"> to divulge his client's confidences to the prosecution.' 7</w:t>
      </w:r>
    </w:p>
    <w:p w:rsidR="00F669FA" w:rsidRDefault="00F669FA" w:rsidP="00F669FA">
      <w:pPr>
        <w:rPr>
          <w:rStyle w:val="Heading3Char"/>
        </w:rPr>
      </w:pPr>
    </w:p>
    <w:p w:rsidR="00F669FA" w:rsidRDefault="00F669FA" w:rsidP="00F669FA">
      <w:pPr>
        <w:pStyle w:val="Heading4"/>
      </w:pPr>
      <w:r w:rsidRPr="00F669FA">
        <w:t>B. Denial of the privilege also hi</w:t>
      </w:r>
      <w:r>
        <w:t>nders attorney investigations.</w:t>
      </w:r>
    </w:p>
    <w:p w:rsidR="00F669FA" w:rsidRDefault="00F669FA" w:rsidP="00F669FA">
      <w:proofErr w:type="spellStart"/>
      <w:r w:rsidRPr="00F669FA">
        <w:rPr>
          <w:rStyle w:val="StyleStyleBold12pt"/>
        </w:rPr>
        <w:t>Dashjian</w:t>
      </w:r>
      <w:proofErr w:type="spellEnd"/>
      <w:r w:rsidRPr="00F669FA">
        <w:rPr>
          <w:rStyle w:val="StyleStyleBold12pt"/>
        </w:rPr>
        <w:t xml:space="preserve"> 2,</w:t>
      </w:r>
      <w:r w:rsidRPr="00F669FA">
        <w:t xml:space="preserve"> Michael B. </w:t>
      </w:r>
      <w:proofErr w:type="spellStart"/>
      <w:r w:rsidRPr="00F669FA">
        <w:t>Dashjian</w:t>
      </w:r>
      <w:proofErr w:type="spellEnd"/>
      <w:r w:rsidRPr="00F669FA">
        <w:t xml:space="preserve">, People v. Meredith: The Attorney-Client Privilege and the Criminal Defendant's Constitutional Rights, 70 Cal. L. Rev. 1048 (1982). </w:t>
      </w:r>
      <w:hyperlink r:id="rId9" w:history="1">
        <w:r w:rsidRPr="00F669FA">
          <w:t>http://scholarship.law.berkeley.edu/californialawreview/vol70/iss4/10</w:t>
        </w:r>
      </w:hyperlink>
      <w:r w:rsidRPr="00F669FA">
        <w:t>.  MG</w:t>
      </w:r>
    </w:p>
    <w:p w:rsidR="00F669FA" w:rsidRPr="00F669FA" w:rsidRDefault="00F669FA" w:rsidP="00F669FA">
      <w:r w:rsidRPr="00F669FA">
        <w:br/>
        <w:t xml:space="preserve">The denial of the attorney-client privilege would also violate the client's sixth </w:t>
      </w:r>
    </w:p>
    <w:p w:rsidR="00F669FA" w:rsidRPr="00F669FA" w:rsidRDefault="00F669FA" w:rsidP="00F669FA">
      <w:r w:rsidRPr="00F669FA">
        <w:t>AND</w:t>
      </w:r>
    </w:p>
    <w:p w:rsidR="00F669FA" w:rsidRPr="00F669FA" w:rsidRDefault="00F669FA" w:rsidP="00F669FA">
      <w:proofErr w:type="gramStart"/>
      <w:r w:rsidRPr="00F669FA">
        <w:t>to</w:t>
      </w:r>
      <w:proofErr w:type="gramEnd"/>
      <w:r w:rsidRPr="00F669FA">
        <w:t xml:space="preserve"> investigate the case, would deny the client effective assistance of counsel.</w:t>
      </w:r>
    </w:p>
    <w:p w:rsidR="00F669FA" w:rsidRDefault="00F669FA" w:rsidP="00F669FA"/>
    <w:p w:rsidR="00F669FA" w:rsidRPr="00F669FA" w:rsidRDefault="00F669FA" w:rsidP="00F669FA">
      <w:pPr>
        <w:pStyle w:val="Heading4"/>
      </w:pPr>
      <w:r w:rsidRPr="00F669FA">
        <w:t>Second, a lack of attorney-client privilege violates the Fifth Amendment.</w:t>
      </w:r>
    </w:p>
    <w:p w:rsidR="00F669FA" w:rsidRDefault="00F669FA" w:rsidP="00F669FA">
      <w:proofErr w:type="spellStart"/>
      <w:r w:rsidRPr="00F669FA">
        <w:rPr>
          <w:rStyle w:val="StyleStyleBold12pt"/>
        </w:rPr>
        <w:t>Dashjian</w:t>
      </w:r>
      <w:proofErr w:type="spellEnd"/>
      <w:r w:rsidRPr="00F669FA">
        <w:rPr>
          <w:rStyle w:val="StyleStyleBold12pt"/>
        </w:rPr>
        <w:t xml:space="preserve"> 3,</w:t>
      </w:r>
      <w:r w:rsidRPr="00F669FA">
        <w:t xml:space="preserve"> Michael B. </w:t>
      </w:r>
      <w:proofErr w:type="spellStart"/>
      <w:r w:rsidRPr="00F669FA">
        <w:t>Dashjian</w:t>
      </w:r>
      <w:proofErr w:type="spellEnd"/>
      <w:r w:rsidRPr="00F669FA">
        <w:t>, People v. Meredith: The Attorney-Client Privilege and the Criminal Defendant's Constitutional Rights, 70 Cal. L. Rev. 1048 (1982). http://scholarship.law.berkeley.edu/californialawreview/vol70/iss4/10.  MG</w:t>
      </w:r>
    </w:p>
    <w:p w:rsidR="00F669FA" w:rsidRPr="00F669FA" w:rsidRDefault="00F669FA" w:rsidP="00F669FA"/>
    <w:p w:rsidR="00F669FA" w:rsidRPr="00F669FA" w:rsidRDefault="00F669FA" w:rsidP="00F669FA">
      <w:r w:rsidRPr="00F669FA">
        <w:t>The fifth amendment provides that "[</w:t>
      </w:r>
      <w:proofErr w:type="gramStart"/>
      <w:r w:rsidRPr="00F669FA">
        <w:t>n]o</w:t>
      </w:r>
      <w:proofErr w:type="gramEnd"/>
      <w:r w:rsidRPr="00F669FA">
        <w:t xml:space="preserve"> person. .. </w:t>
      </w:r>
    </w:p>
    <w:p w:rsidR="00F669FA" w:rsidRPr="00F669FA" w:rsidRDefault="00F669FA" w:rsidP="00F669FA">
      <w:r w:rsidRPr="00F669FA">
        <w:t>AND</w:t>
      </w:r>
    </w:p>
    <w:p w:rsidR="00F669FA" w:rsidRPr="00F669FA" w:rsidRDefault="00F669FA" w:rsidP="00F669FA">
      <w:proofErr w:type="gramStart"/>
      <w:r w:rsidRPr="00F669FA">
        <w:t>self</w:t>
      </w:r>
      <w:proofErr w:type="gramEnd"/>
      <w:r w:rsidRPr="00F669FA">
        <w:t xml:space="preserve">-in- crimination. This is compulsion violating the </w:t>
      </w:r>
      <w:proofErr w:type="gramStart"/>
      <w:r w:rsidRPr="00F669FA">
        <w:t>fifth amendment</w:t>
      </w:r>
      <w:proofErr w:type="gramEnd"/>
      <w:r w:rsidRPr="00F669FA">
        <w:t>.</w:t>
      </w:r>
    </w:p>
    <w:p w:rsidR="00F669FA" w:rsidRDefault="00F669FA" w:rsidP="00F669FA">
      <w:pPr>
        <w:pStyle w:val="Heading3"/>
      </w:pPr>
      <w:r>
        <w:t>Advantage 1 is Deference</w:t>
      </w:r>
    </w:p>
    <w:p w:rsidR="00F669FA" w:rsidRDefault="00F669FA" w:rsidP="00F669FA">
      <w:pPr>
        <w:pStyle w:val="Heading4"/>
      </w:pPr>
      <w:r>
        <w:t>Judicial deference to the executive and Congress is high now—four reasons</w:t>
      </w:r>
    </w:p>
    <w:p w:rsidR="00F669FA" w:rsidRDefault="00F669FA" w:rsidP="00F669FA">
      <w:proofErr w:type="spellStart"/>
      <w:r>
        <w:rPr>
          <w:rStyle w:val="StyleStyleBold12pt"/>
        </w:rPr>
        <w:t>Virelli</w:t>
      </w:r>
      <w:proofErr w:type="spellEnd"/>
      <w:r>
        <w:rPr>
          <w:rStyle w:val="StyleStyleBold12pt"/>
        </w:rPr>
        <w:t xml:space="preserve">, 13 </w:t>
      </w:r>
      <w:r w:rsidRPr="001A50DB">
        <w:t>(L</w:t>
      </w:r>
      <w:r>
        <w:t xml:space="preserve"> </w:t>
      </w:r>
      <w:r w:rsidRPr="001A50DB">
        <w:t xml:space="preserve">J, Associate Professor of Law, Stetson University College of Law, March 26, "Judicial Deference to Congress and the Separation of Powers", </w:t>
      </w:r>
      <w:r w:rsidRPr="00F669FA">
        <w:t>www.uiowa.edu/~ilr/bulletin/ILRB_98_Virelli.pdf</w:t>
      </w:r>
      <w:r w:rsidRPr="001A50DB">
        <w:t>)</w:t>
      </w:r>
    </w:p>
    <w:p w:rsidR="00F669FA" w:rsidRPr="009F5CC3" w:rsidRDefault="00F669FA" w:rsidP="00F669FA">
      <w:pPr>
        <w:rPr>
          <w:b/>
          <w:sz w:val="26"/>
        </w:rPr>
      </w:pPr>
    </w:p>
    <w:p w:rsidR="00F669FA" w:rsidRPr="00F669FA" w:rsidRDefault="00F669FA" w:rsidP="00F669FA">
      <w:r w:rsidRPr="00F669FA">
        <w:t xml:space="preserve">In his article Deference Determinations and </w:t>
      </w:r>
      <w:r>
        <w:t xml:space="preserve">Stealth Constitutional Decision </w:t>
      </w:r>
      <w:r w:rsidRPr="00F669FA">
        <w:t xml:space="preserve">Making, Professor Eric Berger </w:t>
      </w:r>
    </w:p>
    <w:p w:rsidR="00F669FA" w:rsidRPr="00F669FA" w:rsidRDefault="00F669FA" w:rsidP="00F669FA">
      <w:r w:rsidRPr="00F669FA">
        <w:t>AND</w:t>
      </w:r>
    </w:p>
    <w:p w:rsidR="00F669FA" w:rsidRPr="00F669FA" w:rsidRDefault="00F669FA" w:rsidP="00F669FA">
      <w:proofErr w:type="gramStart"/>
      <w:r w:rsidRPr="00F669FA">
        <w:t>procedures</w:t>
      </w:r>
      <w:proofErr w:type="gramEnd"/>
      <w:r w:rsidRPr="00F669FA">
        <w:t xml:space="preserve"> employed by the political branches in the case at hand.7</w:t>
      </w:r>
    </w:p>
    <w:p w:rsidR="00F669FA" w:rsidRPr="00F669FA" w:rsidRDefault="00F669FA" w:rsidP="00F669FA">
      <w:pPr>
        <w:pStyle w:val="Heading4"/>
      </w:pPr>
      <w:r w:rsidRPr="00F669FA">
        <w:t>Overturning law on unconstitutional grounds checks deference and reaffirms the legitimacy of the Supreme Court.</w:t>
      </w:r>
    </w:p>
    <w:p w:rsidR="00F669FA" w:rsidRPr="00F669FA" w:rsidRDefault="00F669FA" w:rsidP="00F669FA">
      <w:r w:rsidRPr="00F669FA">
        <w:rPr>
          <w:rStyle w:val="StyleStyleBold12pt"/>
        </w:rPr>
        <w:t>Rosenfeld 04,</w:t>
      </w:r>
      <w:r w:rsidRPr="00F669FA">
        <w:t xml:space="preserve"> (Professor of Constitutional Law, Constitutional Adjudication in Europe and the United States: Paradoxes and Contrast International Journal of Constitutional Law Volume 2, Number 2, October 650-1 TC)</w:t>
      </w:r>
    </w:p>
    <w:p w:rsidR="00F669FA" w:rsidRDefault="00F669FA" w:rsidP="00F669FA">
      <w:pPr>
        <w:pStyle w:val="card"/>
        <w:ind w:left="0"/>
      </w:pPr>
    </w:p>
    <w:p w:rsidR="00F669FA" w:rsidRPr="00F669FA" w:rsidRDefault="00F669FA" w:rsidP="00F669FA">
      <w:r w:rsidRPr="00F669FA">
        <w:t xml:space="preserve">In theory at least, common law adjudication need not involve repudiation of precedents, </w:t>
      </w:r>
    </w:p>
    <w:p w:rsidR="00F669FA" w:rsidRPr="00F669FA" w:rsidRDefault="00F669FA" w:rsidP="00F669FA">
      <w:r w:rsidRPr="00F669FA">
        <w:t>AND</w:t>
      </w:r>
    </w:p>
    <w:p w:rsidR="00F669FA" w:rsidRPr="00F669FA" w:rsidRDefault="00F669FA" w:rsidP="00F669FA">
      <w:proofErr w:type="gramStart"/>
      <w:r w:rsidRPr="00F669FA">
        <w:t>constitutional</w:t>
      </w:r>
      <w:proofErr w:type="gramEnd"/>
      <w:r w:rsidRPr="00F669FA">
        <w:t xml:space="preserve"> adjudicator seems more delicate and precarious than that of her continental counterpart.   </w:t>
      </w:r>
    </w:p>
    <w:p w:rsidR="00F669FA" w:rsidRPr="00F669FA" w:rsidRDefault="00F669FA" w:rsidP="00F669FA">
      <w:pPr>
        <w:pStyle w:val="Heading4"/>
      </w:pPr>
      <w:r w:rsidRPr="00F669FA">
        <w:t>Enforcing controversial decisions builds legitimacy</w:t>
      </w:r>
      <w:r>
        <w:t>.</w:t>
      </w:r>
    </w:p>
    <w:p w:rsidR="00F669FA" w:rsidRDefault="00F669FA" w:rsidP="00F669FA">
      <w:bookmarkStart w:id="1" w:name="_Toc234066366"/>
      <w:r w:rsidRPr="00F669FA">
        <w:rPr>
          <w:rStyle w:val="StyleStyleBold12pt"/>
        </w:rPr>
        <w:t>Law 0</w:t>
      </w:r>
      <w:bookmarkEnd w:id="1"/>
      <w:r>
        <w:rPr>
          <w:rStyle w:val="StyleStyleBold12pt"/>
        </w:rPr>
        <w:t xml:space="preserve">9, </w:t>
      </w:r>
      <w:r w:rsidRPr="00507D5D">
        <w:t>(David S.</w:t>
      </w:r>
      <w:r>
        <w:t xml:space="preserve"> Law</w:t>
      </w:r>
      <w:r w:rsidRPr="00507D5D">
        <w:t>, Professor of Law and Political Science – Washington University, “A Theory of Judicial Power and Judicial Review”, Georgetown Law Journal, March, 97 Geo. L.J. 723, Lexis)</w:t>
      </w:r>
    </w:p>
    <w:p w:rsidR="00F669FA" w:rsidRDefault="00F669FA" w:rsidP="00F669FA"/>
    <w:p w:rsidR="00F669FA" w:rsidRPr="00F669FA" w:rsidRDefault="00F669FA" w:rsidP="00F669FA">
      <w:r w:rsidRPr="00F669FA">
        <w:t xml:space="preserve">Part IV of this Article discusses a counterintuitive implication of a coordination-based account </w:t>
      </w:r>
    </w:p>
    <w:p w:rsidR="00F669FA" w:rsidRPr="00F669FA" w:rsidRDefault="00F669FA" w:rsidP="00F669FA">
      <w:r w:rsidRPr="00F669FA">
        <w:t>AND</w:t>
      </w:r>
    </w:p>
    <w:p w:rsidR="00F669FA" w:rsidRPr="00F669FA" w:rsidRDefault="00F669FA" w:rsidP="00F669FA">
      <w:proofErr w:type="gramStart"/>
      <w:r w:rsidRPr="00F669FA">
        <w:t>Brown v. Board of Education 27 and Cooper v. Aaron.</w:t>
      </w:r>
      <w:proofErr w:type="gramEnd"/>
      <w:r w:rsidRPr="00F669FA">
        <w:t xml:space="preserve"> 28</w:t>
      </w:r>
    </w:p>
    <w:p w:rsidR="00F669FA" w:rsidRDefault="00F669FA" w:rsidP="00F669FA">
      <w:pPr>
        <w:pStyle w:val="Heading4"/>
      </w:pPr>
      <w:r>
        <w:t>Two internal links from deference:</w:t>
      </w:r>
    </w:p>
    <w:p w:rsidR="00F669FA" w:rsidRPr="00366EB7" w:rsidRDefault="00F669FA" w:rsidP="00F669FA">
      <w:pPr>
        <w:pStyle w:val="Heading4"/>
      </w:pPr>
      <w:r>
        <w:t>First is US militarism—</w:t>
      </w:r>
    </w:p>
    <w:p w:rsidR="00F669FA" w:rsidRDefault="00F669FA" w:rsidP="00F669FA">
      <w:pPr>
        <w:pStyle w:val="Heading4"/>
      </w:pPr>
      <w:r>
        <w:t>A strong judiciary is key to check executive abuses – deference spills over to affect conduct of war</w:t>
      </w:r>
    </w:p>
    <w:p w:rsidR="00F669FA" w:rsidRDefault="00F669FA" w:rsidP="00F669FA">
      <w:r w:rsidRPr="00262EAE">
        <w:rPr>
          <w:rStyle w:val="StyleStyleBold12pt"/>
        </w:rPr>
        <w:t xml:space="preserve">Blank and </w:t>
      </w:r>
      <w:proofErr w:type="spellStart"/>
      <w:r w:rsidRPr="00262EAE">
        <w:rPr>
          <w:rStyle w:val="StyleStyleBold12pt"/>
        </w:rPr>
        <w:t>Guiora</w:t>
      </w:r>
      <w:proofErr w:type="spellEnd"/>
      <w:r w:rsidRPr="00262EAE">
        <w:rPr>
          <w:rStyle w:val="StyleStyleBold12pt"/>
        </w:rPr>
        <w:t xml:space="preserve"> 10</w:t>
      </w:r>
      <w:r>
        <w:t xml:space="preserve"> (Laurie R. </w:t>
      </w:r>
      <w:r w:rsidRPr="00262EAE">
        <w:t>is the Director of Emory Law's International Humanitarian Law Clinic</w:t>
      </w:r>
      <w:r>
        <w:t xml:space="preserve">, Amos N. </w:t>
      </w:r>
      <w:r w:rsidRPr="00262EAE">
        <w:t xml:space="preserve">is a Professor of Law at the University of Utah's SJ </w:t>
      </w:r>
      <w:proofErr w:type="spellStart"/>
      <w:r w:rsidRPr="00262EAE">
        <w:t>Quinney</w:t>
      </w:r>
      <w:proofErr w:type="spellEnd"/>
      <w:r w:rsidRPr="00262EAE">
        <w:t xml:space="preserve"> College of Law</w:t>
      </w:r>
      <w:r>
        <w:t xml:space="preserve">, </w:t>
      </w:r>
      <w:r w:rsidRPr="00262EAE">
        <w:t>Judicial Abdication in Times of War: Lessons Not Yet Learned</w:t>
      </w:r>
      <w:r>
        <w:t xml:space="preserve">, Jurist, 13 September 2010, </w:t>
      </w:r>
      <w:r w:rsidRPr="00262EAE">
        <w:t>http://jurist.org/forum/2010/09/judicial-abdication-in-times-of-war-lessons-not-yet-learned.php</w:t>
      </w:r>
      <w:r>
        <w:t>)</w:t>
      </w:r>
    </w:p>
    <w:p w:rsidR="00F669FA" w:rsidRDefault="00F669FA" w:rsidP="00F669FA">
      <w:pPr>
        <w:rPr>
          <w:rStyle w:val="StyleBoldUnderline"/>
        </w:rPr>
      </w:pPr>
    </w:p>
    <w:p w:rsidR="00F669FA" w:rsidRPr="00F669FA" w:rsidRDefault="00F669FA" w:rsidP="00F669FA">
      <w:r w:rsidRPr="00F669FA">
        <w:t xml:space="preserve">"The Constitution entrusts the President - not the Judiciary - with the conduct of </w:t>
      </w:r>
    </w:p>
    <w:p w:rsidR="00F669FA" w:rsidRPr="00F669FA" w:rsidRDefault="00F669FA" w:rsidP="00F669FA">
      <w:r w:rsidRPr="00F669FA">
        <w:t>AND</w:t>
      </w:r>
    </w:p>
    <w:p w:rsidR="00F669FA" w:rsidRPr="00F669FA" w:rsidRDefault="00F669FA" w:rsidP="00F669FA">
      <w:proofErr w:type="gramStart"/>
      <w:r w:rsidRPr="00F669FA">
        <w:t>the</w:t>
      </w:r>
      <w:proofErr w:type="gramEnd"/>
      <w:r w:rsidRPr="00F669FA">
        <w:t xml:space="preserve"> court is abdicating its role in enforcing our domestic and international obligations.</w:t>
      </w:r>
    </w:p>
    <w:p w:rsidR="00F669FA" w:rsidRDefault="00F669FA" w:rsidP="00F669FA">
      <w:pPr>
        <w:rPr>
          <w:sz w:val="16"/>
        </w:rPr>
      </w:pPr>
    </w:p>
    <w:p w:rsidR="00F669FA" w:rsidRDefault="00F669FA" w:rsidP="00F669FA">
      <w:pPr>
        <w:pStyle w:val="Heading4"/>
      </w:pPr>
      <w:r>
        <w:t>That causes extinction</w:t>
      </w:r>
    </w:p>
    <w:p w:rsidR="00F669FA" w:rsidRPr="00F669FA" w:rsidRDefault="00F669FA" w:rsidP="00F669FA">
      <w:proofErr w:type="spellStart"/>
      <w:r w:rsidRPr="00F669FA">
        <w:rPr>
          <w:rStyle w:val="StyleStyleBold12pt"/>
        </w:rPr>
        <w:t>Kellman</w:t>
      </w:r>
      <w:proofErr w:type="spellEnd"/>
      <w:r w:rsidRPr="00F669FA">
        <w:rPr>
          <w:rStyle w:val="StyleStyleBold12pt"/>
        </w:rPr>
        <w:t>,</w:t>
      </w:r>
      <w:r>
        <w:t xml:space="preserve"> </w:t>
      </w:r>
      <w:r w:rsidRPr="00F669FA">
        <w:t xml:space="preserve">Barry </w:t>
      </w:r>
      <w:proofErr w:type="spellStart"/>
      <w:r w:rsidRPr="00F669FA">
        <w:t>Kellman</w:t>
      </w:r>
      <w:proofErr w:type="spellEnd"/>
      <w:r w:rsidRPr="00F669FA">
        <w:t xml:space="preserve">, Prof – </w:t>
      </w:r>
      <w:proofErr w:type="spellStart"/>
      <w:r w:rsidRPr="00F669FA">
        <w:t>Depaul</w:t>
      </w:r>
      <w:proofErr w:type="spellEnd"/>
      <w:r w:rsidRPr="00F669FA">
        <w:t>, December 1989 (Duke Law Journal, p. 1597-1602)</w:t>
      </w:r>
    </w:p>
    <w:p w:rsidR="00F669FA" w:rsidRDefault="00F669FA" w:rsidP="00F669FA">
      <w:pPr>
        <w:autoSpaceDE w:val="0"/>
        <w:autoSpaceDN w:val="0"/>
        <w:adjustRightInd w:val="0"/>
      </w:pPr>
    </w:p>
    <w:p w:rsidR="00F669FA" w:rsidRPr="00F669FA" w:rsidRDefault="00F669FA" w:rsidP="00F669FA">
      <w:r w:rsidRPr="00F669FA">
        <w:t xml:space="preserve">In this era of thermonuclear weapons, America must uphold its historical commitment to be </w:t>
      </w:r>
    </w:p>
    <w:p w:rsidR="00F669FA" w:rsidRPr="00F669FA" w:rsidRDefault="00F669FA" w:rsidP="00F669FA">
      <w:r w:rsidRPr="00F669FA">
        <w:t>AND</w:t>
      </w:r>
    </w:p>
    <w:p w:rsidR="00F669FA" w:rsidRPr="00F669FA" w:rsidRDefault="00F669FA" w:rsidP="00F669FA">
      <w:proofErr w:type="gramStart"/>
      <w:r w:rsidRPr="00F669FA">
        <w:t>recognizable</w:t>
      </w:r>
      <w:proofErr w:type="gramEnd"/>
      <w:r w:rsidRPr="00F669FA">
        <w:t xml:space="preserve"> in a millennium ushered in under the mushroom cloud of thermonuclear holocaust.</w:t>
      </w:r>
    </w:p>
    <w:p w:rsidR="00F669FA" w:rsidRPr="00AF64A9" w:rsidRDefault="00F669FA" w:rsidP="00F669FA"/>
    <w:p w:rsidR="00F669FA" w:rsidRDefault="00F669FA" w:rsidP="00F669FA">
      <w:pPr>
        <w:pStyle w:val="Heading4"/>
      </w:pPr>
      <w:r>
        <w:t>Second is Democracy—</w:t>
      </w:r>
    </w:p>
    <w:p w:rsidR="00F669FA" w:rsidRPr="00765418" w:rsidRDefault="00F669FA" w:rsidP="00F669FA">
      <w:pPr>
        <w:pStyle w:val="Heading4"/>
      </w:pPr>
      <w:r>
        <w:t>Judicial activism is a m</w:t>
      </w:r>
      <w:r w:rsidRPr="00765418">
        <w:t xml:space="preserve">odel for </w:t>
      </w:r>
      <w:r>
        <w:t>constitutional d</w:t>
      </w:r>
      <w:r w:rsidRPr="00765418">
        <w:t>emocracy</w:t>
      </w:r>
    </w:p>
    <w:p w:rsidR="00F669FA" w:rsidRPr="00F669FA" w:rsidRDefault="00F669FA" w:rsidP="00F669FA">
      <w:r w:rsidRPr="00F669FA">
        <w:rPr>
          <w:rStyle w:val="StyleStyleBold12pt"/>
        </w:rPr>
        <w:t>Horowitz 06,</w:t>
      </w:r>
      <w:r w:rsidRPr="00F669FA">
        <w:t xml:space="preserve"> (Donald L.</w:t>
      </w:r>
      <w:r>
        <w:t xml:space="preserve"> Horowitz</w:t>
      </w:r>
      <w:r w:rsidRPr="00F669FA">
        <w:t>, Journal of Democracy Writer</w:t>
      </w:r>
      <w:r>
        <w:t xml:space="preserve">, </w:t>
      </w:r>
      <w:r w:rsidRPr="00F669FA">
        <w:t xml:space="preserve">“Constitutional Courts: A Primer For Decision </w:t>
      </w:r>
      <w:r>
        <w:t xml:space="preserve">Makers”, 2006, </w:t>
      </w:r>
      <w:r w:rsidRPr="00F669FA">
        <w:t>muse.jhu.edu.floyd.lib.umn.edu/journals/journal_of_</w:t>
      </w:r>
      <w:r>
        <w:t>democracy/v017/17.4horowitz.html</w:t>
      </w:r>
      <w:r w:rsidRPr="00F669FA">
        <w:t>)</w:t>
      </w:r>
    </w:p>
    <w:p w:rsidR="00F669FA" w:rsidRDefault="00F669FA" w:rsidP="00F669FA">
      <w:pPr>
        <w:pStyle w:val="card"/>
        <w:ind w:left="0"/>
        <w:rPr>
          <w:rStyle w:val="underline"/>
        </w:rPr>
      </w:pPr>
    </w:p>
    <w:p w:rsidR="00F669FA" w:rsidRPr="00F669FA" w:rsidRDefault="00F669FA" w:rsidP="00F669FA">
      <w:r w:rsidRPr="00F669FA">
        <w:t>Judicial review is a growing institution. Originating in the United States two centuries ago</w:t>
      </w:r>
    </w:p>
    <w:p w:rsidR="00F669FA" w:rsidRPr="00F669FA" w:rsidRDefault="00F669FA" w:rsidP="00F669FA">
      <w:r w:rsidRPr="00F669FA">
        <w:t>AND</w:t>
      </w:r>
    </w:p>
    <w:p w:rsidR="00F669FA" w:rsidRPr="00F669FA" w:rsidRDefault="00F669FA" w:rsidP="00F669FA">
      <w:r w:rsidRPr="00F669FA">
        <w:t>2001), and Spain (1992), is the constitutional-court model.</w:t>
      </w:r>
    </w:p>
    <w:p w:rsidR="00F669FA" w:rsidRPr="001570FC" w:rsidRDefault="00F669FA" w:rsidP="00F669FA">
      <w:pPr>
        <w:pStyle w:val="Heading4"/>
      </w:pPr>
      <w:r w:rsidRPr="001570FC">
        <w:t>Democracy prevents nuclear warfare, ecosystem collapse, and extinction</w:t>
      </w:r>
    </w:p>
    <w:p w:rsidR="00F669FA" w:rsidRDefault="00F669FA" w:rsidP="00F669FA">
      <w:r w:rsidRPr="001444BB">
        <w:rPr>
          <w:rStyle w:val="StyleStyleBold12pt"/>
        </w:rPr>
        <w:t>Diamond 95</w:t>
      </w:r>
      <w:r>
        <w:t xml:space="preserve"> (Larry, a professor, lecturer, adviser, and author on foreign policy, foreign aid, and democracy, “Promoting Democracy in the 1990s: Actors and instruments, issues and </w:t>
      </w:r>
      <w:proofErr w:type="gramStart"/>
      <w:r>
        <w:t>imperatives :</w:t>
      </w:r>
      <w:proofErr w:type="gramEnd"/>
      <w:r>
        <w:t xml:space="preserve"> a report to the Carnegie Commission on Preventing Deadly Conflict”, December 1995, http://wwics.si.edu/subsites/ccpdc/pubs/di/di.htm)</w:t>
      </w:r>
    </w:p>
    <w:p w:rsidR="00F669FA" w:rsidRDefault="00F669FA" w:rsidP="00F669FA">
      <w:pPr>
        <w:pStyle w:val="card"/>
        <w:ind w:left="0"/>
      </w:pPr>
    </w:p>
    <w:p w:rsidR="00F669FA" w:rsidRPr="00F669FA" w:rsidRDefault="00F669FA" w:rsidP="00F669FA">
      <w:r w:rsidRPr="00F669FA">
        <w:t xml:space="preserve">This hardly exhausts the lists of threats to our security and </w:t>
      </w:r>
      <w:proofErr w:type="gramStart"/>
      <w:r w:rsidRPr="00F669FA">
        <w:t>well-being</w:t>
      </w:r>
      <w:proofErr w:type="gramEnd"/>
      <w:r w:rsidRPr="00F669FA">
        <w:t xml:space="preserve"> in </w:t>
      </w:r>
    </w:p>
    <w:p w:rsidR="00F669FA" w:rsidRPr="00F669FA" w:rsidRDefault="00F669FA" w:rsidP="00F669FA">
      <w:r w:rsidRPr="00F669FA">
        <w:t>AND</w:t>
      </w:r>
    </w:p>
    <w:p w:rsidR="00F669FA" w:rsidRPr="00F669FA" w:rsidRDefault="00F669FA" w:rsidP="00F669FA">
      <w:proofErr w:type="gramStart"/>
      <w:r w:rsidRPr="00F669FA">
        <w:t>with</w:t>
      </w:r>
      <w:proofErr w:type="gramEnd"/>
      <w:r w:rsidRPr="00F669FA">
        <w:t xml:space="preserve"> its provisions for legality, accountability, popular sovereignty, and openness.</w:t>
      </w:r>
    </w:p>
    <w:p w:rsidR="00F669FA" w:rsidRPr="003518EC" w:rsidRDefault="00F669FA" w:rsidP="00F669FA">
      <w:pPr>
        <w:rPr>
          <w:b/>
          <w:sz w:val="16"/>
        </w:rPr>
      </w:pPr>
    </w:p>
    <w:p w:rsidR="00F669FA" w:rsidRPr="00F669FA" w:rsidRDefault="00F669FA" w:rsidP="00F669FA">
      <w:pPr>
        <w:pStyle w:val="Heading3"/>
      </w:pPr>
      <w:proofErr w:type="spellStart"/>
      <w:r w:rsidRPr="00F669FA">
        <w:t>Underview</w:t>
      </w:r>
      <w:proofErr w:type="spellEnd"/>
      <w:r w:rsidRPr="00F669FA">
        <w:t xml:space="preserve">: </w:t>
      </w:r>
      <w:proofErr w:type="spellStart"/>
      <w:r>
        <w:t>Util</w:t>
      </w:r>
      <w:proofErr w:type="spellEnd"/>
    </w:p>
    <w:p w:rsidR="00F669FA" w:rsidRDefault="00F669FA" w:rsidP="00F669FA">
      <w:pPr>
        <w:rPr>
          <w:rFonts w:eastAsia="Calibri"/>
        </w:rPr>
      </w:pPr>
    </w:p>
    <w:p w:rsidR="00F669FA" w:rsidRDefault="00F669FA" w:rsidP="00F669FA">
      <w:pPr>
        <w:pStyle w:val="Heading4"/>
      </w:pPr>
      <w:r>
        <w:t>T</w:t>
      </w:r>
      <w:r w:rsidRPr="002A25DA">
        <w:t>he epistemic question about how we derive ethical truths is necessary to determine what those truths are. I defend a pragmatic conception of truth, that knowledge is said to be “tr</w:t>
      </w:r>
      <w:r>
        <w:t>ue” when it has practical value.</w:t>
      </w:r>
    </w:p>
    <w:p w:rsidR="00F669FA" w:rsidRDefault="00F669FA" w:rsidP="00F669FA">
      <w:r w:rsidRPr="00F669FA">
        <w:rPr>
          <w:rStyle w:val="StyleStyleBold12pt"/>
        </w:rPr>
        <w:t>James,</w:t>
      </w:r>
      <w:r w:rsidRPr="00F669FA">
        <w:t xml:space="preserve"> Pragmatism: A New Name for Some Old Ways of Thinking - William James 1907. Print</w:t>
      </w:r>
    </w:p>
    <w:p w:rsidR="00F669FA" w:rsidRPr="00F669FA" w:rsidRDefault="00F669FA" w:rsidP="00F669FA"/>
    <w:p w:rsidR="00F669FA" w:rsidRPr="00F669FA" w:rsidRDefault="00F669FA" w:rsidP="00F669FA">
      <w:r w:rsidRPr="00F669FA">
        <w:t xml:space="preserve">The importance to human life of having true beliefs about matters of fact is a </w:t>
      </w:r>
    </w:p>
    <w:p w:rsidR="00F669FA" w:rsidRPr="00F669FA" w:rsidRDefault="00F669FA" w:rsidP="00F669FA">
      <w:r w:rsidRPr="00F669FA">
        <w:t>AND</w:t>
      </w:r>
    </w:p>
    <w:p w:rsidR="00F669FA" w:rsidRPr="00F669FA" w:rsidRDefault="00F669FA" w:rsidP="00F669FA">
      <w:proofErr w:type="gramStart"/>
      <w:r w:rsidRPr="00F669FA">
        <w:t>value</w:t>
      </w:r>
      <w:proofErr w:type="gramEnd"/>
      <w:r w:rsidRPr="00F669FA">
        <w:t>, unless they had been useful from the outset in this way.</w:t>
      </w:r>
    </w:p>
    <w:p w:rsidR="00F669FA" w:rsidRPr="002A25DA" w:rsidRDefault="00F669FA" w:rsidP="00F669FA">
      <w:pPr>
        <w:rPr>
          <w:rFonts w:eastAsia="Calibri"/>
        </w:rPr>
      </w:pPr>
    </w:p>
    <w:p w:rsidR="00F669FA" w:rsidRPr="00F669FA" w:rsidRDefault="00F669FA" w:rsidP="00F669FA">
      <w:pPr>
        <w:pStyle w:val="Heading4"/>
      </w:pPr>
      <w:r w:rsidRPr="00F669FA">
        <w:t>This view of truth is necessary for morality to guide action</w:t>
      </w:r>
    </w:p>
    <w:p w:rsidR="00F669FA" w:rsidRDefault="00F669FA" w:rsidP="00F669FA">
      <w:r w:rsidRPr="00F669FA">
        <w:rPr>
          <w:rStyle w:val="StyleStyleBold12pt"/>
        </w:rPr>
        <w:t>James 2,</w:t>
      </w:r>
      <w:r w:rsidRPr="00F669FA">
        <w:t xml:space="preserve"> Pragmatism: A New Name for Some Old Ways of Thinking - William James 1907. Print</w:t>
      </w:r>
    </w:p>
    <w:p w:rsidR="00F669FA" w:rsidRPr="00F669FA" w:rsidRDefault="00F669FA" w:rsidP="00F669FA"/>
    <w:p w:rsidR="00F669FA" w:rsidRPr="00F669FA" w:rsidRDefault="00F669FA" w:rsidP="00F669FA">
      <w:r w:rsidRPr="00F669FA">
        <w:t xml:space="preserve">Take, for instance, yonder object on the wall. You and I consider </w:t>
      </w:r>
    </w:p>
    <w:p w:rsidR="00F669FA" w:rsidRPr="00F669FA" w:rsidRDefault="00F669FA" w:rsidP="00F669FA">
      <w:r w:rsidRPr="00F669FA">
        <w:t>AND</w:t>
      </w:r>
    </w:p>
    <w:p w:rsidR="00F669FA" w:rsidRPr="00F669FA" w:rsidRDefault="00F669FA" w:rsidP="00F669FA">
      <w:proofErr w:type="gramStart"/>
      <w:r w:rsidRPr="00F669FA">
        <w:t>that</w:t>
      </w:r>
      <w:proofErr w:type="gramEnd"/>
      <w:r w:rsidRPr="00F669FA">
        <w:t xml:space="preserve"> we omit it, and are usually justified by all that happens.</w:t>
      </w:r>
    </w:p>
    <w:p w:rsidR="00F669FA" w:rsidRPr="002A25DA" w:rsidRDefault="00F669FA" w:rsidP="00F669FA">
      <w:pPr>
        <w:widowControl w:val="0"/>
        <w:autoSpaceDE w:val="0"/>
        <w:autoSpaceDN w:val="0"/>
        <w:adjustRightInd w:val="0"/>
      </w:pPr>
    </w:p>
    <w:p w:rsidR="00F669FA" w:rsidRDefault="00F669FA" w:rsidP="00F669FA">
      <w:pPr>
        <w:pStyle w:val="Heading4"/>
        <w:rPr>
          <w:color w:val="000000"/>
        </w:rPr>
      </w:pPr>
      <w:r w:rsidRPr="002A25DA">
        <w:t xml:space="preserve">The pragmatic theory of truth applied to ethics </w:t>
      </w:r>
      <w:r>
        <w:t>implies util</w:t>
      </w:r>
      <w:r w:rsidRPr="002A25DA">
        <w:t xml:space="preserve">. To prove the resolution true as a general principle, we have to show its general usefulness or practical value to </w:t>
      </w:r>
      <w:r>
        <w:t xml:space="preserve">us </w:t>
      </w:r>
      <w:r w:rsidRPr="002A25DA">
        <w:t xml:space="preserve">as a true statement. </w:t>
      </w:r>
      <w:proofErr w:type="spellStart"/>
      <w:r w:rsidRPr="002A25DA">
        <w:t>Util</w:t>
      </w:r>
      <w:proofErr w:type="spellEnd"/>
      <w:r w:rsidRPr="002A25DA">
        <w:t xml:space="preserve"> is the only theory of ethics that stems from taking into account the general pragmatic implications of our beliefs. No other philosophy meets the generality and practicality requirements of pragmatism. </w:t>
      </w:r>
      <w:r w:rsidRPr="002A25DA">
        <w:rPr>
          <w:color w:val="000000"/>
        </w:rPr>
        <w:t>And, we view pa</w:t>
      </w:r>
      <w:r>
        <w:rPr>
          <w:color w:val="000000"/>
        </w:rPr>
        <w:t>in as bad and pleasure as good.</w:t>
      </w:r>
    </w:p>
    <w:p w:rsidR="00F669FA" w:rsidRPr="00F669FA" w:rsidRDefault="00F669FA" w:rsidP="00F669FA">
      <w:r w:rsidRPr="00F669FA">
        <w:rPr>
          <w:rStyle w:val="StyleStyleBold12pt"/>
        </w:rPr>
        <w:t>Nagel,</w:t>
      </w:r>
      <w:r w:rsidRPr="00F669FA">
        <w:t xml:space="preserve"> Thomas Nagel, The View From Nowhere, HUP, 1986: 156-168.</w:t>
      </w:r>
    </w:p>
    <w:p w:rsidR="00F669FA" w:rsidRPr="002A25DA" w:rsidRDefault="00F669FA" w:rsidP="00F669FA"/>
    <w:p w:rsidR="00F669FA" w:rsidRPr="00F669FA" w:rsidRDefault="00F669FA" w:rsidP="00F669FA">
      <w:r w:rsidRPr="00F669FA">
        <w:t xml:space="preserve">I shall defend the unsurprising claim that sensory pleasure is good and pain bad, </w:t>
      </w:r>
    </w:p>
    <w:p w:rsidR="00F669FA" w:rsidRPr="00F669FA" w:rsidRDefault="00F669FA" w:rsidP="00F669FA">
      <w:r w:rsidRPr="00F669FA">
        <w:t>AND</w:t>
      </w:r>
    </w:p>
    <w:p w:rsidR="00F669FA" w:rsidRPr="00F669FA" w:rsidRDefault="00F669FA" w:rsidP="00F669FA">
      <w:proofErr w:type="gramStart"/>
      <w:r w:rsidRPr="00F669FA">
        <w:t>they</w:t>
      </w:r>
      <w:proofErr w:type="gramEnd"/>
      <w:r w:rsidRPr="00F669FA">
        <w:t xml:space="preserve"> are not back[</w:t>
      </w:r>
      <w:proofErr w:type="spellStart"/>
      <w:r w:rsidRPr="00F669FA">
        <w:t>ed</w:t>
      </w:r>
      <w:proofErr w:type="spellEnd"/>
      <w:r w:rsidRPr="00F669FA">
        <w:t xml:space="preserve">] up by any further reasons. </w:t>
      </w:r>
    </w:p>
    <w:p w:rsidR="00F669FA" w:rsidRDefault="00F669FA" w:rsidP="00F669FA">
      <w:pPr>
        <w:rPr>
          <w:color w:val="000000"/>
        </w:rPr>
      </w:pPr>
    </w:p>
    <w:p w:rsidR="00F669FA" w:rsidRDefault="00F669FA" w:rsidP="00F669FA">
      <w:r w:rsidRPr="002A25DA">
        <w:rPr>
          <w:color w:val="000000"/>
        </w:rPr>
        <w:t>Thus, since pain hurts everyone, it would be pragmatic and in our interest to minimize it.</w:t>
      </w:r>
      <w:r>
        <w:rPr>
          <w:color w:val="000000"/>
        </w:rPr>
        <w:t xml:space="preserve">  This also serves as a justification that people act based on util.</w:t>
      </w:r>
    </w:p>
    <w:p w:rsidR="00F669FA" w:rsidRDefault="00F669FA" w:rsidP="00F669FA"/>
    <w:p w:rsidR="00F669FA" w:rsidRPr="00F669FA" w:rsidRDefault="00F669FA" w:rsidP="00F669FA">
      <w:pPr>
        <w:pStyle w:val="Heading4"/>
      </w:pPr>
      <w:r w:rsidRPr="00F669FA">
        <w:t xml:space="preserve">Further prefer </w:t>
      </w:r>
      <w:proofErr w:type="spellStart"/>
      <w:r w:rsidRPr="00F669FA">
        <w:t>util</w:t>
      </w:r>
      <w:proofErr w:type="spellEnd"/>
      <w:r w:rsidRPr="00F669FA">
        <w:t xml:space="preserve"> since the resolution is a question between two policies, so we should use the moral theory that is best for policymaking, which is util.</w:t>
      </w:r>
    </w:p>
    <w:p w:rsidR="00F669FA" w:rsidRPr="00F669FA" w:rsidRDefault="00F669FA" w:rsidP="00F669FA">
      <w:proofErr w:type="spellStart"/>
      <w:r w:rsidRPr="00F669FA">
        <w:rPr>
          <w:rStyle w:val="StyleStyleBold12pt"/>
        </w:rPr>
        <w:t>Woller</w:t>
      </w:r>
      <w:proofErr w:type="spellEnd"/>
      <w:r w:rsidRPr="00F669FA">
        <w:rPr>
          <w:rStyle w:val="StyleStyleBold12pt"/>
        </w:rPr>
        <w:t>,</w:t>
      </w:r>
      <w:r>
        <w:t xml:space="preserve"> </w:t>
      </w:r>
      <w:r w:rsidRPr="00F669FA">
        <w:t>(Gary, Economics Professor at BYU, “Policy Currents,” June, http://apsapolicysection.org/vol7_2/</w:t>
      </w:r>
      <w:proofErr w:type="gramStart"/>
      <w:r w:rsidRPr="00F669FA">
        <w:t>72.pdf )</w:t>
      </w:r>
      <w:proofErr w:type="gramEnd"/>
      <w:r w:rsidRPr="00F669FA">
        <w:t xml:space="preserve"> Showers</w:t>
      </w:r>
    </w:p>
    <w:p w:rsidR="00F669FA" w:rsidRPr="00170F91" w:rsidRDefault="00F669FA" w:rsidP="00F669FA">
      <w:pPr>
        <w:pStyle w:val="NormalWeb"/>
        <w:spacing w:before="0" w:beforeAutospacing="0" w:after="0" w:afterAutospacing="0"/>
        <w:rPr>
          <w:rFonts w:eastAsia="TimesNewRomanPSMT"/>
        </w:rPr>
      </w:pPr>
    </w:p>
    <w:p w:rsidR="00F669FA" w:rsidRPr="00F669FA" w:rsidRDefault="00F669FA" w:rsidP="00F669FA">
      <w:r w:rsidRPr="00F669FA">
        <w:t xml:space="preserve">Moreover, virtually all public policies entail some redistribution of economic or political resources, </w:t>
      </w:r>
    </w:p>
    <w:p w:rsidR="00F669FA" w:rsidRPr="00F669FA" w:rsidRDefault="00F669FA" w:rsidP="00F669FA">
      <w:r w:rsidRPr="00F669FA">
        <w:t>AND</w:t>
      </w:r>
    </w:p>
    <w:p w:rsidR="00F669FA" w:rsidRPr="00F669FA" w:rsidRDefault="00F669FA" w:rsidP="00F669FA">
      <w:proofErr w:type="gramStart"/>
      <w:r w:rsidRPr="00F669FA">
        <w:t>offs</w:t>
      </w:r>
      <w:proofErr w:type="gramEnd"/>
      <w:r w:rsidRPr="00F669FA">
        <w:t xml:space="preserve"> implied by their polices are somehow to the overall  advantage of society. </w:t>
      </w:r>
    </w:p>
    <w:p w:rsidR="00F669FA" w:rsidRDefault="00F669FA" w:rsidP="00F669FA">
      <w:pPr>
        <w:pStyle w:val="Read"/>
      </w:pPr>
    </w:p>
    <w:p w:rsidR="00F669FA" w:rsidRPr="00F669FA" w:rsidRDefault="00F669FA" w:rsidP="00F669FA">
      <w:pPr>
        <w:pStyle w:val="Heading4"/>
      </w:pPr>
      <w:r w:rsidRPr="00F669FA">
        <w:t>As long as we’re ethically uncertain, prevent extinction to preserve moral deliberation.</w:t>
      </w:r>
    </w:p>
    <w:p w:rsidR="00F669FA" w:rsidRPr="00F669FA" w:rsidRDefault="00F669FA" w:rsidP="00F669FA">
      <w:proofErr w:type="spellStart"/>
      <w:r w:rsidRPr="00F669FA">
        <w:rPr>
          <w:rStyle w:val="StyleStyleBold12pt"/>
        </w:rPr>
        <w:t>Bostrom</w:t>
      </w:r>
      <w:proofErr w:type="spellEnd"/>
      <w:r w:rsidRPr="00F669FA">
        <w:rPr>
          <w:rStyle w:val="StyleStyleBold12pt"/>
        </w:rPr>
        <w:t>,</w:t>
      </w:r>
      <w:r w:rsidRPr="00F669FA">
        <w:t xml:space="preserve"> Nick. “Existential Risk as the Most Important Task for Humanity.” Global Policy (2012) http://www.existential-risk.org/concept.html</w:t>
      </w:r>
    </w:p>
    <w:p w:rsidR="00F669FA" w:rsidRPr="00B9084A" w:rsidRDefault="00F669FA" w:rsidP="00F669FA"/>
    <w:p w:rsidR="00F669FA" w:rsidRPr="00F669FA" w:rsidRDefault="00F669FA" w:rsidP="00F669FA">
      <w:r w:rsidRPr="00F669FA">
        <w:t xml:space="preserve">These reflections on moral uncertainty suggest[s] an alternative, complementary way of </w:t>
      </w:r>
    </w:p>
    <w:p w:rsidR="00F669FA" w:rsidRPr="00F669FA" w:rsidRDefault="00F669FA" w:rsidP="00F669FA">
      <w:r w:rsidRPr="00F669FA">
        <w:t>AND</w:t>
      </w:r>
    </w:p>
    <w:p w:rsidR="00F669FA" w:rsidRPr="00F669FA" w:rsidRDefault="00F669FA" w:rsidP="00F669FA">
      <w:proofErr w:type="gramStart"/>
      <w:r w:rsidRPr="00F669FA">
        <w:t>to</w:t>
      </w:r>
      <w:proofErr w:type="gramEnd"/>
      <w:r w:rsidRPr="00F669FA">
        <w:t xml:space="preserve"> increase the probability that the future will contain a lot of value.</w:t>
      </w:r>
    </w:p>
    <w:p w:rsidR="00F669FA" w:rsidRPr="00A07256" w:rsidRDefault="00F669FA" w:rsidP="00F669FA"/>
    <w:p w:rsidR="00F669FA" w:rsidRPr="00AF5046" w:rsidRDefault="00F669FA" w:rsidP="007A3515"/>
    <w:sectPr w:rsidR="00F669FA"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9FA" w:rsidRDefault="00F669FA" w:rsidP="00E46E7E">
      <w:r>
        <w:separator/>
      </w:r>
    </w:p>
  </w:endnote>
  <w:endnote w:type="continuationSeparator" w:id="0">
    <w:p w:rsidR="00F669FA" w:rsidRDefault="00F669F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TimesNewRomanPSMT">
    <w:altName w:val="Times New Roman"/>
    <w:charset w:val="00"/>
    <w:family w:val="roman"/>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9FA" w:rsidRDefault="00F669FA" w:rsidP="00E46E7E">
      <w:r>
        <w:separator/>
      </w:r>
    </w:p>
  </w:footnote>
  <w:footnote w:type="continuationSeparator" w:id="0">
    <w:p w:rsidR="00F669FA" w:rsidRDefault="00F669F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2B0E152A"/>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9FA"/>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669FA"/>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669FA"/>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no read Char,Big card Char,Normal Tag Char,body Char,small text Char,Tag1 Char,heading 2 Char,Heading 2 Char2 Char Char,Heading 2 Char1 Char Char Char,Heading 2 Char Char Char Char Char,TAG Char, Ch Char,Ch Char,No Spacing12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F669FA"/>
    <w:pPr>
      <w:numPr>
        <w:numId w:val="5"/>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 Char1 Char Char,Heading 2 Char2 Char1,Heading 2 Char1 Char Char1,Heading 2 Char Char Char Char1"/>
    <w:link w:val="tag"/>
    <w:rsid w:val="00F669FA"/>
    <w:rPr>
      <w:rFonts w:ascii="Times New Roman" w:eastAsia="Cambria" w:hAnsi="Times New Roman" w:cs="Times New Roman"/>
      <w:b/>
      <w:sz w:val="26"/>
      <w:szCs w:val="22"/>
      <w:lang w:eastAsia="ja-JP"/>
    </w:rPr>
  </w:style>
  <w:style w:type="paragraph" w:customStyle="1" w:styleId="CitationCharChar">
    <w:name w:val="Citation Char Char"/>
    <w:basedOn w:val="Normal"/>
    <w:link w:val="StyleBoldUnderline"/>
    <w:uiPriority w:val="5"/>
    <w:rsid w:val="00F669FA"/>
    <w:pPr>
      <w:ind w:left="1440" w:right="1440"/>
    </w:pPr>
    <w:rPr>
      <w:rFonts w:asciiTheme="minorHAnsi" w:hAnsiTheme="minorHAns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F669FA"/>
    <w:rPr>
      <w:rFonts w:ascii="Times New Roman" w:hAnsi="Times New Roman"/>
      <w:b/>
      <w:sz w:val="24"/>
    </w:rPr>
  </w:style>
  <w:style w:type="paragraph" w:customStyle="1" w:styleId="card">
    <w:name w:val="card"/>
    <w:basedOn w:val="Normal"/>
    <w:next w:val="Normal"/>
    <w:link w:val="cardChar"/>
    <w:uiPriority w:val="6"/>
    <w:qFormat/>
    <w:rsid w:val="00F669F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uiPriority w:val="6"/>
    <w:rsid w:val="00F669FA"/>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F669FA"/>
    <w:rPr>
      <w:b/>
      <w:u w:val="single"/>
    </w:rPr>
  </w:style>
  <w:style w:type="paragraph" w:customStyle="1" w:styleId="textbold">
    <w:name w:val="text bold"/>
    <w:basedOn w:val="Normal"/>
    <w:link w:val="underline"/>
    <w:qFormat/>
    <w:rsid w:val="00F669FA"/>
    <w:pPr>
      <w:ind w:left="720"/>
      <w:jc w:val="both"/>
    </w:pPr>
    <w:rPr>
      <w:rFonts w:asciiTheme="minorHAnsi" w:hAnsiTheme="minorHAnsi"/>
      <w:b/>
      <w:sz w:val="24"/>
      <w:u w:val="single"/>
    </w:rPr>
  </w:style>
  <w:style w:type="character" w:styleId="FootnoteReference">
    <w:name w:val="footnote reference"/>
    <w:basedOn w:val="DefaultParagraphFont"/>
    <w:unhideWhenUsed/>
    <w:rsid w:val="00F669FA"/>
    <w:rPr>
      <w:vertAlign w:val="superscript"/>
    </w:rPr>
  </w:style>
  <w:style w:type="paragraph" w:customStyle="1" w:styleId="Read">
    <w:name w:val="Read"/>
    <w:basedOn w:val="Normal"/>
    <w:rsid w:val="00F669FA"/>
    <w:rPr>
      <w:rFonts w:ascii="Times New Roman" w:hAnsi="Times New Roman" w:cs="Times New Roman"/>
      <w:sz w:val="24"/>
      <w:u w:val="single"/>
    </w:rPr>
  </w:style>
  <w:style w:type="character" w:customStyle="1" w:styleId="apple-converted-space">
    <w:name w:val="apple-converted-space"/>
    <w:basedOn w:val="DefaultParagraphFont"/>
    <w:rsid w:val="00F669FA"/>
  </w:style>
  <w:style w:type="paragraph" w:styleId="FootnoteText">
    <w:name w:val="footnote text"/>
    <w:basedOn w:val="Normal"/>
    <w:link w:val="FootnoteTextChar"/>
    <w:uiPriority w:val="99"/>
    <w:qFormat/>
    <w:rsid w:val="00F669FA"/>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F669FA"/>
    <w:rPr>
      <w:rFonts w:ascii="Times New Roman" w:eastAsiaTheme="minorHAnsi" w:hAnsi="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669FA"/>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F669FA"/>
    <w:rPr>
      <w:rFonts w:ascii="Times New Roman" w:hAnsi="Times New Roman"/>
      <w:sz w:val="24"/>
      <w:u w:val="single"/>
    </w:rPr>
  </w:style>
  <w:style w:type="character" w:customStyle="1" w:styleId="Minimize">
    <w:name w:val="Minimize"/>
    <w:basedOn w:val="Maximize"/>
    <w:qFormat/>
    <w:rsid w:val="00F669FA"/>
    <w:rPr>
      <w:rFonts w:ascii="Times New Roman" w:hAnsi="Times New Roman"/>
      <w:sz w:val="12"/>
      <w:u w:val="none"/>
    </w:rPr>
  </w:style>
  <w:style w:type="paragraph" w:customStyle="1" w:styleId="Standard">
    <w:name w:val="Standard"/>
    <w:rsid w:val="00F669FA"/>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F669FA"/>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669FA"/>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no read Char,Big card Char,Normal Tag Char,body Char,small text Char,Tag1 Char,heading 2 Char,Heading 2 Char2 Char Char,Heading 2 Char1 Char Char Char,Heading 2 Char Char Char Char Char,TAG Char, Ch Char,Ch Char,No Spacing12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F669FA"/>
    <w:pPr>
      <w:numPr>
        <w:numId w:val="5"/>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 Char1 Char Char,Heading 2 Char2 Char1,Heading 2 Char1 Char Char1,Heading 2 Char Char Char Char1"/>
    <w:link w:val="tag"/>
    <w:rsid w:val="00F669FA"/>
    <w:rPr>
      <w:rFonts w:ascii="Times New Roman" w:eastAsia="Cambria" w:hAnsi="Times New Roman" w:cs="Times New Roman"/>
      <w:b/>
      <w:sz w:val="26"/>
      <w:szCs w:val="22"/>
      <w:lang w:eastAsia="ja-JP"/>
    </w:rPr>
  </w:style>
  <w:style w:type="paragraph" w:customStyle="1" w:styleId="CitationCharChar">
    <w:name w:val="Citation Char Char"/>
    <w:basedOn w:val="Normal"/>
    <w:link w:val="StyleBoldUnderline"/>
    <w:uiPriority w:val="5"/>
    <w:rsid w:val="00F669FA"/>
    <w:pPr>
      <w:ind w:left="1440" w:right="1440"/>
    </w:pPr>
    <w:rPr>
      <w:rFonts w:asciiTheme="minorHAnsi" w:hAnsiTheme="minorHAns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F669FA"/>
    <w:rPr>
      <w:rFonts w:ascii="Times New Roman" w:hAnsi="Times New Roman"/>
      <w:b/>
      <w:sz w:val="24"/>
    </w:rPr>
  </w:style>
  <w:style w:type="paragraph" w:customStyle="1" w:styleId="card">
    <w:name w:val="card"/>
    <w:basedOn w:val="Normal"/>
    <w:next w:val="Normal"/>
    <w:link w:val="cardChar"/>
    <w:uiPriority w:val="6"/>
    <w:qFormat/>
    <w:rsid w:val="00F669F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uiPriority w:val="6"/>
    <w:rsid w:val="00F669FA"/>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F669FA"/>
    <w:rPr>
      <w:b/>
      <w:u w:val="single"/>
    </w:rPr>
  </w:style>
  <w:style w:type="paragraph" w:customStyle="1" w:styleId="textbold">
    <w:name w:val="text bold"/>
    <w:basedOn w:val="Normal"/>
    <w:link w:val="underline"/>
    <w:qFormat/>
    <w:rsid w:val="00F669FA"/>
    <w:pPr>
      <w:ind w:left="720"/>
      <w:jc w:val="both"/>
    </w:pPr>
    <w:rPr>
      <w:rFonts w:asciiTheme="minorHAnsi" w:hAnsiTheme="minorHAnsi"/>
      <w:b/>
      <w:sz w:val="24"/>
      <w:u w:val="single"/>
    </w:rPr>
  </w:style>
  <w:style w:type="character" w:styleId="FootnoteReference">
    <w:name w:val="footnote reference"/>
    <w:basedOn w:val="DefaultParagraphFont"/>
    <w:unhideWhenUsed/>
    <w:rsid w:val="00F669FA"/>
    <w:rPr>
      <w:vertAlign w:val="superscript"/>
    </w:rPr>
  </w:style>
  <w:style w:type="paragraph" w:customStyle="1" w:styleId="Read">
    <w:name w:val="Read"/>
    <w:basedOn w:val="Normal"/>
    <w:rsid w:val="00F669FA"/>
    <w:rPr>
      <w:rFonts w:ascii="Times New Roman" w:hAnsi="Times New Roman" w:cs="Times New Roman"/>
      <w:sz w:val="24"/>
      <w:u w:val="single"/>
    </w:rPr>
  </w:style>
  <w:style w:type="character" w:customStyle="1" w:styleId="apple-converted-space">
    <w:name w:val="apple-converted-space"/>
    <w:basedOn w:val="DefaultParagraphFont"/>
    <w:rsid w:val="00F669FA"/>
  </w:style>
  <w:style w:type="paragraph" w:styleId="FootnoteText">
    <w:name w:val="footnote text"/>
    <w:basedOn w:val="Normal"/>
    <w:link w:val="FootnoteTextChar"/>
    <w:uiPriority w:val="99"/>
    <w:qFormat/>
    <w:rsid w:val="00F669FA"/>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F669FA"/>
    <w:rPr>
      <w:rFonts w:ascii="Times New Roman" w:eastAsiaTheme="minorHAnsi" w:hAnsi="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669FA"/>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F669FA"/>
    <w:rPr>
      <w:rFonts w:ascii="Times New Roman" w:hAnsi="Times New Roman"/>
      <w:sz w:val="24"/>
      <w:u w:val="single"/>
    </w:rPr>
  </w:style>
  <w:style w:type="character" w:customStyle="1" w:styleId="Minimize">
    <w:name w:val="Minimize"/>
    <w:basedOn w:val="Maximize"/>
    <w:qFormat/>
    <w:rsid w:val="00F669FA"/>
    <w:rPr>
      <w:rFonts w:ascii="Times New Roman" w:hAnsi="Times New Roman"/>
      <w:sz w:val="12"/>
      <w:u w:val="none"/>
    </w:rPr>
  </w:style>
  <w:style w:type="paragraph" w:customStyle="1" w:styleId="Standard">
    <w:name w:val="Standard"/>
    <w:rsid w:val="00F669FA"/>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F669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holarship.law.berkeley.edu/californialawreview/vol70/iss4/10" TargetMode="External"/><Relationship Id="rId9" Type="http://schemas.openxmlformats.org/officeDocument/2006/relationships/hyperlink" Target="http://scholarship.law.berkeley.edu/californialawreview/vol70/iss4/1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placid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7</Pages>
  <Words>1180</Words>
  <Characters>6727</Characters>
  <Application>Microsoft Macintosh Word</Application>
  <DocSecurity>0</DocSecurity>
  <Lines>56</Lines>
  <Paragraphs>15</Paragraphs>
  <ScaleCrop>false</ScaleCrop>
  <Company>Whitman College</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Placido</dc:creator>
  <cp:keywords/>
  <dc:description/>
  <cp:lastModifiedBy>Tom Placido</cp:lastModifiedBy>
  <cp:revision>1</cp:revision>
  <dcterms:created xsi:type="dcterms:W3CDTF">2013-12-06T19:20:00Z</dcterms:created>
  <dcterms:modified xsi:type="dcterms:W3CDTF">2013-12-06T19:33:00Z</dcterms:modified>
</cp:coreProperties>
</file>