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4A0ED" w14:textId="4EDE8009" w:rsidR="00BD388F" w:rsidRDefault="00BD388F" w:rsidP="00BD388F">
      <w:pPr>
        <w:pStyle w:val="Heading3"/>
      </w:pPr>
      <w:proofErr w:type="spellStart"/>
      <w:r>
        <w:t>Contractarianism</w:t>
      </w:r>
      <w:proofErr w:type="spellEnd"/>
      <w:r>
        <w:t xml:space="preserve"> NC</w:t>
      </w:r>
    </w:p>
    <w:p w14:paraId="21233B90" w14:textId="77777777" w:rsidR="00BD388F" w:rsidRPr="00BD388F" w:rsidRDefault="00043B25" w:rsidP="00BD388F">
      <w:pPr>
        <w:pStyle w:val="Heading4"/>
      </w:pPr>
      <w:r w:rsidRPr="00BD388F">
        <w:t>Morality as a guide to actio</w:t>
      </w:r>
      <w:r w:rsidR="00BD388F" w:rsidRPr="00BD388F">
        <w:t>n must be internally motivating</w:t>
      </w:r>
    </w:p>
    <w:p w14:paraId="209A0E3C" w14:textId="540F4470" w:rsidR="00BD388F" w:rsidRPr="00BD388F" w:rsidRDefault="00043B25" w:rsidP="00BD388F">
      <w:r w:rsidRPr="00BD388F">
        <w:rPr>
          <w:rStyle w:val="StyleStyleBold12pt"/>
        </w:rPr>
        <w:t>Katsafanas</w:t>
      </w:r>
      <w:r w:rsidR="00BD388F" w:rsidRPr="00BD388F">
        <w:rPr>
          <w:rStyle w:val="StyleStyleBold12pt"/>
        </w:rPr>
        <w:t>,</w:t>
      </w:r>
      <w:r w:rsidR="00BD388F">
        <w:t xml:space="preserve"> </w:t>
      </w:r>
      <w:r w:rsidR="00BD388F" w:rsidRPr="00BD388F">
        <w:rPr>
          <w:szCs w:val="22"/>
        </w:rPr>
        <w:t>Paul Katsafanas, “DERIVING ETHICS FROM ACTION: A NIETZSCHEAN VERSION OF CONSTITUTIVISM”, 2011</w:t>
      </w:r>
    </w:p>
    <w:p w14:paraId="215A023A" w14:textId="77777777" w:rsidR="00BD388F" w:rsidRPr="00BD388F" w:rsidRDefault="00BD388F" w:rsidP="00BD388F"/>
    <w:p w14:paraId="62533334" w14:textId="77777777" w:rsidR="00BD388F" w:rsidRPr="00BD388F" w:rsidRDefault="00043B25" w:rsidP="00BD388F">
      <w:r w:rsidRPr="00BD388F">
        <w:t xml:space="preserve">While externalism captures the non-optional status of moral claims, it faces several </w:t>
      </w:r>
    </w:p>
    <w:p w14:paraId="31395CBE" w14:textId="77777777" w:rsidR="00BD388F" w:rsidRPr="00BD388F" w:rsidRDefault="00BD388F" w:rsidP="00BD388F">
      <w:r w:rsidRPr="00BD388F">
        <w:t>AND</w:t>
      </w:r>
    </w:p>
    <w:p w14:paraId="5415FD08" w14:textId="2CE03AB7" w:rsidR="00043B25" w:rsidRPr="00BD388F" w:rsidRDefault="00043B25" w:rsidP="00BD388F">
      <w:proofErr w:type="gramStart"/>
      <w:r w:rsidRPr="00BD388F">
        <w:t>not</w:t>
      </w:r>
      <w:proofErr w:type="gramEnd"/>
      <w:r w:rsidRPr="00BD388F">
        <w:t xml:space="preserve"> murdering. And this pushes us back in the direction of </w:t>
      </w:r>
      <w:proofErr w:type="spellStart"/>
      <w:r w:rsidRPr="00BD388F">
        <w:t>internalism</w:t>
      </w:r>
      <w:proofErr w:type="spellEnd"/>
      <w:r w:rsidRPr="00BD388F">
        <w:t>.</w:t>
      </w:r>
    </w:p>
    <w:p w14:paraId="6A98FCB6" w14:textId="77777777" w:rsidR="00043B25" w:rsidRPr="00BD388F" w:rsidRDefault="00043B25" w:rsidP="00043B25">
      <w:pPr>
        <w:pStyle w:val="Default"/>
        <w:rPr>
          <w:rFonts w:ascii="Calibri" w:hAnsi="Calibri" w:cs="Times New Roman"/>
        </w:rPr>
      </w:pPr>
      <w:r w:rsidRPr="00BD388F">
        <w:rPr>
          <w:rFonts w:ascii="Calibri" w:hAnsi="Calibri" w:cs="Times New Roman"/>
        </w:rPr>
        <w:softHyphen/>
      </w:r>
    </w:p>
    <w:p w14:paraId="0A23C609" w14:textId="74F8AE96" w:rsidR="00043B25" w:rsidRPr="00BD388F" w:rsidRDefault="00043B25" w:rsidP="00BD388F">
      <w:pPr>
        <w:pStyle w:val="Heading4"/>
      </w:pPr>
      <w:r w:rsidRPr="00BD388F">
        <w:t>And, there is no overarching rational moral truth - two incompatible maxims can be rational for different agents in different circumstances</w:t>
      </w:r>
      <w:r w:rsidR="00BD388F" w:rsidRPr="00BD388F">
        <w:t>.</w:t>
      </w:r>
    </w:p>
    <w:p w14:paraId="1970FAAC" w14:textId="7C64B3D7" w:rsidR="00043B25" w:rsidRDefault="00BD388F" w:rsidP="00BD388F">
      <w:r w:rsidRPr="00BD388F">
        <w:rPr>
          <w:rStyle w:val="StyleStyleBold12pt"/>
        </w:rPr>
        <w:t>Kelley,</w:t>
      </w:r>
      <w:r>
        <w:t xml:space="preserve"> </w:t>
      </w:r>
      <w:r w:rsidR="00043B25" w:rsidRPr="00BD388F">
        <w:t xml:space="preserve">Normativity and </w:t>
      </w:r>
      <w:proofErr w:type="spellStart"/>
      <w:r w:rsidR="00043B25" w:rsidRPr="00BD388F">
        <w:t>MotivationAuthor</w:t>
      </w:r>
      <w:proofErr w:type="spellEnd"/>
      <w:r w:rsidR="00043B25" w:rsidRPr="00BD388F">
        <w:t>(s): Leigh B. Kelley</w:t>
      </w:r>
      <w:r>
        <w:t xml:space="preserve">, </w:t>
      </w:r>
      <w:r w:rsidR="00043B25" w:rsidRPr="00BD388F">
        <w:t>Reviewed work(s)</w:t>
      </w:r>
      <w:proofErr w:type="gramStart"/>
      <w:r w:rsidR="00043B25" w:rsidRPr="00BD388F">
        <w:t>:Source</w:t>
      </w:r>
      <w:proofErr w:type="gramEnd"/>
      <w:r w:rsidR="00043B25" w:rsidRPr="00BD388F">
        <w:t xml:space="preserve">: Philosophy and Phenomenological Research, Vol. 51, No. 4 (Dec., 1991), pp. 739-775Published by: International Phenomenological </w:t>
      </w:r>
      <w:proofErr w:type="spellStart"/>
      <w:r w:rsidR="00043B25" w:rsidRPr="00BD388F">
        <w:t>SocietyStable</w:t>
      </w:r>
      <w:proofErr w:type="spellEnd"/>
      <w:r w:rsidR="00043B25" w:rsidRPr="00BD388F">
        <w:t xml:space="preserve"> URL: </w:t>
      </w:r>
      <w:hyperlink r:id="rId8" w:history="1">
        <w:r w:rsidR="00043B25" w:rsidRPr="00BD388F">
          <w:t>http://www.jstor.org/stable/2108181</w:t>
        </w:r>
      </w:hyperlink>
    </w:p>
    <w:p w14:paraId="68C16A28" w14:textId="77777777" w:rsidR="00BD388F" w:rsidRPr="00BD388F" w:rsidRDefault="00BD388F" w:rsidP="00BD388F"/>
    <w:p w14:paraId="7F78812A" w14:textId="77777777" w:rsidR="00BD388F" w:rsidRPr="00BD388F" w:rsidRDefault="00043B25" w:rsidP="00BD388F">
      <w:r w:rsidRPr="00BD388F">
        <w:t xml:space="preserve"> Though they may be wrong, many theorists have shared the notion that, </w:t>
      </w:r>
    </w:p>
    <w:p w14:paraId="175428B1" w14:textId="77777777" w:rsidR="00BD388F" w:rsidRPr="00BD388F" w:rsidRDefault="00BD388F" w:rsidP="00BD388F">
      <w:r w:rsidRPr="00BD388F">
        <w:t>AND</w:t>
      </w:r>
    </w:p>
    <w:p w14:paraId="1E4D6331" w14:textId="4D0015E1" w:rsidR="00043B25" w:rsidRPr="00BD388F" w:rsidRDefault="00043B25" w:rsidP="00BD388F">
      <w:proofErr w:type="gramStart"/>
      <w:r w:rsidRPr="00BD388F">
        <w:t>a</w:t>
      </w:r>
      <w:proofErr w:type="gramEnd"/>
      <w:r w:rsidRPr="00BD388F">
        <w:t xml:space="preserve"> preference contrary to his, and be fully justified in doing so.</w:t>
      </w:r>
    </w:p>
    <w:p w14:paraId="19E305F3" w14:textId="77777777" w:rsidR="00503FAC" w:rsidRPr="00BD388F" w:rsidRDefault="00503FAC" w:rsidP="00EF734D">
      <w:pPr>
        <w:rPr>
          <w:sz w:val="16"/>
        </w:rPr>
      </w:pPr>
    </w:p>
    <w:p w14:paraId="3F391788" w14:textId="77777777" w:rsidR="00BD388F" w:rsidRPr="00BD388F" w:rsidRDefault="00503FAC" w:rsidP="00BD388F">
      <w:pPr>
        <w:pStyle w:val="Heading4"/>
      </w:pPr>
      <w:r w:rsidRPr="00BD388F">
        <w:t xml:space="preserve">Thus moral theories must appeal to internal reasons people have for action. This requires a system of ethics where the principles meet each agent’s self-interest. </w:t>
      </w:r>
      <w:r w:rsidR="00043B25" w:rsidRPr="00BD388F">
        <w:t xml:space="preserve">That requires </w:t>
      </w:r>
      <w:proofErr w:type="spellStart"/>
      <w:r w:rsidR="00043B25" w:rsidRPr="00BD388F">
        <w:t>contractarianism</w:t>
      </w:r>
      <w:proofErr w:type="spellEnd"/>
      <w:r w:rsidR="00BD388F" w:rsidRPr="00BD388F">
        <w:t>.</w:t>
      </w:r>
    </w:p>
    <w:p w14:paraId="73330642" w14:textId="66F1190A" w:rsidR="00503FAC" w:rsidRPr="00BD388F" w:rsidRDefault="00BD388F" w:rsidP="00BD388F">
      <w:r w:rsidRPr="00BD388F">
        <w:rPr>
          <w:rStyle w:val="StyleStyleBold12pt"/>
        </w:rPr>
        <w:t>Gauthier,</w:t>
      </w:r>
      <w:r w:rsidR="00503FAC" w:rsidRPr="00BD388F">
        <w:t xml:space="preserve"> Gauthier, David. “Political </w:t>
      </w:r>
      <w:proofErr w:type="spellStart"/>
      <w:r w:rsidR="00503FAC" w:rsidRPr="00BD388F">
        <w:t>Contractarianism</w:t>
      </w:r>
      <w:proofErr w:type="spellEnd"/>
      <w:r w:rsidR="00503FAC" w:rsidRPr="00BD388F">
        <w:t xml:space="preserve">.” </w:t>
      </w:r>
      <w:proofErr w:type="gramStart"/>
      <w:r w:rsidR="00503FAC" w:rsidRPr="00BD388F">
        <w:t>The Journal of Political Philosophy, 1997.</w:t>
      </w:r>
      <w:proofErr w:type="gramEnd"/>
    </w:p>
    <w:p w14:paraId="7EF87DB9" w14:textId="77777777" w:rsidR="00BD388F" w:rsidRPr="00BD388F" w:rsidRDefault="00503FAC" w:rsidP="00BD388F">
      <w:r w:rsidRPr="00BD388F">
        <w:t xml:space="preserve">The idea of agreement among hypothetical deliberators choosing their terms of interaction may seem too </w:t>
      </w:r>
    </w:p>
    <w:p w14:paraId="6B50F871" w14:textId="77777777" w:rsidR="00BD388F" w:rsidRPr="00BD388F" w:rsidRDefault="00BD388F" w:rsidP="00BD388F">
      <w:r w:rsidRPr="00BD388F">
        <w:t>AND</w:t>
      </w:r>
    </w:p>
    <w:p w14:paraId="078418ED" w14:textId="1DFC18D2" w:rsidR="00503FAC" w:rsidRPr="00BD388F" w:rsidRDefault="00503FAC" w:rsidP="00BD388F">
      <w:proofErr w:type="gramStart"/>
      <w:r w:rsidRPr="00BD388F">
        <w:t>of</w:t>
      </w:r>
      <w:proofErr w:type="gramEnd"/>
      <w:r w:rsidRPr="00BD388F">
        <w:t xml:space="preserve"> being included in an agreement by demanding better terms than his fellows. </w:t>
      </w:r>
    </w:p>
    <w:p w14:paraId="71BCF4D1" w14:textId="77777777" w:rsidR="00503FAC" w:rsidRPr="00BD388F" w:rsidRDefault="00503FAC" w:rsidP="00EF734D">
      <w:pPr>
        <w:rPr>
          <w:sz w:val="16"/>
        </w:rPr>
      </w:pPr>
    </w:p>
    <w:p w14:paraId="0EDED4FF" w14:textId="77777777" w:rsidR="00BD388F" w:rsidRPr="00BD388F" w:rsidRDefault="00503FAC" w:rsidP="00BD388F">
      <w:pPr>
        <w:pStyle w:val="Heading4"/>
      </w:pPr>
      <w:bookmarkStart w:id="0" w:name="_GoBack"/>
      <w:r w:rsidRPr="00BD388F">
        <w:t xml:space="preserve">Thus the standard is consistency with </w:t>
      </w:r>
      <w:proofErr w:type="spellStart"/>
      <w:r w:rsidRPr="00BD388F">
        <w:t>contractarian</w:t>
      </w:r>
      <w:proofErr w:type="spellEnd"/>
      <w:r w:rsidRPr="00BD388F">
        <w:t xml:space="preserve"> systems of mutual restraint. Prefer it since only </w:t>
      </w:r>
      <w:proofErr w:type="spellStart"/>
      <w:r w:rsidRPr="00BD388F">
        <w:t>contractarianism</w:t>
      </w:r>
      <w:proofErr w:type="spellEnd"/>
      <w:r w:rsidRPr="00BD388F">
        <w:t xml:space="preserve"> can create a non-circular system of moralit</w:t>
      </w:r>
      <w:r w:rsidR="00BD388F" w:rsidRPr="00BD388F">
        <w:t>y.</w:t>
      </w:r>
    </w:p>
    <w:bookmarkEnd w:id="0"/>
    <w:p w14:paraId="64FA22A3" w14:textId="060775F3" w:rsidR="00503FAC" w:rsidRPr="00BD388F" w:rsidRDefault="00BD388F" w:rsidP="00BD388F">
      <w:r w:rsidRPr="00BD388F">
        <w:rPr>
          <w:rStyle w:val="StyleStyleBold12pt"/>
        </w:rPr>
        <w:t>Gauthier 2,</w:t>
      </w:r>
      <w:r w:rsidRPr="00BD388F">
        <w:t xml:space="preserve"> </w:t>
      </w:r>
      <w:r w:rsidR="00503FAC" w:rsidRPr="00BD388F">
        <w:t>Gauthier, David P. Morals by Agreement. Oxford: Clarendon, 1986. Print.</w:t>
      </w:r>
    </w:p>
    <w:p w14:paraId="198B0623" w14:textId="00CA338A" w:rsidR="00BD388F" w:rsidRPr="00BD388F" w:rsidRDefault="00503FAC" w:rsidP="00BD388F">
      <w:r w:rsidRPr="00BD388F">
        <w:t xml:space="preserve">A </w:t>
      </w:r>
      <w:proofErr w:type="spellStart"/>
      <w:r w:rsidRPr="00BD388F">
        <w:t>contractarian</w:t>
      </w:r>
      <w:proofErr w:type="spellEnd"/>
      <w:r w:rsidRPr="00BD388F">
        <w:t xml:space="preserve"> theory of morals, developed as part of the theory </w:t>
      </w:r>
    </w:p>
    <w:p w14:paraId="469943C8" w14:textId="77777777" w:rsidR="00BD388F" w:rsidRPr="00BD388F" w:rsidRDefault="00BD388F" w:rsidP="00BD388F">
      <w:r w:rsidRPr="00BD388F">
        <w:t>AND</w:t>
      </w:r>
    </w:p>
    <w:p w14:paraId="6B0FAFBD" w14:textId="0577237E" w:rsidR="00503FAC" w:rsidRPr="00BD388F" w:rsidRDefault="00503FAC" w:rsidP="00BD388F">
      <w:proofErr w:type="gramStart"/>
      <w:r w:rsidRPr="00BD388F">
        <w:t>action</w:t>
      </w:r>
      <w:proofErr w:type="gramEnd"/>
      <w:r w:rsidRPr="00BD388F">
        <w:t>, from a non-moral, or morally neutral, base.</w:t>
      </w:r>
    </w:p>
    <w:p w14:paraId="53D5CE69" w14:textId="77777777" w:rsidR="00503FAC" w:rsidRPr="00BD388F" w:rsidRDefault="00503FAC" w:rsidP="00EF734D">
      <w:pPr>
        <w:rPr>
          <w:sz w:val="16"/>
        </w:rPr>
      </w:pPr>
    </w:p>
    <w:p w14:paraId="4C5C6996" w14:textId="77777777" w:rsidR="00503FAC" w:rsidRPr="00BD388F" w:rsidRDefault="001B0BA3" w:rsidP="00BD388F">
      <w:pPr>
        <w:pStyle w:val="Heading4"/>
      </w:pPr>
      <w:r w:rsidRPr="00BD388F">
        <w:t>I contend the topic is not within mutual self-interest.</w:t>
      </w:r>
    </w:p>
    <w:p w14:paraId="104B785C" w14:textId="77777777" w:rsidR="001B0BA3" w:rsidRPr="00BD388F" w:rsidRDefault="001B0BA3" w:rsidP="00EF734D"/>
    <w:p w14:paraId="3A55253C" w14:textId="16594A97" w:rsidR="001B0BA3" w:rsidRDefault="001B0BA3" w:rsidP="00EF734D">
      <w:r w:rsidRPr="00BD388F">
        <w:rPr>
          <w:rStyle w:val="StyleStyleBold12pt"/>
        </w:rPr>
        <w:t>First,</w:t>
      </w:r>
      <w:r w:rsidRPr="00BD388F">
        <w:t xml:space="preserve"> mutual restraint assumes that the two parties in agreement negotiated on a level playing </w:t>
      </w:r>
      <w:proofErr w:type="gramStart"/>
      <w:r w:rsidRPr="00BD388F">
        <w:t>field,</w:t>
      </w:r>
      <w:proofErr w:type="gramEnd"/>
      <w:r w:rsidRPr="00BD388F">
        <w:t xml:space="preserve"> else the party with less power could not expect mutual benefit.</w:t>
      </w:r>
    </w:p>
    <w:p w14:paraId="7A8F52A7" w14:textId="055412E0" w:rsidR="00BD388F" w:rsidRPr="00BD388F" w:rsidRDefault="00BD388F" w:rsidP="00EF734D">
      <w:proofErr w:type="gramStart"/>
      <w:r>
        <w:lastRenderedPageBreak/>
        <w:t>. .</w:t>
      </w:r>
      <w:proofErr w:type="gramEnd"/>
      <w:r>
        <w:t xml:space="preserve"> .</w:t>
      </w:r>
    </w:p>
    <w:p w14:paraId="6F823108" w14:textId="77777777" w:rsidR="001B0BA3" w:rsidRPr="00BD388F" w:rsidRDefault="001B0BA3" w:rsidP="00EF734D"/>
    <w:p w14:paraId="709FEF9F" w14:textId="1F1340D4" w:rsidR="001B0BA3" w:rsidRDefault="001B0BA3" w:rsidP="00EF734D">
      <w:r w:rsidRPr="00BD388F">
        <w:rPr>
          <w:rStyle w:val="StyleStyleBold12pt"/>
        </w:rPr>
        <w:t>Second,</w:t>
      </w:r>
      <w:r w:rsidRPr="00BD388F">
        <w:t xml:space="preserve"> disclosing info protected by confidentiality would not be mutually beneficial since it could onl</w:t>
      </w:r>
      <w:r w:rsidR="00BD388F">
        <w:t>y possibly help the prosecutor.</w:t>
      </w:r>
    </w:p>
    <w:p w14:paraId="5FECEB7F" w14:textId="77777777" w:rsidR="00BD388F" w:rsidRDefault="00BD388F" w:rsidP="00EF734D"/>
    <w:p w14:paraId="40AAC8C0" w14:textId="72E44F61" w:rsidR="00BD388F" w:rsidRPr="00BD388F" w:rsidRDefault="00BD388F" w:rsidP="00EF734D">
      <w:proofErr w:type="gramStart"/>
      <w:r>
        <w:t>. .</w:t>
      </w:r>
      <w:proofErr w:type="gramEnd"/>
      <w:r>
        <w:t xml:space="preserve"> . </w:t>
      </w:r>
    </w:p>
    <w:p w14:paraId="42B8A05F" w14:textId="77777777" w:rsidR="001B0BA3" w:rsidRPr="00BD388F" w:rsidRDefault="001B0BA3" w:rsidP="00EF734D"/>
    <w:p w14:paraId="3FED2EDC" w14:textId="39C4D422" w:rsidR="00947C40" w:rsidRDefault="001B0BA3" w:rsidP="00EF734D">
      <w:r w:rsidRPr="00BD388F">
        <w:rPr>
          <w:rStyle w:val="StyleStyleBold12pt"/>
        </w:rPr>
        <w:t>Third,</w:t>
      </w:r>
      <w:r w:rsidRPr="00BD388F">
        <w:t xml:space="preserve"> loss of attorney-client privilege </w:t>
      </w:r>
      <w:r w:rsidR="00C1151D" w:rsidRPr="00BD388F">
        <w:t xml:space="preserve">would mean individuals would never consult an attorney, given that there is always a risk that doing so would compromise </w:t>
      </w:r>
      <w:r w:rsidR="00BD388F">
        <w:t>their success in the courtroom.</w:t>
      </w:r>
    </w:p>
    <w:p w14:paraId="590BEE61" w14:textId="77777777" w:rsidR="00BD388F" w:rsidRDefault="00BD388F" w:rsidP="00EF734D"/>
    <w:p w14:paraId="4F0AEE79" w14:textId="716B74CA" w:rsidR="00BD388F" w:rsidRPr="00BD388F" w:rsidRDefault="00BD388F" w:rsidP="00EF734D">
      <w:proofErr w:type="gramStart"/>
      <w:r>
        <w:t>. .</w:t>
      </w:r>
      <w:proofErr w:type="gramEnd"/>
      <w:r>
        <w:t xml:space="preserve"> . </w:t>
      </w:r>
    </w:p>
    <w:p w14:paraId="092B794E" w14:textId="77777777" w:rsidR="004172D8" w:rsidRDefault="004172D8" w:rsidP="00EF734D"/>
    <w:p w14:paraId="48E2AE3D" w14:textId="1C11F6F8" w:rsidR="00BD388F" w:rsidRDefault="00BD388F" w:rsidP="00BD388F">
      <w:pPr>
        <w:pStyle w:val="Heading3"/>
      </w:pPr>
      <w:r>
        <w:lastRenderedPageBreak/>
        <w:t>Tax DA</w:t>
      </w:r>
    </w:p>
    <w:p w14:paraId="3B433340" w14:textId="77777777" w:rsidR="00BD388F" w:rsidRPr="00BD388F" w:rsidRDefault="00BD388F" w:rsidP="00BD388F"/>
    <w:p w14:paraId="63D94E78" w14:textId="2DBB1B62" w:rsidR="004172D8" w:rsidRPr="00BD388F" w:rsidRDefault="004172D8" w:rsidP="00BD388F">
      <w:pPr>
        <w:pStyle w:val="Heading4"/>
      </w:pPr>
      <w:r w:rsidRPr="00BD388F">
        <w:t>A: Uniqueness: Uncertainty about QE3 and inflationary pressures have placed the economy on the brink—shocks to the recovery process will push it over the brink.</w:t>
      </w:r>
    </w:p>
    <w:p w14:paraId="22A44715" w14:textId="5D441C6F" w:rsidR="004172D8" w:rsidRDefault="00BD388F" w:rsidP="00BD388F">
      <w:proofErr w:type="spellStart"/>
      <w:r w:rsidRPr="00BD388F">
        <w:rPr>
          <w:rStyle w:val="StyleStyleBold12pt"/>
        </w:rPr>
        <w:t>Mirhaydari</w:t>
      </w:r>
      <w:proofErr w:type="spellEnd"/>
      <w:r w:rsidRPr="00BD388F">
        <w:rPr>
          <w:rStyle w:val="StyleStyleBold12pt"/>
        </w:rPr>
        <w:t xml:space="preserve"> 13,</w:t>
      </w:r>
      <w:r w:rsidR="004172D8" w:rsidRPr="00BD388F">
        <w:t xml:space="preserve"> Anthony </w:t>
      </w:r>
      <w:proofErr w:type="spellStart"/>
      <w:r w:rsidR="004172D8" w:rsidRPr="00BD388F">
        <w:t>Mirhaydari</w:t>
      </w:r>
      <w:proofErr w:type="spellEnd"/>
      <w:r w:rsidR="004172D8" w:rsidRPr="00BD388F">
        <w:t xml:space="preserve">. </w:t>
      </w:r>
      <w:proofErr w:type="gramStart"/>
      <w:r w:rsidR="004172D8" w:rsidRPr="00BD388F">
        <w:t xml:space="preserve">Previously, senior research analyst with </w:t>
      </w:r>
      <w:proofErr w:type="spellStart"/>
      <w:r w:rsidR="004172D8" w:rsidRPr="00BD388F">
        <w:t>Markman</w:t>
      </w:r>
      <w:proofErr w:type="spellEnd"/>
      <w:r w:rsidR="004172D8" w:rsidRPr="00BD388F">
        <w:t xml:space="preserve"> Capital Insight.</w:t>
      </w:r>
      <w:proofErr w:type="gramEnd"/>
      <w:r w:rsidR="004172D8" w:rsidRPr="00BD388F">
        <w:t xml:space="preserve"> “Kiss the dollar goodbye.” Market Watch. </w:t>
      </w:r>
      <w:proofErr w:type="gramStart"/>
      <w:r w:rsidR="004172D8" w:rsidRPr="00BD388F">
        <w:t>The Wall Street Journal.</w:t>
      </w:r>
      <w:proofErr w:type="gramEnd"/>
      <w:r w:rsidR="004172D8" w:rsidRPr="00BD388F">
        <w:t xml:space="preserve"> 10/22/13. http://www.marketwatch.com/story/kiss-</w:t>
      </w:r>
      <w:r>
        <w:t>the-dollar-goodbye-2013-10-22</w:t>
      </w:r>
    </w:p>
    <w:p w14:paraId="426C6B9C" w14:textId="77777777" w:rsidR="00BD388F" w:rsidRPr="00BD388F" w:rsidRDefault="00BD388F" w:rsidP="00BD388F"/>
    <w:p w14:paraId="03429A16" w14:textId="77777777" w:rsidR="00BD388F" w:rsidRPr="00BD388F" w:rsidRDefault="004172D8" w:rsidP="00BD388F">
      <w:r w:rsidRPr="00BD388F">
        <w:t>And thanks to constant reassurances from Federal Reserve officials, and Tuesday’s weaker-than</w:t>
      </w:r>
    </w:p>
    <w:p w14:paraId="733ADDF1" w14:textId="77777777" w:rsidR="00BD388F" w:rsidRPr="00BD388F" w:rsidRDefault="00BD388F" w:rsidP="00BD388F">
      <w:r w:rsidRPr="00BD388F">
        <w:t>AND</w:t>
      </w:r>
    </w:p>
    <w:p w14:paraId="1347C347" w14:textId="34616927" w:rsidR="004172D8" w:rsidRPr="00BD388F" w:rsidRDefault="004172D8" w:rsidP="00BD388F">
      <w:proofErr w:type="gramStart"/>
      <w:r w:rsidRPr="00BD388F">
        <w:t>where</w:t>
      </w:r>
      <w:proofErr w:type="gramEnd"/>
      <w:r w:rsidRPr="00BD388F">
        <w:t xml:space="preserve"> you can track the recommendations made in my blogs and columns.</w:t>
      </w:r>
    </w:p>
    <w:p w14:paraId="431B3BAE" w14:textId="77777777" w:rsidR="004172D8" w:rsidRPr="00BD388F" w:rsidRDefault="004172D8" w:rsidP="004172D8"/>
    <w:p w14:paraId="06CD6798" w14:textId="0FF9537F" w:rsidR="004172D8" w:rsidRPr="00BD388F" w:rsidRDefault="004172D8" w:rsidP="00BD388F">
      <w:pPr>
        <w:pStyle w:val="Heading4"/>
      </w:pPr>
      <w:r w:rsidRPr="00BD388F">
        <w:t xml:space="preserve">B. Link - And, strong ACP is key to tax code credibility and collection of revenue. </w:t>
      </w:r>
    </w:p>
    <w:p w14:paraId="110BDC7B" w14:textId="77777777" w:rsidR="004172D8" w:rsidRDefault="004172D8" w:rsidP="00BD388F">
      <w:proofErr w:type="spellStart"/>
      <w:r w:rsidRPr="00BD388F">
        <w:rPr>
          <w:rStyle w:val="StyleStyleBold12pt"/>
        </w:rPr>
        <w:t>Volz</w:t>
      </w:r>
      <w:proofErr w:type="spellEnd"/>
      <w:r w:rsidRPr="00BD388F">
        <w:rPr>
          <w:rStyle w:val="StyleStyleBold12pt"/>
        </w:rPr>
        <w:t xml:space="preserve"> and Ellis 9</w:t>
      </w:r>
      <w:r w:rsidRPr="00BD388F">
        <w:t xml:space="preserve"> (William, Professor of Business Law and Ethics at Wayne AN ATTORNEY-CLIENT PRIVILEGE FOR EMBATTLED TAX PRACTITIONERS: A LEGISLATIVE RESPONSE TO UNCERTAIN LEGAL COUNSEL</w:t>
      </w:r>
    </w:p>
    <w:p w14:paraId="180BC7B9" w14:textId="77777777" w:rsidR="00BD388F" w:rsidRPr="00BD388F" w:rsidRDefault="00BD388F" w:rsidP="00BD388F"/>
    <w:p w14:paraId="3C381547" w14:textId="77777777" w:rsidR="00BD388F" w:rsidRPr="00BD388F" w:rsidRDefault="004172D8" w:rsidP="00BD388F">
      <w:r w:rsidRPr="00BD388F">
        <w:t xml:space="preserve">The complexity of the tax system makes the premise that the attorney-client privilege </w:t>
      </w:r>
    </w:p>
    <w:p w14:paraId="461628F1" w14:textId="77777777" w:rsidR="00BD388F" w:rsidRPr="00BD388F" w:rsidRDefault="00BD388F" w:rsidP="00BD388F">
      <w:r w:rsidRPr="00BD388F">
        <w:t>AND</w:t>
      </w:r>
    </w:p>
    <w:p w14:paraId="0F161F3F" w14:textId="4E95060E" w:rsidR="004172D8" w:rsidRPr="00BD388F" w:rsidRDefault="004172D8" w:rsidP="00BD388F">
      <w:proofErr w:type="gramStart"/>
      <w:r w:rsidRPr="00BD388F">
        <w:t>system</w:t>
      </w:r>
      <w:proofErr w:type="gramEnd"/>
      <w:r w:rsidRPr="00BD388F">
        <w:t xml:space="preserve"> could do substantial harm to a system based on voluntary compliance.226</w:t>
      </w:r>
    </w:p>
    <w:p w14:paraId="5EB96F14" w14:textId="77777777" w:rsidR="004172D8" w:rsidRPr="00BD388F" w:rsidRDefault="004172D8" w:rsidP="004172D8"/>
    <w:p w14:paraId="0AE73F24" w14:textId="77777777" w:rsidR="004172D8" w:rsidRPr="00BD388F" w:rsidRDefault="004172D8" w:rsidP="00BD388F">
      <w:pPr>
        <w:pStyle w:val="Heading4"/>
      </w:pPr>
      <w:r w:rsidRPr="00BD388F">
        <w:t>C. Internal links</w:t>
      </w:r>
    </w:p>
    <w:p w14:paraId="646DF8A1" w14:textId="1A6CB231" w:rsidR="004172D8" w:rsidRPr="00BD388F" w:rsidRDefault="004172D8" w:rsidP="00BD388F">
      <w:pPr>
        <w:pStyle w:val="Heading4"/>
      </w:pPr>
      <w:r w:rsidRPr="00BD388F">
        <w:t>1 is small businesses.</w:t>
      </w:r>
    </w:p>
    <w:p w14:paraId="69E82D4D" w14:textId="77777777" w:rsidR="004172D8" w:rsidRDefault="004172D8" w:rsidP="00BD388F">
      <w:r w:rsidRPr="00BD388F">
        <w:rPr>
          <w:rStyle w:val="StyleStyleBold12pt"/>
        </w:rPr>
        <w:t>Graves 13</w:t>
      </w:r>
      <w:r w:rsidRPr="00BD388F">
        <w:t xml:space="preserve"> (Sam, US Representative for Missouri’s 6th congressional district, Chairman, Committee on Small Businesses) “Small businesses need tax reform” US Chamber of Commerce, Small Business Nation via Politico April 15</w:t>
      </w:r>
    </w:p>
    <w:p w14:paraId="56FCB8A6" w14:textId="77777777" w:rsidR="00BD388F" w:rsidRPr="00BD388F" w:rsidRDefault="00BD388F" w:rsidP="00BD388F"/>
    <w:p w14:paraId="1E918DED" w14:textId="77777777" w:rsidR="00BD388F" w:rsidRPr="00BD388F" w:rsidRDefault="004172D8" w:rsidP="00BD388F">
      <w:r w:rsidRPr="00BD388F">
        <w:t xml:space="preserve">Policymakers in Washington must take note of this. Tax complexity and inequity negatively affect </w:t>
      </w:r>
    </w:p>
    <w:p w14:paraId="50DD5346" w14:textId="77777777" w:rsidR="00BD388F" w:rsidRPr="00BD388F" w:rsidRDefault="00BD388F" w:rsidP="00BD388F">
      <w:r w:rsidRPr="00BD388F">
        <w:t>AND</w:t>
      </w:r>
    </w:p>
    <w:p w14:paraId="0B1EC3A2" w14:textId="50FE8FBE" w:rsidR="004172D8" w:rsidRPr="00BD388F" w:rsidRDefault="004172D8" w:rsidP="00BD388F">
      <w:proofErr w:type="gramStart"/>
      <w:r w:rsidRPr="00BD388F">
        <w:t>line</w:t>
      </w:r>
      <w:proofErr w:type="gramEnd"/>
      <w:r w:rsidRPr="00BD388F">
        <w:t xml:space="preserve">, hire a new employee or provide more in wages and benefits.” </w:t>
      </w:r>
    </w:p>
    <w:p w14:paraId="3643DD77" w14:textId="77777777" w:rsidR="004172D8" w:rsidRPr="00BD388F" w:rsidRDefault="004172D8" w:rsidP="004172D8"/>
    <w:p w14:paraId="6494003C" w14:textId="396DE9B3" w:rsidR="004172D8" w:rsidRPr="00BD388F" w:rsidRDefault="004172D8" w:rsidP="00BD388F">
      <w:pPr>
        <w:pStyle w:val="Heading4"/>
      </w:pPr>
      <w:r w:rsidRPr="00BD388F">
        <w:t xml:space="preserve">2 </w:t>
      </w:r>
      <w:proofErr w:type="gramStart"/>
      <w:r w:rsidRPr="00BD388F">
        <w:t>is</w:t>
      </w:r>
      <w:proofErr w:type="gramEnd"/>
      <w:r w:rsidRPr="00BD388F">
        <w:t xml:space="preserve"> revenue.</w:t>
      </w:r>
    </w:p>
    <w:p w14:paraId="1CD9EE1E" w14:textId="77777777" w:rsidR="004172D8" w:rsidRDefault="004172D8" w:rsidP="00BD388F">
      <w:proofErr w:type="spellStart"/>
      <w:r w:rsidRPr="00BD388F">
        <w:rPr>
          <w:rStyle w:val="StyleStyleBold12pt"/>
        </w:rPr>
        <w:t>Sollenberg</w:t>
      </w:r>
      <w:proofErr w:type="spellEnd"/>
      <w:r w:rsidRPr="00BD388F">
        <w:rPr>
          <w:rStyle w:val="StyleStyleBold12pt"/>
        </w:rPr>
        <w:t xml:space="preserve"> 13</w:t>
      </w:r>
      <w:r w:rsidRPr="00BD388F">
        <w:t xml:space="preserve"> (Dwayne, President at </w:t>
      </w:r>
      <w:proofErr w:type="spellStart"/>
      <w:r w:rsidRPr="00BD388F">
        <w:t>Sollenberger</w:t>
      </w:r>
      <w:proofErr w:type="spellEnd"/>
      <w:r w:rsidRPr="00BD388F">
        <w:t xml:space="preserve"> Accounting, served national, regional, and local CPA firms) “Tax revenue to play an important role in improvement of U.S. economy” </w:t>
      </w:r>
      <w:proofErr w:type="spellStart"/>
      <w:r w:rsidRPr="00BD388F">
        <w:t>Sollenberg</w:t>
      </w:r>
      <w:proofErr w:type="spellEnd"/>
      <w:r w:rsidRPr="00BD388F">
        <w:t xml:space="preserve"> Accounting</w:t>
      </w:r>
    </w:p>
    <w:p w14:paraId="48AB571C" w14:textId="77777777" w:rsidR="00BD388F" w:rsidRPr="00BD388F" w:rsidRDefault="00BD388F" w:rsidP="00BD388F"/>
    <w:p w14:paraId="08975537" w14:textId="77777777" w:rsidR="00BD388F" w:rsidRPr="00BD388F" w:rsidRDefault="004172D8" w:rsidP="00BD388F">
      <w:r w:rsidRPr="00BD388F">
        <w:t>The budget deficit in U.S. has created a stir amongst numerous economists</w:t>
      </w:r>
    </w:p>
    <w:p w14:paraId="723AB6DA" w14:textId="77777777" w:rsidR="00BD388F" w:rsidRPr="00BD388F" w:rsidRDefault="00BD388F" w:rsidP="00BD388F">
      <w:r w:rsidRPr="00BD388F">
        <w:t>AND</w:t>
      </w:r>
    </w:p>
    <w:p w14:paraId="6F90B316" w14:textId="5185C67A" w:rsidR="004172D8" w:rsidRPr="00BD388F" w:rsidRDefault="004172D8" w:rsidP="00BD388F">
      <w:proofErr w:type="gramStart"/>
      <w:r w:rsidRPr="00BD388F">
        <w:t>is</w:t>
      </w:r>
      <w:proofErr w:type="gramEnd"/>
      <w:r w:rsidRPr="00BD388F">
        <w:t xml:space="preserve"> going to recover it’s financial position again with low national debt. </w:t>
      </w:r>
    </w:p>
    <w:p w14:paraId="1D334A0E" w14:textId="77777777" w:rsidR="004172D8" w:rsidRPr="00BD388F" w:rsidRDefault="004172D8" w:rsidP="004172D8">
      <w:pPr>
        <w:rPr>
          <w:sz w:val="16"/>
        </w:rPr>
      </w:pPr>
    </w:p>
    <w:p w14:paraId="53ACC6B0" w14:textId="77777777" w:rsidR="004172D8" w:rsidRPr="00BD388F" w:rsidRDefault="004172D8" w:rsidP="00BD388F">
      <w:pPr>
        <w:pStyle w:val="Heading4"/>
      </w:pPr>
      <w:r w:rsidRPr="00BD388F">
        <w:t>D. Impact - Economic collapse causes extinction</w:t>
      </w:r>
    </w:p>
    <w:p w14:paraId="264F3258" w14:textId="3993A2AF" w:rsidR="004172D8" w:rsidRDefault="004172D8" w:rsidP="004172D8">
      <w:r w:rsidRPr="00BD388F">
        <w:rPr>
          <w:rStyle w:val="StyleStyleBold12pt"/>
        </w:rPr>
        <w:t xml:space="preserve">Bearden 2k </w:t>
      </w:r>
      <w:r w:rsidRPr="00BD388F">
        <w:t>(Lieutenant Colonel in the U.S. Army, www.cheniere.org/techpapers/Unnec</w:t>
      </w:r>
      <w:r w:rsidR="00BD388F">
        <w:t>essary%20Energy%20Crisis.doc)</w:t>
      </w:r>
    </w:p>
    <w:p w14:paraId="11EFDA3A" w14:textId="77777777" w:rsidR="00BD388F" w:rsidRPr="00BD388F" w:rsidRDefault="00BD388F" w:rsidP="004172D8"/>
    <w:p w14:paraId="4BC3E1DA" w14:textId="77777777" w:rsidR="00BD388F" w:rsidRPr="00BD388F" w:rsidRDefault="004172D8" w:rsidP="00BD388F">
      <w:r w:rsidRPr="00BD388F">
        <w:t xml:space="preserve">Bluntly, we foresee these factors - and others </w:t>
      </w:r>
      <w:proofErr w:type="gramStart"/>
      <w:r w:rsidRPr="00BD388F">
        <w:t>{ }</w:t>
      </w:r>
      <w:proofErr w:type="gramEnd"/>
      <w:r w:rsidRPr="00BD388F">
        <w:t xml:space="preserve"> not covered - converging </w:t>
      </w:r>
    </w:p>
    <w:p w14:paraId="349A4C50" w14:textId="77777777" w:rsidR="00BD388F" w:rsidRPr="00BD388F" w:rsidRDefault="00BD388F" w:rsidP="00BD388F">
      <w:r w:rsidRPr="00BD388F">
        <w:t>AND</w:t>
      </w:r>
    </w:p>
    <w:p w14:paraId="474B1CBB" w14:textId="0EDEB239" w:rsidR="004172D8" w:rsidRPr="00BD388F" w:rsidRDefault="004172D8" w:rsidP="00BD388F">
      <w:proofErr w:type="gramStart"/>
      <w:r w:rsidRPr="00BD388F">
        <w:t>and</w:t>
      </w:r>
      <w:proofErr w:type="gramEnd"/>
      <w:r w:rsidRPr="00BD388F">
        <w:t xml:space="preserve"> perhaps most of the biosphere, at least for many decades. </w:t>
      </w:r>
    </w:p>
    <w:p w14:paraId="279A05B5" w14:textId="77777777" w:rsidR="004172D8" w:rsidRPr="00BD388F" w:rsidRDefault="004172D8" w:rsidP="004172D8">
      <w:pPr>
        <w:rPr>
          <w:sz w:val="16"/>
        </w:rPr>
      </w:pPr>
    </w:p>
    <w:p w14:paraId="5AD9A713" w14:textId="77777777" w:rsidR="004172D8" w:rsidRPr="00BD388F" w:rsidRDefault="004172D8" w:rsidP="00EF734D"/>
    <w:sectPr w:rsidR="004172D8" w:rsidRPr="00BD388F" w:rsidSect="00EF734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02ABF7" w14:textId="77777777" w:rsidR="005D65D7" w:rsidRDefault="005D65D7" w:rsidP="00503FAC">
      <w:r>
        <w:separator/>
      </w:r>
    </w:p>
  </w:endnote>
  <w:endnote w:type="continuationSeparator" w:id="0">
    <w:p w14:paraId="32ED5DB2" w14:textId="77777777" w:rsidR="005D65D7" w:rsidRDefault="005D65D7" w:rsidP="00503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de 200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B7830" w14:textId="77777777" w:rsidR="005D65D7" w:rsidRDefault="005D65D7" w:rsidP="00503FAC">
      <w:r>
        <w:separator/>
      </w:r>
    </w:p>
  </w:footnote>
  <w:footnote w:type="continuationSeparator" w:id="0">
    <w:p w14:paraId="42B07088" w14:textId="77777777" w:rsidR="005D65D7" w:rsidRDefault="005D65D7" w:rsidP="00503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A5A"/>
    <w:rsid w:val="00043B25"/>
    <w:rsid w:val="001B0BA3"/>
    <w:rsid w:val="004172D8"/>
    <w:rsid w:val="00503FAC"/>
    <w:rsid w:val="005D65D7"/>
    <w:rsid w:val="005E0B03"/>
    <w:rsid w:val="006F0A5A"/>
    <w:rsid w:val="00947C40"/>
    <w:rsid w:val="00B51143"/>
    <w:rsid w:val="00BD388F"/>
    <w:rsid w:val="00C1151D"/>
    <w:rsid w:val="00E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A3A8A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aliases w:val="Normal/Card"/>
    <w:qFormat/>
    <w:rsid w:val="00BD388F"/>
    <w:rPr>
      <w:rFonts w:ascii="Calibri" w:eastAsia="ＭＳ 明朝" w:hAnsi="Calibri"/>
      <w:sz w:val="22"/>
      <w:szCs w:val="24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BD388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="ＭＳ ゴシック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BD388F"/>
    <w:pPr>
      <w:keepNext/>
      <w:keepLines/>
      <w:pageBreakBefore/>
      <w:spacing w:before="200"/>
      <w:jc w:val="center"/>
      <w:outlineLvl w:val="1"/>
    </w:pPr>
    <w:rPr>
      <w:rFonts w:eastAsia="ＭＳ ゴシック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BD388F"/>
    <w:pPr>
      <w:keepNext/>
      <w:keepLines/>
      <w:pageBreakBefore/>
      <w:spacing w:before="200"/>
      <w:jc w:val="center"/>
      <w:outlineLvl w:val="2"/>
    </w:pPr>
    <w:rPr>
      <w:rFonts w:eastAsia="ＭＳ ゴシック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BD388F"/>
    <w:pPr>
      <w:keepNext/>
      <w:keepLines/>
      <w:spacing w:before="200"/>
      <w:outlineLvl w:val="3"/>
    </w:pPr>
    <w:rPr>
      <w:rFonts w:eastAsia="ＭＳ ゴシック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BD388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D388F"/>
  </w:style>
  <w:style w:type="character" w:customStyle="1" w:styleId="Non-read">
    <w:name w:val="Non-read"/>
    <w:rsid w:val="007E2B5A"/>
    <w:rPr>
      <w:rFonts w:ascii="Times New Roman" w:hAnsi="Times New Roman"/>
      <w:color w:val="808080"/>
      <w:sz w:val="16"/>
      <w:u w:val="none"/>
    </w:rPr>
  </w:style>
  <w:style w:type="paragraph" w:customStyle="1" w:styleId="Read">
    <w:name w:val="Read"/>
    <w:basedOn w:val="Normal"/>
    <w:rsid w:val="00B763FC"/>
    <w:rPr>
      <w:u w:val="single"/>
    </w:rPr>
  </w:style>
  <w:style w:type="paragraph" w:customStyle="1" w:styleId="SectionHeader">
    <w:name w:val="Section Header"/>
    <w:basedOn w:val="Normal"/>
    <w:autoRedefine/>
    <w:rsid w:val="00AB73FE"/>
    <w:pPr>
      <w:pBdr>
        <w:bottom w:val="double" w:sz="4" w:space="1" w:color="auto"/>
      </w:pBdr>
      <w:jc w:val="center"/>
    </w:pPr>
    <w:rPr>
      <w:b/>
      <w:sz w:val="40"/>
    </w:rPr>
  </w:style>
  <w:style w:type="paragraph" w:customStyle="1" w:styleId="Subpoint">
    <w:name w:val="Subpoint"/>
    <w:basedOn w:val="TOC9"/>
    <w:autoRedefine/>
    <w:rsid w:val="00AB73FE"/>
    <w:pPr>
      <w:ind w:left="0"/>
    </w:pPr>
    <w:rPr>
      <w:b/>
      <w:color w:val="000080"/>
      <w:sz w:val="28"/>
    </w:rPr>
  </w:style>
  <w:style w:type="paragraph" w:styleId="TOC9">
    <w:name w:val="toc 9"/>
    <w:basedOn w:val="Normal"/>
    <w:next w:val="Normal"/>
    <w:autoRedefine/>
    <w:semiHidden/>
    <w:rsid w:val="00AB73FE"/>
    <w:pPr>
      <w:ind w:left="1920"/>
    </w:pPr>
  </w:style>
  <w:style w:type="paragraph" w:customStyle="1" w:styleId="SectionMega-Header">
    <w:name w:val="Section Mega-Header"/>
    <w:basedOn w:val="Normal"/>
    <w:autoRedefine/>
    <w:rsid w:val="00AB73FE"/>
    <w:pPr>
      <w:pBdr>
        <w:bottom w:val="double" w:sz="4" w:space="1" w:color="auto"/>
      </w:pBdr>
      <w:tabs>
        <w:tab w:val="left" w:pos="5020"/>
      </w:tabs>
      <w:jc w:val="center"/>
    </w:pPr>
    <w:rPr>
      <w:b/>
      <w:sz w:val="40"/>
    </w:rPr>
  </w:style>
  <w:style w:type="paragraph" w:customStyle="1" w:styleId="ClassyIntro">
    <w:name w:val="Classy Intro"/>
    <w:basedOn w:val="SectionMega-Header"/>
    <w:autoRedefine/>
    <w:rsid w:val="00AB73FE"/>
    <w:rPr>
      <w:b w:val="0"/>
      <w:i/>
      <w:sz w:val="32"/>
    </w:rPr>
  </w:style>
  <w:style w:type="paragraph" w:customStyle="1" w:styleId="Othernon-read">
    <w:name w:val="Othernon-read"/>
    <w:basedOn w:val="Read"/>
    <w:autoRedefine/>
    <w:rsid w:val="00715861"/>
    <w:rPr>
      <w:rFonts w:cs="ArialMT"/>
      <w:sz w:val="12"/>
      <w:szCs w:val="19"/>
      <w:u w:val="none"/>
      <w:lang w:bidi="en-US"/>
    </w:rPr>
  </w:style>
  <w:style w:type="paragraph" w:customStyle="1" w:styleId="Other-read">
    <w:name w:val="Other-read"/>
    <w:basedOn w:val="Read"/>
    <w:autoRedefine/>
    <w:rsid w:val="00715861"/>
    <w:rPr>
      <w:rFonts w:cs="ArialMT"/>
      <w:b/>
      <w:szCs w:val="19"/>
      <w:lang w:bidi="en-US"/>
    </w:rPr>
  </w:style>
  <w:style w:type="character" w:customStyle="1" w:styleId="Heading1Char">
    <w:name w:val="Heading 1 Char"/>
    <w:aliases w:val="Pocket Char"/>
    <w:link w:val="Heading1"/>
    <w:uiPriority w:val="9"/>
    <w:rsid w:val="00BD388F"/>
    <w:rPr>
      <w:rFonts w:ascii="Calibri" w:eastAsia="ＭＳ ゴシック" w:hAnsi="Calibri"/>
      <w:b/>
      <w:bCs/>
      <w:sz w:val="52"/>
      <w:szCs w:val="52"/>
    </w:rPr>
  </w:style>
  <w:style w:type="character" w:customStyle="1" w:styleId="Heading2Char">
    <w:name w:val="Heading 2 Char"/>
    <w:aliases w:val="Hat Char"/>
    <w:link w:val="Heading2"/>
    <w:uiPriority w:val="9"/>
    <w:rsid w:val="00BD388F"/>
    <w:rPr>
      <w:rFonts w:ascii="Calibri" w:eastAsia="ＭＳ ゴシック" w:hAnsi="Calibr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link w:val="Heading3"/>
    <w:uiPriority w:val="9"/>
    <w:rsid w:val="00BD388F"/>
    <w:rPr>
      <w:rFonts w:ascii="Calibri" w:eastAsia="ＭＳ ゴシック" w:hAnsi="Calibri"/>
      <w:b/>
      <w:bCs/>
      <w:sz w:val="32"/>
      <w:szCs w:val="24"/>
      <w:u w:val="single"/>
    </w:rPr>
  </w:style>
  <w:style w:type="character" w:customStyle="1" w:styleId="Heading4Char">
    <w:name w:val="Heading 4 Char"/>
    <w:aliases w:val="Tag Char"/>
    <w:link w:val="Heading4"/>
    <w:uiPriority w:val="9"/>
    <w:rsid w:val="00BD388F"/>
    <w:rPr>
      <w:rFonts w:ascii="Calibri" w:eastAsia="ＭＳ ゴシック" w:hAnsi="Calibri"/>
      <w:b/>
      <w:bCs/>
      <w:iCs/>
      <w:sz w:val="26"/>
      <w:szCs w:val="24"/>
    </w:rPr>
  </w:style>
  <w:style w:type="character" w:styleId="Emphasis">
    <w:name w:val="Emphasis"/>
    <w:uiPriority w:val="7"/>
    <w:qFormat/>
    <w:rsid w:val="00BD388F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paragraph" w:customStyle="1" w:styleId="MediumGrid21">
    <w:name w:val="Medium Grid 21"/>
    <w:uiPriority w:val="1"/>
    <w:rsid w:val="00503FAC"/>
    <w:rPr>
      <w:rFonts w:ascii="Cambria" w:eastAsia="MS Mincho" w:hAnsi="Cambria"/>
      <w:sz w:val="24"/>
      <w:szCs w:val="24"/>
    </w:rPr>
  </w:style>
  <w:style w:type="character" w:customStyle="1" w:styleId="StyleStyleBold12pt">
    <w:name w:val="Style Style Bold + 12 pt"/>
    <w:aliases w:val="Cite,Style Style Bold + 12pt,Style Style Bold"/>
    <w:uiPriority w:val="1"/>
    <w:qFormat/>
    <w:rsid w:val="00BD388F"/>
    <w:rPr>
      <w:b/>
      <w:sz w:val="26"/>
      <w:u w:val="none"/>
    </w:rPr>
  </w:style>
  <w:style w:type="character" w:customStyle="1" w:styleId="StyleBoldUnderline">
    <w:name w:val="Style Bold Underline"/>
    <w:aliases w:val="Underline"/>
    <w:uiPriority w:val="1"/>
    <w:qFormat/>
    <w:rsid w:val="00BD388F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388F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BD388F"/>
    <w:rPr>
      <w:rFonts w:ascii="Lucida Grande" w:eastAsia="ＭＳ 明朝" w:hAnsi="Lucida Grande" w:cs="Lucida Grande"/>
      <w:sz w:val="22"/>
      <w:szCs w:val="24"/>
    </w:rPr>
  </w:style>
  <w:style w:type="paragraph" w:customStyle="1" w:styleId="ColorfulList-Accent11">
    <w:name w:val="Colorful List - Accent 11"/>
    <w:basedOn w:val="Normal"/>
    <w:uiPriority w:val="34"/>
    <w:rsid w:val="00503FAC"/>
    <w:pPr>
      <w:ind w:left="720"/>
      <w:contextualSpacing/>
    </w:pPr>
    <w:rPr>
      <w:rFonts w:eastAsia="MS Mincho"/>
    </w:rPr>
  </w:style>
  <w:style w:type="paragraph" w:styleId="Header">
    <w:name w:val="header"/>
    <w:basedOn w:val="Normal"/>
    <w:link w:val="HeaderChar"/>
    <w:uiPriority w:val="99"/>
    <w:unhideWhenUsed/>
    <w:rsid w:val="00BD388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D388F"/>
    <w:rPr>
      <w:rFonts w:ascii="Calibri" w:eastAsia="ＭＳ 明朝" w:hAnsi="Calibri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BD388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D388F"/>
    <w:rPr>
      <w:rFonts w:ascii="Calibri" w:eastAsia="ＭＳ 明朝" w:hAnsi="Calibri"/>
      <w:sz w:val="22"/>
      <w:szCs w:val="24"/>
    </w:rPr>
  </w:style>
  <w:style w:type="character" w:styleId="PageNumber">
    <w:name w:val="page number"/>
    <w:uiPriority w:val="99"/>
    <w:semiHidden/>
    <w:unhideWhenUsed/>
    <w:rsid w:val="00BD388F"/>
  </w:style>
  <w:style w:type="character" w:styleId="Hyperlink">
    <w:name w:val="Hyperlink"/>
    <w:uiPriority w:val="99"/>
    <w:unhideWhenUsed/>
    <w:rsid w:val="00BD388F"/>
    <w:rPr>
      <w:color w:val="0000FF"/>
      <w:u w:val="single"/>
    </w:rPr>
  </w:style>
  <w:style w:type="character" w:styleId="FootnoteReference">
    <w:name w:val="footnote reference"/>
    <w:uiPriority w:val="99"/>
    <w:rsid w:val="00503FAC"/>
    <w:rPr>
      <w:rFonts w:ascii="Times New Roman" w:hAnsi="Times New Roman" w:cs="Times New Roman"/>
      <w:color w:val="auto"/>
      <w:sz w:val="16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03FAC"/>
    <w:pPr>
      <w:jc w:val="both"/>
    </w:pPr>
  </w:style>
  <w:style w:type="character" w:customStyle="1" w:styleId="FootnoteTextChar">
    <w:name w:val="Footnote Text Char"/>
    <w:link w:val="FootnoteText"/>
    <w:uiPriority w:val="99"/>
    <w:rsid w:val="00503FAC"/>
    <w:rPr>
      <w:rFonts w:eastAsia="Calibri"/>
      <w:sz w:val="24"/>
      <w:szCs w:val="24"/>
    </w:rPr>
  </w:style>
  <w:style w:type="paragraph" w:customStyle="1" w:styleId="Default">
    <w:name w:val="Default"/>
    <w:rsid w:val="00043B25"/>
    <w:pPr>
      <w:widowControl w:val="0"/>
      <w:autoSpaceDE w:val="0"/>
      <w:autoSpaceDN w:val="0"/>
      <w:adjustRightInd w:val="0"/>
    </w:pPr>
    <w:rPr>
      <w:rFonts w:ascii="Code 2000" w:hAnsi="Code 2000" w:cs="Code 2000"/>
      <w:color w:val="000000"/>
      <w:sz w:val="24"/>
      <w:szCs w:val="24"/>
    </w:rPr>
  </w:style>
  <w:style w:type="character" w:customStyle="1" w:styleId="StyleBold">
    <w:name w:val="Style Bold"/>
    <w:uiPriority w:val="9"/>
    <w:semiHidden/>
    <w:rsid w:val="005E0B03"/>
    <w:rPr>
      <w:b/>
      <w:bCs/>
    </w:rPr>
  </w:style>
  <w:style w:type="character" w:styleId="FollowedHyperlink">
    <w:name w:val="FollowedHyperlink"/>
    <w:uiPriority w:val="99"/>
    <w:semiHidden/>
    <w:rsid w:val="005E0B03"/>
    <w:rPr>
      <w:color w:val="auto"/>
      <w:u w:val="none"/>
    </w:rPr>
  </w:style>
  <w:style w:type="paragraph" w:styleId="NoSpacing">
    <w:name w:val="No Spacing"/>
    <w:uiPriority w:val="1"/>
    <w:rsid w:val="00BD388F"/>
    <w:rPr>
      <w:rFonts w:ascii="Cambria" w:eastAsia="ＭＳ 明朝" w:hAnsi="Cambria"/>
      <w:sz w:val="24"/>
      <w:szCs w:val="24"/>
    </w:rPr>
  </w:style>
  <w:style w:type="paragraph" w:styleId="ListParagraph">
    <w:name w:val="List Paragraph"/>
    <w:basedOn w:val="Normal"/>
    <w:uiPriority w:val="34"/>
    <w:rsid w:val="00BD38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stor.org/stable/210818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placido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4</TotalTime>
  <Pages>4</Pages>
  <Words>675</Words>
  <Characters>3854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 to the external reason</vt:lpstr>
    </vt:vector>
  </TitlesOfParts>
  <Company>獫票楧栮捯洀鉭曮㞱Û뜰⠲쎔딁烊皭〼፥ᙼ䕸忤઱</Company>
  <LinksUpToDate>false</LinksUpToDate>
  <CharactersWithSpaces>4520</CharactersWithSpaces>
  <SharedDoc>false</SharedDoc>
  <HLinks>
    <vt:vector size="6" baseType="variant">
      <vt:variant>
        <vt:i4>3080270</vt:i4>
      </vt:variant>
      <vt:variant>
        <vt:i4>0</vt:i4>
      </vt:variant>
      <vt:variant>
        <vt:i4>0</vt:i4>
      </vt:variant>
      <vt:variant>
        <vt:i4>5</vt:i4>
      </vt:variant>
      <vt:variant>
        <vt:lpwstr>http://www.jstor.org/stable/2108181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 to the external reason</dc:title>
  <dc:subject/>
  <dc:creator>Chris Kymn</dc:creator>
  <cp:keywords/>
  <cp:lastModifiedBy>Tom Placido</cp:lastModifiedBy>
  <cp:revision>4</cp:revision>
  <dcterms:created xsi:type="dcterms:W3CDTF">2013-11-21T04:35:00Z</dcterms:created>
  <dcterms:modified xsi:type="dcterms:W3CDTF">2013-12-06T18:45:00Z</dcterms:modified>
</cp:coreProperties>
</file>