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B28AF3" w14:textId="77777777" w:rsidR="009E6FB4" w:rsidRPr="005E4A17" w:rsidRDefault="009E6FB4" w:rsidP="009E6FB4">
      <w:pPr>
        <w:ind w:right="720"/>
        <w:rPr>
          <w:rFonts w:ascii="Times New Roman" w:hAnsi="Times New Roman" w:cs="Times New Roman"/>
        </w:rPr>
      </w:pPr>
      <w:r w:rsidRPr="005E4A17">
        <w:rPr>
          <w:rFonts w:ascii="Times New Roman" w:hAnsi="Times New Roman" w:cs="Times New Roman"/>
        </w:rPr>
        <w:t>I affirm. PART I IS THE FRAMEWORK</w:t>
      </w:r>
    </w:p>
    <w:p w14:paraId="0789508A" w14:textId="77777777" w:rsidR="009E6FB4" w:rsidRPr="005E4A17" w:rsidRDefault="009E6FB4" w:rsidP="009E6FB4">
      <w:pPr>
        <w:ind w:right="720"/>
        <w:rPr>
          <w:rFonts w:ascii="Times New Roman" w:hAnsi="Times New Roman" w:cs="Times New Roman"/>
        </w:rPr>
      </w:pPr>
    </w:p>
    <w:p w14:paraId="39E383D1" w14:textId="77777777" w:rsidR="009E6FB4" w:rsidRPr="005E4A17" w:rsidRDefault="009E6FB4" w:rsidP="009E6FB4">
      <w:pPr>
        <w:ind w:right="720"/>
        <w:rPr>
          <w:rFonts w:ascii="Times New Roman" w:hAnsi="Times New Roman" w:cs="Times New Roman"/>
        </w:rPr>
      </w:pPr>
      <w:r w:rsidRPr="005E4A17">
        <w:rPr>
          <w:rFonts w:ascii="Times New Roman" w:hAnsi="Times New Roman" w:cs="Times New Roman"/>
        </w:rPr>
        <w:t>Random House Dictionary</w:t>
      </w:r>
      <w:r w:rsidRPr="005E4A17">
        <w:rPr>
          <w:rStyle w:val="FootnoteReference"/>
          <w:rFonts w:ascii="Times New Roman" w:hAnsi="Times New Roman" w:cs="Times New Roman"/>
        </w:rPr>
        <w:footnoteReference w:id="1"/>
      </w:r>
      <w:r w:rsidRPr="005E4A17">
        <w:rPr>
          <w:rFonts w:ascii="Times New Roman" w:hAnsi="Times New Roman" w:cs="Times New Roman"/>
        </w:rPr>
        <w:t xml:space="preserve"> defines “ought,” as </w:t>
      </w:r>
    </w:p>
    <w:p w14:paraId="6844BFEA" w14:textId="77777777" w:rsidR="009E6FB4" w:rsidRPr="005E4A17" w:rsidRDefault="009E6FB4" w:rsidP="009E6FB4">
      <w:pPr>
        <w:ind w:right="720" w:firstLine="720"/>
        <w:rPr>
          <w:rFonts w:ascii="Times New Roman" w:hAnsi="Times New Roman" w:cs="Times New Roman"/>
        </w:rPr>
      </w:pPr>
    </w:p>
    <w:p w14:paraId="30836FCA" w14:textId="77777777" w:rsidR="009E6FB4" w:rsidRPr="005E4A17" w:rsidRDefault="009E6FB4" w:rsidP="005E4A17">
      <w:pPr>
        <w:ind w:right="720"/>
        <w:rPr>
          <w:rFonts w:ascii="Times New Roman" w:hAnsi="Times New Roman" w:cs="Times New Roman"/>
          <w:i/>
        </w:rPr>
      </w:pPr>
      <w:r w:rsidRPr="005E4A17">
        <w:rPr>
          <w:rFonts w:ascii="Times New Roman" w:hAnsi="Times New Roman" w:cs="Times New Roman"/>
        </w:rPr>
        <w:t>“(</w:t>
      </w:r>
      <w:proofErr w:type="gramStart"/>
      <w:r w:rsidRPr="005E4A17">
        <w:rPr>
          <w:rFonts w:ascii="Times New Roman" w:hAnsi="Times New Roman" w:cs="Times New Roman"/>
        </w:rPr>
        <w:t>used</w:t>
      </w:r>
      <w:proofErr w:type="gramEnd"/>
      <w:r w:rsidRPr="005E4A17">
        <w:rPr>
          <w:rFonts w:ascii="Times New Roman" w:hAnsi="Times New Roman" w:cs="Times New Roman"/>
        </w:rPr>
        <w:t xml:space="preserve"> to express duty or moral obligation). </w:t>
      </w:r>
      <w:r w:rsidRPr="005E4A17">
        <w:rPr>
          <w:rFonts w:ascii="Times New Roman" w:hAnsi="Times New Roman" w:cs="Times New Roman"/>
          <w:i/>
        </w:rPr>
        <w:t>Every citizen ought to help.</w:t>
      </w:r>
    </w:p>
    <w:p w14:paraId="3D6474EB" w14:textId="77777777" w:rsidR="009E6FB4" w:rsidRPr="005E4A17" w:rsidRDefault="009E6FB4" w:rsidP="009E6FB4">
      <w:pPr>
        <w:rPr>
          <w:rFonts w:ascii="Times New Roman" w:hAnsi="Times New Roman" w:cs="Times New Roman"/>
        </w:rPr>
      </w:pPr>
    </w:p>
    <w:p w14:paraId="51E641B9"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Therefore I value Morality. Moral values are inherently pluralistic. </w:t>
      </w:r>
    </w:p>
    <w:p w14:paraId="097434B2" w14:textId="77777777" w:rsidR="00ED4968" w:rsidRPr="005E4A17" w:rsidRDefault="00ED4968">
      <w:pPr>
        <w:rPr>
          <w:rFonts w:ascii="Times New Roman" w:hAnsi="Times New Roman" w:cs="Times New Roman"/>
        </w:rPr>
      </w:pPr>
    </w:p>
    <w:p w14:paraId="4A164603"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A. There is no single moral value to which all ethical practices </w:t>
      </w:r>
      <w:proofErr w:type="gramStart"/>
      <w:r w:rsidRPr="005E4A17">
        <w:rPr>
          <w:rFonts w:ascii="Times New Roman" w:hAnsi="Times New Roman" w:cs="Times New Roman"/>
        </w:rPr>
        <w:t>reduces</w:t>
      </w:r>
      <w:proofErr w:type="gramEnd"/>
      <w:r w:rsidRPr="005E4A17">
        <w:rPr>
          <w:rFonts w:ascii="Times New Roman" w:hAnsi="Times New Roman" w:cs="Times New Roman"/>
        </w:rPr>
        <w:t xml:space="preserve">. </w:t>
      </w:r>
      <w:proofErr w:type="spellStart"/>
      <w:r w:rsidRPr="005E4A17">
        <w:rPr>
          <w:rFonts w:ascii="Times New Roman" w:hAnsi="Times New Roman" w:cs="Times New Roman"/>
        </w:rPr>
        <w:t>Lamprecht</w:t>
      </w:r>
      <w:proofErr w:type="spellEnd"/>
      <w:r w:rsidRPr="005E4A17">
        <w:rPr>
          <w:rFonts w:ascii="Times New Roman" w:hAnsi="Times New Roman" w:cs="Times New Roman"/>
        </w:rPr>
        <w:t xml:space="preserve"> 1920</w:t>
      </w:r>
      <w:r w:rsidRPr="005E4A17">
        <w:rPr>
          <w:rStyle w:val="FootnoteReference"/>
          <w:rFonts w:ascii="Times New Roman" w:hAnsi="Times New Roman" w:cs="Times New Roman"/>
        </w:rPr>
        <w:footnoteReference w:id="2"/>
      </w:r>
      <w:r w:rsidRPr="005E4A17">
        <w:rPr>
          <w:rFonts w:ascii="Times New Roman" w:hAnsi="Times New Roman" w:cs="Times New Roman"/>
        </w:rPr>
        <w:t>:</w:t>
      </w:r>
    </w:p>
    <w:p w14:paraId="5388C784" w14:textId="77777777" w:rsidR="009E6FB4" w:rsidRPr="005E4A17" w:rsidRDefault="009E6FB4" w:rsidP="009E6FB4">
      <w:pPr>
        <w:rPr>
          <w:rFonts w:ascii="Times New Roman" w:hAnsi="Times New Roman" w:cs="Times New Roman"/>
        </w:rPr>
      </w:pPr>
    </w:p>
    <w:p w14:paraId="415AF868" w14:textId="77777777" w:rsidR="009E6FB4" w:rsidRPr="005E4A17" w:rsidRDefault="009E6FB4" w:rsidP="009E6FB4">
      <w:pPr>
        <w:rPr>
          <w:rFonts w:ascii="Times New Roman" w:hAnsi="Times New Roman" w:cs="Times New Roman"/>
        </w:rPr>
      </w:pPr>
      <w:proofErr w:type="gramStart"/>
      <w:r w:rsidRPr="005E4A17">
        <w:rPr>
          <w:rFonts w:ascii="Times New Roman" w:hAnsi="Times New Roman" w:cs="Times New Roman"/>
        </w:rPr>
        <w:t>To the naïve… but not solitary.</w:t>
      </w:r>
      <w:proofErr w:type="gramEnd"/>
    </w:p>
    <w:p w14:paraId="59F8855F" w14:textId="77777777" w:rsidR="009E6FB4" w:rsidRPr="005E4A17" w:rsidRDefault="009E6FB4" w:rsidP="009E6FB4">
      <w:pPr>
        <w:rPr>
          <w:rFonts w:ascii="Times New Roman" w:hAnsi="Times New Roman" w:cs="Times New Roman"/>
        </w:rPr>
      </w:pPr>
    </w:p>
    <w:p w14:paraId="2E217451"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B. Apparently incommensurate moral values are often relevant to moral decision-making. </w:t>
      </w:r>
      <w:proofErr w:type="spellStart"/>
      <w:r w:rsidRPr="005E4A17">
        <w:rPr>
          <w:rFonts w:ascii="Times New Roman" w:hAnsi="Times New Roman" w:cs="Times New Roman"/>
        </w:rPr>
        <w:t>Lamprecht</w:t>
      </w:r>
      <w:proofErr w:type="spellEnd"/>
      <w:r w:rsidRPr="005E4A17">
        <w:rPr>
          <w:rFonts w:ascii="Times New Roman" w:hAnsi="Times New Roman" w:cs="Times New Roman"/>
        </w:rPr>
        <w:t xml:space="preserve"> 2</w:t>
      </w:r>
      <w:r w:rsidRPr="005E4A17">
        <w:rPr>
          <w:rStyle w:val="FootnoteReference"/>
          <w:rFonts w:ascii="Times New Roman" w:hAnsi="Times New Roman" w:cs="Times New Roman"/>
        </w:rPr>
        <w:footnoteReference w:id="3"/>
      </w:r>
      <w:r w:rsidRPr="005E4A17">
        <w:rPr>
          <w:rFonts w:ascii="Times New Roman" w:hAnsi="Times New Roman" w:cs="Times New Roman"/>
        </w:rPr>
        <w:t>:</w:t>
      </w:r>
    </w:p>
    <w:p w14:paraId="547802FE" w14:textId="77777777" w:rsidR="009E6FB4" w:rsidRPr="005E4A17" w:rsidRDefault="009E6FB4" w:rsidP="009E6FB4">
      <w:pPr>
        <w:rPr>
          <w:rFonts w:ascii="Times New Roman" w:hAnsi="Times New Roman" w:cs="Times New Roman"/>
        </w:rPr>
      </w:pPr>
    </w:p>
    <w:p w14:paraId="1B17B3A0" w14:textId="77777777" w:rsidR="009E6FB4" w:rsidRPr="005E4A17" w:rsidRDefault="009E6FB4" w:rsidP="009E6FB4">
      <w:pPr>
        <w:rPr>
          <w:rFonts w:ascii="Times New Roman" w:hAnsi="Times New Roman" w:cs="Times New Roman"/>
        </w:rPr>
      </w:pPr>
      <w:proofErr w:type="gramStart"/>
      <w:r w:rsidRPr="005E4A17">
        <w:rPr>
          <w:rFonts w:ascii="Times New Roman" w:hAnsi="Times New Roman" w:cs="Times New Roman"/>
        </w:rPr>
        <w:t>In the second… a simple monism.</w:t>
      </w:r>
      <w:proofErr w:type="gramEnd"/>
    </w:p>
    <w:p w14:paraId="7752C36F" w14:textId="77777777" w:rsidR="009E6FB4" w:rsidRPr="005E4A17" w:rsidRDefault="009E6FB4" w:rsidP="009E6FB4">
      <w:pPr>
        <w:rPr>
          <w:rFonts w:ascii="Times New Roman" w:hAnsi="Times New Roman" w:cs="Times New Roman"/>
        </w:rPr>
      </w:pPr>
    </w:p>
    <w:p w14:paraId="3D207003"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In light of the irresolvable pluralism of our ethical sensibilities, we should not try to systematically exclude apparently relevant moral considerations by committing ourselves exclusively to a single philosophical doctrine. Rather, we should make use of those </w:t>
      </w:r>
      <w:proofErr w:type="gramStart"/>
      <w:r w:rsidRPr="005E4A17">
        <w:rPr>
          <w:rFonts w:ascii="Times New Roman" w:hAnsi="Times New Roman" w:cs="Times New Roman"/>
        </w:rPr>
        <w:t>sensibilities which</w:t>
      </w:r>
      <w:proofErr w:type="gramEnd"/>
      <w:r w:rsidRPr="005E4A17">
        <w:rPr>
          <w:rFonts w:ascii="Times New Roman" w:hAnsi="Times New Roman" w:cs="Times New Roman"/>
        </w:rPr>
        <w:t xml:space="preserve"> seem to have salience in our ordinary moral reasoning. Williams 1985</w:t>
      </w:r>
      <w:r w:rsidRPr="005E4A17">
        <w:rPr>
          <w:rFonts w:ascii="Times New Roman" w:hAnsi="Times New Roman" w:cs="Times New Roman"/>
          <w:vertAlign w:val="superscript"/>
        </w:rPr>
        <w:footnoteReference w:id="4"/>
      </w:r>
      <w:r w:rsidRPr="005E4A17">
        <w:rPr>
          <w:rFonts w:ascii="Times New Roman" w:hAnsi="Times New Roman" w:cs="Times New Roman"/>
        </w:rPr>
        <w:t>:</w:t>
      </w:r>
    </w:p>
    <w:p w14:paraId="2075F224" w14:textId="77777777" w:rsidR="009E6FB4" w:rsidRPr="005E4A17" w:rsidRDefault="009E6FB4" w:rsidP="009E6FB4">
      <w:pPr>
        <w:rPr>
          <w:rFonts w:ascii="Times New Roman" w:hAnsi="Times New Roman" w:cs="Times New Roman"/>
        </w:rPr>
      </w:pPr>
    </w:p>
    <w:p w14:paraId="67D71AC1"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The main consequences… and we need to</w:t>
      </w:r>
    </w:p>
    <w:p w14:paraId="422A497C" w14:textId="77777777" w:rsidR="009E6FB4" w:rsidRPr="005E4A17" w:rsidRDefault="009E6FB4" w:rsidP="009E6FB4">
      <w:pPr>
        <w:rPr>
          <w:rFonts w:ascii="Times New Roman" w:hAnsi="Times New Roman" w:cs="Times New Roman"/>
        </w:rPr>
      </w:pPr>
    </w:p>
    <w:p w14:paraId="6B51FF0C"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The Criterion is Minimizing Undeserved Punishment. Undeserved punishment is inconsistent with myriad moral and political values.</w:t>
      </w:r>
    </w:p>
    <w:p w14:paraId="43B269DE" w14:textId="77777777" w:rsidR="009E6FB4" w:rsidRPr="005E4A17" w:rsidRDefault="009E6FB4" w:rsidP="009E6FB4">
      <w:pPr>
        <w:rPr>
          <w:rFonts w:ascii="Times New Roman" w:hAnsi="Times New Roman" w:cs="Times New Roman"/>
        </w:rPr>
      </w:pPr>
    </w:p>
    <w:p w14:paraId="2E9442E4"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A. There are five major reasons why punishment of the innocent is inconsistent with our intuitive notions of justice and utility. </w:t>
      </w:r>
      <w:proofErr w:type="spellStart"/>
      <w:r w:rsidRPr="005E4A17">
        <w:rPr>
          <w:rFonts w:ascii="Times New Roman" w:hAnsi="Times New Roman" w:cs="Times New Roman"/>
        </w:rPr>
        <w:t>Steiker</w:t>
      </w:r>
      <w:proofErr w:type="spellEnd"/>
      <w:r w:rsidRPr="005E4A17">
        <w:rPr>
          <w:rFonts w:ascii="Times New Roman" w:hAnsi="Times New Roman" w:cs="Times New Roman"/>
        </w:rPr>
        <w:t xml:space="preserve"> &amp; </w:t>
      </w:r>
      <w:proofErr w:type="spellStart"/>
      <w:r w:rsidRPr="005E4A17">
        <w:rPr>
          <w:rFonts w:ascii="Times New Roman" w:hAnsi="Times New Roman" w:cs="Times New Roman"/>
        </w:rPr>
        <w:t>Steiker</w:t>
      </w:r>
      <w:proofErr w:type="spellEnd"/>
      <w:r w:rsidRPr="005E4A17">
        <w:rPr>
          <w:rFonts w:ascii="Times New Roman" w:hAnsi="Times New Roman" w:cs="Times New Roman"/>
        </w:rPr>
        <w:t xml:space="preserve"> 2005</w:t>
      </w:r>
      <w:r w:rsidRPr="005E4A17">
        <w:rPr>
          <w:rStyle w:val="FootnoteReference"/>
          <w:rFonts w:ascii="Times New Roman" w:hAnsi="Times New Roman" w:cs="Times New Roman"/>
        </w:rPr>
        <w:footnoteReference w:id="5"/>
      </w:r>
      <w:r w:rsidRPr="005E4A17">
        <w:rPr>
          <w:rFonts w:ascii="Times New Roman" w:hAnsi="Times New Roman" w:cs="Times New Roman"/>
        </w:rPr>
        <w:t xml:space="preserve"> </w:t>
      </w:r>
      <w:proofErr w:type="gramStart"/>
      <w:r w:rsidRPr="005E4A17">
        <w:rPr>
          <w:rFonts w:ascii="Times New Roman" w:hAnsi="Times New Roman" w:cs="Times New Roman"/>
        </w:rPr>
        <w:t>explain</w:t>
      </w:r>
      <w:proofErr w:type="gramEnd"/>
      <w:r w:rsidRPr="005E4A17">
        <w:rPr>
          <w:rFonts w:ascii="Times New Roman" w:hAnsi="Times New Roman" w:cs="Times New Roman"/>
        </w:rPr>
        <w:t xml:space="preserve"> in the context of wrongful execution.</w:t>
      </w:r>
    </w:p>
    <w:p w14:paraId="08D6E51F" w14:textId="77777777" w:rsidR="009E6FB4" w:rsidRPr="005E4A17" w:rsidRDefault="009E6FB4" w:rsidP="009E6FB4">
      <w:pPr>
        <w:rPr>
          <w:rFonts w:ascii="Times New Roman" w:hAnsi="Times New Roman" w:cs="Times New Roman"/>
        </w:rPr>
      </w:pPr>
    </w:p>
    <w:p w14:paraId="372083E5"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There are six prominent… harm of irrevocability.</w:t>
      </w:r>
    </w:p>
    <w:p w14:paraId="7570B36B"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lastRenderedPageBreak/>
        <w:t>B. A survey of practices in the criminal justice system shows that avoiding undeserved punishment is one of its core values. Joy 2006</w:t>
      </w:r>
      <w:r w:rsidRPr="005E4A17">
        <w:rPr>
          <w:rStyle w:val="FootnoteReference"/>
          <w:rFonts w:ascii="Times New Roman" w:hAnsi="Times New Roman" w:cs="Times New Roman"/>
        </w:rPr>
        <w:footnoteReference w:id="6"/>
      </w:r>
      <w:r w:rsidRPr="005E4A17">
        <w:rPr>
          <w:rFonts w:ascii="Times New Roman" w:hAnsi="Times New Roman" w:cs="Times New Roman"/>
        </w:rPr>
        <w:t>:</w:t>
      </w:r>
    </w:p>
    <w:p w14:paraId="7F9FF7CB" w14:textId="77777777" w:rsidR="009E6FB4" w:rsidRPr="005E4A17" w:rsidRDefault="009E6FB4" w:rsidP="009E6FB4">
      <w:pPr>
        <w:rPr>
          <w:rFonts w:ascii="Times New Roman" w:hAnsi="Times New Roman" w:cs="Times New Roman"/>
        </w:rPr>
      </w:pPr>
    </w:p>
    <w:p w14:paraId="36F2248D"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From a normative</w:t>
      </w:r>
      <w:proofErr w:type="gramStart"/>
      <w:r w:rsidRPr="005E4A17">
        <w:rPr>
          <w:rFonts w:ascii="Times New Roman" w:hAnsi="Times New Roman" w:cs="Times New Roman"/>
        </w:rPr>
        <w:t>..</w:t>
      </w:r>
      <w:proofErr w:type="gramEnd"/>
      <w:r w:rsidRPr="005E4A17">
        <w:rPr>
          <w:rFonts w:ascii="Times New Roman" w:hAnsi="Times New Roman" w:cs="Times New Roman"/>
        </w:rPr>
        <w:t xml:space="preserve"> ] </w:t>
      </w:r>
      <w:proofErr w:type="gramStart"/>
      <w:r w:rsidRPr="005E4A17">
        <w:rPr>
          <w:rFonts w:ascii="Times New Roman" w:hAnsi="Times New Roman" w:cs="Times New Roman"/>
        </w:rPr>
        <w:t>head</w:t>
      </w:r>
      <w:proofErr w:type="gramEnd"/>
      <w:r w:rsidRPr="005E4A17">
        <w:rPr>
          <w:rFonts w:ascii="Times New Roman" w:hAnsi="Times New Roman" w:cs="Times New Roman"/>
        </w:rPr>
        <w:t>[s] over and over.”27</w:t>
      </w:r>
    </w:p>
    <w:p w14:paraId="02710E2B" w14:textId="77777777" w:rsidR="009E6FB4" w:rsidRPr="005E4A17" w:rsidRDefault="009E6FB4" w:rsidP="009E6FB4">
      <w:pPr>
        <w:rPr>
          <w:rFonts w:ascii="Times New Roman" w:hAnsi="Times New Roman" w:cs="Times New Roman"/>
        </w:rPr>
      </w:pPr>
    </w:p>
    <w:p w14:paraId="46392C09"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C. Punishing the innocent violates the social contract. </w:t>
      </w:r>
      <w:proofErr w:type="spellStart"/>
      <w:r w:rsidRPr="005E4A17">
        <w:rPr>
          <w:rFonts w:ascii="Times New Roman" w:hAnsi="Times New Roman" w:cs="Times New Roman"/>
        </w:rPr>
        <w:t>Kitai</w:t>
      </w:r>
      <w:proofErr w:type="spellEnd"/>
      <w:r w:rsidRPr="005E4A17">
        <w:rPr>
          <w:rFonts w:ascii="Times New Roman" w:hAnsi="Times New Roman" w:cs="Times New Roman"/>
        </w:rPr>
        <w:t xml:space="preserve"> 2003</w:t>
      </w:r>
      <w:r w:rsidRPr="005E4A17">
        <w:rPr>
          <w:rStyle w:val="FootnoteReference"/>
          <w:rFonts w:ascii="Times New Roman" w:hAnsi="Times New Roman" w:cs="Times New Roman"/>
        </w:rPr>
        <w:footnoteReference w:id="7"/>
      </w:r>
      <w:r w:rsidRPr="005E4A17">
        <w:rPr>
          <w:rFonts w:ascii="Times New Roman" w:hAnsi="Times New Roman" w:cs="Times New Roman"/>
        </w:rPr>
        <w:t>:</w:t>
      </w:r>
    </w:p>
    <w:p w14:paraId="1A5B39C1" w14:textId="77777777" w:rsidR="009E6FB4" w:rsidRPr="005E4A17" w:rsidRDefault="009E6FB4" w:rsidP="009E6FB4">
      <w:pPr>
        <w:rPr>
          <w:rFonts w:ascii="Times New Roman" w:hAnsi="Times New Roman" w:cs="Times New Roman"/>
        </w:rPr>
      </w:pPr>
      <w:proofErr w:type="gramStart"/>
      <w:r w:rsidRPr="005E4A17">
        <w:rPr>
          <w:rFonts w:ascii="Times New Roman" w:hAnsi="Times New Roman" w:cs="Times New Roman"/>
        </w:rPr>
        <w:t>Conviction of a defendant… in an ungrateful manner.</w:t>
      </w:r>
      <w:proofErr w:type="gramEnd"/>
      <w:r w:rsidRPr="005E4A17">
        <w:rPr>
          <w:rFonts w:ascii="Times New Roman" w:hAnsi="Times New Roman" w:cs="Times New Roman"/>
        </w:rPr>
        <w:t xml:space="preserve"> 4</w:t>
      </w:r>
    </w:p>
    <w:p w14:paraId="38C35B7C" w14:textId="77777777" w:rsidR="009E6FB4" w:rsidRPr="005E4A17" w:rsidRDefault="009E6FB4" w:rsidP="009E6FB4">
      <w:pPr>
        <w:rPr>
          <w:rFonts w:ascii="Times New Roman" w:hAnsi="Times New Roman" w:cs="Times New Roman"/>
        </w:rPr>
      </w:pPr>
    </w:p>
    <w:p w14:paraId="39996AA1"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D. Deontological considerations bar convicting the innocent. </w:t>
      </w:r>
      <w:proofErr w:type="spellStart"/>
      <w:r w:rsidRPr="005E4A17">
        <w:rPr>
          <w:rFonts w:ascii="Times New Roman" w:hAnsi="Times New Roman" w:cs="Times New Roman"/>
        </w:rPr>
        <w:t>Kitai</w:t>
      </w:r>
      <w:proofErr w:type="spellEnd"/>
      <w:r w:rsidRPr="005E4A17">
        <w:rPr>
          <w:rFonts w:ascii="Times New Roman" w:hAnsi="Times New Roman" w:cs="Times New Roman"/>
        </w:rPr>
        <w:t xml:space="preserve"> 2</w:t>
      </w:r>
      <w:r w:rsidRPr="005E4A17">
        <w:rPr>
          <w:rStyle w:val="FootnoteReference"/>
          <w:rFonts w:ascii="Times New Roman" w:hAnsi="Times New Roman" w:cs="Times New Roman"/>
        </w:rPr>
        <w:footnoteReference w:id="8"/>
      </w:r>
      <w:r w:rsidRPr="005E4A17">
        <w:rPr>
          <w:rFonts w:ascii="Times New Roman" w:hAnsi="Times New Roman" w:cs="Times New Roman"/>
        </w:rPr>
        <w:t>:</w:t>
      </w:r>
    </w:p>
    <w:p w14:paraId="4D9C805F"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A deontological </w:t>
      </w:r>
      <w:proofErr w:type="gramStart"/>
      <w:r w:rsidRPr="005E4A17">
        <w:rPr>
          <w:rFonts w:ascii="Times New Roman" w:hAnsi="Times New Roman" w:cs="Times New Roman"/>
        </w:rPr>
        <w:t>approach</w:t>
      </w:r>
      <w:proofErr w:type="gramEnd"/>
      <w:r w:rsidRPr="005E4A17">
        <w:rPr>
          <w:rFonts w:ascii="Times New Roman" w:hAnsi="Times New Roman" w:cs="Times New Roman"/>
        </w:rPr>
        <w:t>… the common interest.</w:t>
      </w:r>
    </w:p>
    <w:p w14:paraId="07F5AD35" w14:textId="77777777" w:rsidR="009E6FB4" w:rsidRPr="005E4A17" w:rsidRDefault="009E6FB4" w:rsidP="009E6FB4">
      <w:pPr>
        <w:rPr>
          <w:rFonts w:ascii="Times New Roman" w:hAnsi="Times New Roman" w:cs="Times New Roman"/>
        </w:rPr>
      </w:pPr>
    </w:p>
    <w:p w14:paraId="770284EB" w14:textId="77777777" w:rsidR="009E6FB4" w:rsidRPr="005E4A17" w:rsidRDefault="009E6FB4" w:rsidP="009E6FB4">
      <w:pPr>
        <w:rPr>
          <w:rFonts w:ascii="Times New Roman" w:hAnsi="Times New Roman" w:cs="Times New Roman"/>
        </w:rPr>
      </w:pPr>
    </w:p>
    <w:p w14:paraId="36B23431"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PART II IS THE ADVOCACY</w:t>
      </w:r>
    </w:p>
    <w:p w14:paraId="6D890959" w14:textId="77777777" w:rsidR="009E6FB4" w:rsidRPr="005E4A17" w:rsidRDefault="009E6FB4" w:rsidP="009E6FB4">
      <w:pPr>
        <w:rPr>
          <w:rFonts w:ascii="Times New Roman" w:hAnsi="Times New Roman" w:cs="Times New Roman"/>
        </w:rPr>
      </w:pPr>
    </w:p>
    <w:p w14:paraId="3D389B76"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A. Only about half of states allow disclosure of client confidences to avoid wrongful conviction under the “substantial bodily harm” exception to ACP. The remaining jurisdictions should expand their interpretation of this exception to allow lawyers to disclose client confidences when doing so is necessary to prevent the conviction of a third-party. </w:t>
      </w:r>
      <w:proofErr w:type="spellStart"/>
      <w:r w:rsidRPr="005E4A17">
        <w:rPr>
          <w:rFonts w:ascii="Times New Roman" w:hAnsi="Times New Roman" w:cs="Times New Roman"/>
        </w:rPr>
        <w:t>Hasbani</w:t>
      </w:r>
      <w:proofErr w:type="spellEnd"/>
      <w:r w:rsidRPr="005E4A17">
        <w:rPr>
          <w:rFonts w:ascii="Times New Roman" w:hAnsi="Times New Roman" w:cs="Times New Roman"/>
        </w:rPr>
        <w:t xml:space="preserve"> 2010</w:t>
      </w:r>
      <w:r w:rsidRPr="005E4A17">
        <w:rPr>
          <w:rStyle w:val="FootnoteReference"/>
          <w:rFonts w:ascii="Times New Roman" w:hAnsi="Times New Roman" w:cs="Times New Roman"/>
        </w:rPr>
        <w:footnoteReference w:id="9"/>
      </w:r>
      <w:r w:rsidRPr="005E4A17">
        <w:rPr>
          <w:rFonts w:ascii="Times New Roman" w:hAnsi="Times New Roman" w:cs="Times New Roman"/>
        </w:rPr>
        <w:t>:</w:t>
      </w:r>
    </w:p>
    <w:p w14:paraId="3FB0C8B9" w14:textId="77777777" w:rsidR="009E6FB4" w:rsidRPr="005E4A17" w:rsidRDefault="009E6FB4" w:rsidP="009E6FB4">
      <w:pPr>
        <w:rPr>
          <w:rFonts w:ascii="Times New Roman" w:hAnsi="Times New Roman" w:cs="Times New Roman"/>
        </w:rPr>
      </w:pPr>
    </w:p>
    <w:p w14:paraId="7C11264A"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Perhaps one </w:t>
      </w:r>
      <w:proofErr w:type="gramStart"/>
      <w:r w:rsidRPr="005E4A17">
        <w:rPr>
          <w:rFonts w:ascii="Times New Roman" w:hAnsi="Times New Roman" w:cs="Times New Roman"/>
        </w:rPr>
        <w:t>of</w:t>
      </w:r>
      <w:proofErr w:type="gramEnd"/>
      <w:r w:rsidRPr="005E4A17">
        <w:rPr>
          <w:rFonts w:ascii="Times New Roman" w:hAnsi="Times New Roman" w:cs="Times New Roman"/>
        </w:rPr>
        <w:t xml:space="preserve">… or incarceration of another."76 </w:t>
      </w:r>
    </w:p>
    <w:p w14:paraId="38F6D0DB" w14:textId="77777777" w:rsidR="009E6FB4" w:rsidRPr="005E4A17" w:rsidRDefault="009E6FB4" w:rsidP="009E6FB4">
      <w:pPr>
        <w:rPr>
          <w:rFonts w:ascii="Times New Roman" w:hAnsi="Times New Roman" w:cs="Times New Roman"/>
        </w:rPr>
      </w:pPr>
    </w:p>
    <w:p w14:paraId="6FB731A8"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B. The wrongful conviction exception is accompanied by a use immunity that prevents the disclosed information from being used against the lawyer’s client in a criminal prosecution. </w:t>
      </w:r>
      <w:proofErr w:type="spellStart"/>
      <w:r w:rsidRPr="005E4A17">
        <w:rPr>
          <w:rFonts w:ascii="Times New Roman" w:hAnsi="Times New Roman" w:cs="Times New Roman"/>
        </w:rPr>
        <w:t>Hasbani</w:t>
      </w:r>
      <w:proofErr w:type="spellEnd"/>
      <w:r w:rsidRPr="005E4A17">
        <w:rPr>
          <w:rFonts w:ascii="Times New Roman" w:hAnsi="Times New Roman" w:cs="Times New Roman"/>
        </w:rPr>
        <w:t xml:space="preserve"> 2</w:t>
      </w:r>
      <w:r w:rsidRPr="005E4A17">
        <w:rPr>
          <w:rStyle w:val="FootnoteReference"/>
          <w:rFonts w:ascii="Times New Roman" w:hAnsi="Times New Roman" w:cs="Times New Roman"/>
        </w:rPr>
        <w:footnoteReference w:id="10"/>
      </w:r>
      <w:r w:rsidRPr="005E4A17">
        <w:rPr>
          <w:rFonts w:ascii="Times New Roman" w:hAnsi="Times New Roman" w:cs="Times New Roman"/>
        </w:rPr>
        <w:t>:</w:t>
      </w:r>
    </w:p>
    <w:p w14:paraId="61F8DA8A" w14:textId="77777777" w:rsidR="009E6FB4" w:rsidRPr="005E4A17" w:rsidRDefault="009E6FB4" w:rsidP="009E6FB4">
      <w:pPr>
        <w:rPr>
          <w:rFonts w:ascii="Times New Roman" w:hAnsi="Times New Roman" w:cs="Times New Roman"/>
        </w:rPr>
      </w:pPr>
    </w:p>
    <w:p w14:paraId="22E4B82D" w14:textId="77777777" w:rsidR="009E6FB4" w:rsidRPr="005E4A17" w:rsidRDefault="009E6FB4" w:rsidP="009E6FB4">
      <w:pPr>
        <w:rPr>
          <w:rFonts w:ascii="Times New Roman" w:hAnsi="Times New Roman" w:cs="Times New Roman"/>
        </w:rPr>
      </w:pPr>
      <w:proofErr w:type="gramStart"/>
      <w:r w:rsidRPr="005E4A17">
        <w:rPr>
          <w:rFonts w:ascii="Times New Roman" w:hAnsi="Times New Roman" w:cs="Times New Roman"/>
        </w:rPr>
        <w:t>In order to… use immunity's protection.</w:t>
      </w:r>
      <w:proofErr w:type="gramEnd"/>
      <w:r w:rsidRPr="005E4A17">
        <w:rPr>
          <w:rFonts w:ascii="Times New Roman" w:hAnsi="Times New Roman" w:cs="Times New Roman"/>
        </w:rPr>
        <w:t xml:space="preserve">  </w:t>
      </w:r>
    </w:p>
    <w:p w14:paraId="3B7A5A3C" w14:textId="77777777" w:rsidR="009E6FB4" w:rsidRPr="005E4A17" w:rsidRDefault="009E6FB4" w:rsidP="009E6FB4">
      <w:pPr>
        <w:rPr>
          <w:rFonts w:ascii="Times New Roman" w:hAnsi="Times New Roman" w:cs="Times New Roman"/>
        </w:rPr>
      </w:pPr>
    </w:p>
    <w:p w14:paraId="5FE47900"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PART III IS OFFENSE: Allowing disclosure of client confidences to avoid wrongful conviction of </w:t>
      </w:r>
      <w:proofErr w:type="gramStart"/>
      <w:r w:rsidRPr="005E4A17">
        <w:rPr>
          <w:rFonts w:ascii="Times New Roman" w:hAnsi="Times New Roman" w:cs="Times New Roman"/>
        </w:rPr>
        <w:t>third-parties</w:t>
      </w:r>
      <w:proofErr w:type="gramEnd"/>
      <w:r w:rsidRPr="005E4A17">
        <w:rPr>
          <w:rFonts w:ascii="Times New Roman" w:hAnsi="Times New Roman" w:cs="Times New Roman"/>
        </w:rPr>
        <w:t xml:space="preserve"> is essential to minimizing undeserved punished.</w:t>
      </w:r>
    </w:p>
    <w:p w14:paraId="5B02E098" w14:textId="77777777" w:rsidR="009E6FB4" w:rsidRPr="005E4A17" w:rsidRDefault="009E6FB4" w:rsidP="009E6FB4">
      <w:pPr>
        <w:rPr>
          <w:rFonts w:ascii="Times New Roman" w:hAnsi="Times New Roman" w:cs="Times New Roman"/>
        </w:rPr>
      </w:pPr>
    </w:p>
    <w:p w14:paraId="186F2121"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 xml:space="preserve">A. A wrongful conviction exception for attorney-client privilege protects justice. </w:t>
      </w:r>
      <w:proofErr w:type="spellStart"/>
      <w:r w:rsidRPr="005E4A17">
        <w:rPr>
          <w:rFonts w:ascii="Times New Roman" w:hAnsi="Times New Roman" w:cs="Times New Roman"/>
        </w:rPr>
        <w:t>Hasbani</w:t>
      </w:r>
      <w:proofErr w:type="spellEnd"/>
      <w:r w:rsidRPr="005E4A17">
        <w:rPr>
          <w:rFonts w:ascii="Times New Roman" w:hAnsi="Times New Roman" w:cs="Times New Roman"/>
        </w:rPr>
        <w:t xml:space="preserve"> 3</w:t>
      </w:r>
      <w:r w:rsidRPr="005E4A17">
        <w:rPr>
          <w:rStyle w:val="FootnoteReference"/>
          <w:rFonts w:ascii="Times New Roman" w:hAnsi="Times New Roman" w:cs="Times New Roman"/>
        </w:rPr>
        <w:footnoteReference w:id="11"/>
      </w:r>
      <w:r w:rsidRPr="005E4A17">
        <w:rPr>
          <w:rFonts w:ascii="Times New Roman" w:hAnsi="Times New Roman" w:cs="Times New Roman"/>
        </w:rPr>
        <w:t>:</w:t>
      </w:r>
    </w:p>
    <w:p w14:paraId="7A56B6C4" w14:textId="77777777" w:rsidR="009E6FB4" w:rsidRPr="005E4A17" w:rsidRDefault="009E6FB4" w:rsidP="009E6FB4">
      <w:pPr>
        <w:rPr>
          <w:rFonts w:ascii="Times New Roman" w:hAnsi="Times New Roman" w:cs="Times New Roman"/>
        </w:rPr>
      </w:pPr>
    </w:p>
    <w:p w14:paraId="6BAE7DDA" w14:textId="77777777" w:rsidR="009E6FB4" w:rsidRPr="005E4A17" w:rsidRDefault="009E6FB4" w:rsidP="009E6FB4">
      <w:pPr>
        <w:ind w:left="720"/>
        <w:rPr>
          <w:rFonts w:ascii="Times New Roman" w:hAnsi="Times New Roman" w:cs="Times New Roman"/>
        </w:rPr>
      </w:pPr>
      <w:r w:rsidRPr="005E4A17">
        <w:rPr>
          <w:rFonts w:ascii="Times New Roman" w:hAnsi="Times New Roman" w:cs="Times New Roman"/>
        </w:rPr>
        <w:t>Legislatures should adopt… freedom of the innocent.</w:t>
      </w:r>
    </w:p>
    <w:p w14:paraId="201F0FC1" w14:textId="77777777" w:rsidR="009E6FB4" w:rsidRPr="005E4A17" w:rsidRDefault="009E6FB4" w:rsidP="009E6FB4">
      <w:pPr>
        <w:rPr>
          <w:rFonts w:ascii="Times New Roman" w:hAnsi="Times New Roman" w:cs="Times New Roman"/>
        </w:rPr>
      </w:pPr>
    </w:p>
    <w:p w14:paraId="62AC26D1"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B. Wrongful conviction subjects individuals to significant physical danger and should therefore be incorporated into the substantial bodily harm exception. Miller 2008</w:t>
      </w:r>
      <w:r w:rsidRPr="005E4A17">
        <w:rPr>
          <w:rStyle w:val="FootnoteReference"/>
          <w:rFonts w:ascii="Times New Roman" w:hAnsi="Times New Roman" w:cs="Times New Roman"/>
        </w:rPr>
        <w:footnoteReference w:id="12"/>
      </w:r>
      <w:r w:rsidRPr="005E4A17">
        <w:rPr>
          <w:rFonts w:ascii="Times New Roman" w:hAnsi="Times New Roman" w:cs="Times New Roman"/>
        </w:rPr>
        <w:t>:</w:t>
      </w:r>
    </w:p>
    <w:p w14:paraId="015A199D"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Turning to wrongful incarceration… in the previous year.</w:t>
      </w:r>
    </w:p>
    <w:p w14:paraId="78954EE9" w14:textId="77777777" w:rsidR="009E6FB4" w:rsidRPr="005E4A17" w:rsidRDefault="009E6FB4" w:rsidP="009E6FB4">
      <w:pPr>
        <w:rPr>
          <w:rFonts w:ascii="Times New Roman" w:hAnsi="Times New Roman" w:cs="Times New Roman"/>
        </w:rPr>
      </w:pPr>
    </w:p>
    <w:p w14:paraId="1301274D" w14:textId="77777777" w:rsidR="009E6FB4" w:rsidRPr="005E4A17" w:rsidRDefault="009E6FB4" w:rsidP="009E6FB4">
      <w:pPr>
        <w:widowControl w:val="0"/>
        <w:autoSpaceDE w:val="0"/>
        <w:autoSpaceDN w:val="0"/>
        <w:adjustRightInd w:val="0"/>
        <w:rPr>
          <w:rFonts w:ascii="Times New Roman" w:hAnsi="Times New Roman" w:cs="Times New Roman"/>
        </w:rPr>
      </w:pPr>
      <w:r w:rsidRPr="005E4A17">
        <w:rPr>
          <w:rFonts w:ascii="Times New Roman" w:hAnsi="Times New Roman" w:cs="Times New Roman"/>
        </w:rPr>
        <w:t>Thus, because it is relatively certain that bodily harm will come to someone who is wrongly convicted, attorney disclosure should be allowed. Miller 2</w:t>
      </w:r>
      <w:r w:rsidRPr="005E4A17">
        <w:rPr>
          <w:rStyle w:val="FootnoteReference"/>
          <w:rFonts w:ascii="Times New Roman" w:hAnsi="Times New Roman" w:cs="Times New Roman"/>
        </w:rPr>
        <w:footnoteReference w:id="13"/>
      </w:r>
      <w:r w:rsidRPr="005E4A17">
        <w:rPr>
          <w:rFonts w:ascii="Times New Roman" w:hAnsi="Times New Roman" w:cs="Times New Roman"/>
        </w:rPr>
        <w:t>:</w:t>
      </w:r>
    </w:p>
    <w:p w14:paraId="2E4D6E25" w14:textId="77777777" w:rsidR="009E6FB4" w:rsidRPr="005E4A17" w:rsidRDefault="009E6FB4" w:rsidP="009E6FB4">
      <w:pPr>
        <w:rPr>
          <w:rFonts w:ascii="Times New Roman" w:hAnsi="Times New Roman" w:cs="Times New Roman"/>
        </w:rPr>
      </w:pPr>
      <w:r w:rsidRPr="005E4A17">
        <w:rPr>
          <w:rFonts w:ascii="Times New Roman" w:hAnsi="Times New Roman" w:cs="Times New Roman"/>
        </w:rPr>
        <w:t>In deciding whether… the proposed acts.</w:t>
      </w:r>
    </w:p>
    <w:p w14:paraId="6B874B9E" w14:textId="77777777" w:rsidR="009E6FB4" w:rsidRPr="005E4A17" w:rsidRDefault="009E6FB4" w:rsidP="009E6FB4">
      <w:pPr>
        <w:rPr>
          <w:rFonts w:ascii="Times New Roman" w:hAnsi="Times New Roman" w:cs="Times New Roman"/>
        </w:rPr>
      </w:pPr>
    </w:p>
    <w:p w14:paraId="406CE5DC" w14:textId="77777777" w:rsidR="009E6FB4" w:rsidRPr="005E4A17" w:rsidRDefault="009E6FB4" w:rsidP="009E6FB4">
      <w:pPr>
        <w:widowControl w:val="0"/>
        <w:autoSpaceDE w:val="0"/>
        <w:autoSpaceDN w:val="0"/>
        <w:adjustRightInd w:val="0"/>
        <w:spacing w:after="240"/>
        <w:rPr>
          <w:rFonts w:ascii="Times New Roman" w:hAnsi="Times New Roman" w:cs="Times New Roman"/>
        </w:rPr>
      </w:pPr>
      <w:r w:rsidRPr="005E4A17">
        <w:rPr>
          <w:rFonts w:ascii="Times New Roman" w:hAnsi="Times New Roman" w:cs="Times New Roman"/>
        </w:rPr>
        <w:t xml:space="preserve">C. Wrongful conviction is rampant in the Criminal Justice System. The time to act is now. </w:t>
      </w:r>
      <w:proofErr w:type="spellStart"/>
      <w:r w:rsidRPr="005E4A17">
        <w:rPr>
          <w:rFonts w:ascii="Times New Roman" w:hAnsi="Times New Roman" w:cs="Times New Roman"/>
        </w:rPr>
        <w:t>Zalman</w:t>
      </w:r>
      <w:proofErr w:type="spellEnd"/>
      <w:r w:rsidRPr="005E4A17">
        <w:rPr>
          <w:rFonts w:ascii="Times New Roman" w:hAnsi="Times New Roman" w:cs="Times New Roman"/>
        </w:rPr>
        <w:t xml:space="preserve"> 2012</w:t>
      </w:r>
      <w:r w:rsidRPr="005E4A17">
        <w:rPr>
          <w:rStyle w:val="FootnoteReference"/>
          <w:rFonts w:ascii="Times New Roman" w:hAnsi="Times New Roman" w:cs="Times New Roman"/>
        </w:rPr>
        <w:footnoteReference w:id="14"/>
      </w:r>
      <w:r w:rsidRPr="005E4A17">
        <w:rPr>
          <w:rFonts w:ascii="Times New Roman" w:hAnsi="Times New Roman" w:cs="Times New Roman"/>
        </w:rPr>
        <w:t>:</w:t>
      </w:r>
    </w:p>
    <w:p w14:paraId="2CBAED55" w14:textId="77777777" w:rsidR="009E6FB4" w:rsidRPr="009E6FB4" w:rsidRDefault="009E6FB4" w:rsidP="009E6FB4">
      <w:pPr>
        <w:rPr>
          <w:rFonts w:ascii="Calibri" w:hAnsi="Calibri"/>
        </w:rPr>
      </w:pPr>
      <w:r w:rsidRPr="005E4A17">
        <w:rPr>
          <w:rFonts w:ascii="Times New Roman" w:hAnsi="Times New Roman" w:cs="Times New Roman"/>
        </w:rPr>
        <w:t>The ultimate question…</w:t>
      </w:r>
      <w:r w:rsidRPr="005E4A17">
        <w:rPr>
          <w:rFonts w:ascii="Times New Roman" w:eastAsia="Times New Roman" w:hAnsi="Times New Roman" w:cs="Times New Roman"/>
          <w:color w:val="333333"/>
          <w:shd w:val="clear" w:color="auto" w:fill="FFFFFF"/>
        </w:rPr>
        <w:t xml:space="preserve"> the justice system.</w:t>
      </w:r>
    </w:p>
    <w:sectPr w:rsidR="009E6FB4" w:rsidRPr="009E6FB4" w:rsidSect="0067521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CFF84B" w14:textId="77777777" w:rsidR="009E6FB4" w:rsidRDefault="009E6FB4" w:rsidP="009E6FB4">
      <w:r>
        <w:separator/>
      </w:r>
    </w:p>
  </w:endnote>
  <w:endnote w:type="continuationSeparator" w:id="0">
    <w:p w14:paraId="7C1E6464" w14:textId="77777777" w:rsidR="009E6FB4" w:rsidRDefault="009E6FB4" w:rsidP="009E6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2FA980" w14:textId="77777777" w:rsidR="009E6FB4" w:rsidRDefault="009E6FB4" w:rsidP="009E6FB4">
      <w:r>
        <w:separator/>
      </w:r>
    </w:p>
  </w:footnote>
  <w:footnote w:type="continuationSeparator" w:id="0">
    <w:p w14:paraId="0B74076C" w14:textId="77777777" w:rsidR="009E6FB4" w:rsidRDefault="009E6FB4" w:rsidP="009E6FB4">
      <w:r>
        <w:continuationSeparator/>
      </w:r>
    </w:p>
  </w:footnote>
  <w:footnote w:id="1">
    <w:p w14:paraId="7663F5EE" w14:textId="77777777" w:rsidR="009E6FB4" w:rsidRPr="003F38E7" w:rsidRDefault="009E6FB4" w:rsidP="009E6FB4">
      <w:pPr>
        <w:pStyle w:val="FootnoteText"/>
      </w:pPr>
      <w:r w:rsidRPr="003F38E7">
        <w:rPr>
          <w:rStyle w:val="FootnoteReference"/>
        </w:rPr>
        <w:footnoteRef/>
      </w:r>
      <w:r w:rsidRPr="003F38E7">
        <w:t xml:space="preserve"> “</w:t>
      </w:r>
      <w:proofErr w:type="gramStart"/>
      <w:r w:rsidRPr="003F38E7">
        <w:t>ought</w:t>
      </w:r>
      <w:proofErr w:type="gramEnd"/>
      <w:r w:rsidRPr="003F38E7">
        <w:t xml:space="preserve">.” Def. 1. </w:t>
      </w:r>
      <w:proofErr w:type="gramStart"/>
      <w:r w:rsidRPr="003F38E7">
        <w:rPr>
          <w:i/>
        </w:rPr>
        <w:t>Random House Dictionary</w:t>
      </w:r>
      <w:r w:rsidRPr="003F38E7">
        <w:t>, Dictionary.com.</w:t>
      </w:r>
      <w:proofErr w:type="gramEnd"/>
      <w:r w:rsidRPr="003F38E7">
        <w:t xml:space="preserve"> </w:t>
      </w:r>
      <w:proofErr w:type="spellStart"/>
      <w:proofErr w:type="gramStart"/>
      <w:r w:rsidRPr="003F38E7">
        <w:t>n</w:t>
      </w:r>
      <w:proofErr w:type="gramEnd"/>
      <w:r w:rsidRPr="003F38E7">
        <w:t>.d.</w:t>
      </w:r>
      <w:proofErr w:type="spellEnd"/>
      <w:r w:rsidRPr="003F38E7">
        <w:t xml:space="preserve"> Web. 2 Nov. 2013.</w:t>
      </w:r>
    </w:p>
  </w:footnote>
  <w:footnote w:id="2">
    <w:p w14:paraId="73DE93AF" w14:textId="77777777" w:rsidR="009E6FB4" w:rsidRPr="003F38E7" w:rsidRDefault="009E6FB4" w:rsidP="009E6FB4">
      <w:pPr>
        <w:pStyle w:val="FootnoteText"/>
      </w:pPr>
      <w:r w:rsidRPr="003F38E7">
        <w:rPr>
          <w:rStyle w:val="FootnoteReference"/>
        </w:rPr>
        <w:footnoteRef/>
      </w:r>
      <w:r w:rsidRPr="003F38E7">
        <w:t xml:space="preserve"> Sterling P. </w:t>
      </w:r>
      <w:proofErr w:type="spellStart"/>
      <w:r w:rsidRPr="003F38E7">
        <w:t>Lamprecht</w:t>
      </w:r>
      <w:proofErr w:type="spellEnd"/>
      <w:r w:rsidRPr="003F38E7">
        <w:t xml:space="preserve"> [Emeritus Prof. of Philosophy, Amherst, 1928-1956], “The Need for a Pluralistic Emphasis in Ethics,” </w:t>
      </w:r>
      <w:r w:rsidRPr="003F38E7">
        <w:rPr>
          <w:i/>
        </w:rPr>
        <w:t>The Journal of Philosophy, Psychology and Scientific Methods</w:t>
      </w:r>
      <w:r w:rsidRPr="003F38E7">
        <w:t>, Vol. 17, No. 21 (Oct. 7,1920), pp. 561-572</w:t>
      </w:r>
    </w:p>
  </w:footnote>
  <w:footnote w:id="3">
    <w:p w14:paraId="3CD493E4" w14:textId="77777777" w:rsidR="009E6FB4" w:rsidRPr="003F38E7" w:rsidRDefault="009E6FB4" w:rsidP="009E6FB4">
      <w:pPr>
        <w:pStyle w:val="FootnoteText"/>
      </w:pPr>
      <w:r w:rsidRPr="003F38E7">
        <w:rPr>
          <w:rStyle w:val="FootnoteReference"/>
        </w:rPr>
        <w:footnoteRef/>
      </w:r>
      <w:r w:rsidRPr="003F38E7">
        <w:t xml:space="preserve"> Sterling P. </w:t>
      </w:r>
      <w:proofErr w:type="spellStart"/>
      <w:r w:rsidRPr="003F38E7">
        <w:t>Lamprecht</w:t>
      </w:r>
      <w:proofErr w:type="spellEnd"/>
      <w:r w:rsidRPr="003F38E7">
        <w:t xml:space="preserve"> [Emeritus Prof. of Philosophy, Amherst, 1928-1956], “The Need for a Pluralistic Emphasis in Ethics,” </w:t>
      </w:r>
      <w:r w:rsidRPr="003F38E7">
        <w:rPr>
          <w:i/>
        </w:rPr>
        <w:t>The Journal of Philosophy, Psychology and Scientific Methods</w:t>
      </w:r>
      <w:r w:rsidRPr="003F38E7">
        <w:t>, Vol. 17, No. 21 (Oct. 7,1920), pp. 561-572</w:t>
      </w:r>
    </w:p>
  </w:footnote>
  <w:footnote w:id="4">
    <w:p w14:paraId="423A5A49" w14:textId="77777777" w:rsidR="009E6FB4" w:rsidRPr="003F38E7" w:rsidRDefault="009E6FB4" w:rsidP="009E6FB4">
      <w:pPr>
        <w:pStyle w:val="FootnoteText"/>
      </w:pPr>
      <w:r w:rsidRPr="003F38E7">
        <w:rPr>
          <w:rStyle w:val="FootnoteReference"/>
        </w:rPr>
        <w:footnoteRef/>
      </w:r>
      <w:r w:rsidRPr="003F38E7">
        <w:t xml:space="preserve"> Bernard Williams [Prof. of Philosophy, University of Cambridge, University of California at Berkeley], </w:t>
      </w:r>
      <w:r w:rsidRPr="003F38E7">
        <w:rPr>
          <w:u w:val="single"/>
        </w:rPr>
        <w:t>Ethics and the Limits of Philosophy</w:t>
      </w:r>
      <w:r w:rsidRPr="003F38E7">
        <w:t>, Cambridge: Harvard University Press (1985), pp. 116-117</w:t>
      </w:r>
    </w:p>
  </w:footnote>
  <w:footnote w:id="5">
    <w:p w14:paraId="53A66ECC" w14:textId="77777777" w:rsidR="009E6FB4" w:rsidRPr="003F38E7" w:rsidRDefault="009E6FB4" w:rsidP="009E6FB4">
      <w:pPr>
        <w:pStyle w:val="FootnoteText"/>
      </w:pPr>
      <w:r w:rsidRPr="003F38E7">
        <w:rPr>
          <w:rStyle w:val="FootnoteReference"/>
        </w:rPr>
        <w:footnoteRef/>
      </w:r>
      <w:r w:rsidRPr="003F38E7">
        <w:t xml:space="preserve"> Carol S. </w:t>
      </w:r>
      <w:proofErr w:type="spellStart"/>
      <w:r w:rsidRPr="003F38E7">
        <w:t>Steiker</w:t>
      </w:r>
      <w:proofErr w:type="spellEnd"/>
      <w:r w:rsidRPr="003F38E7">
        <w:t xml:space="preserve"> [Prof. of Law, Harvard Law School, Jordan M. </w:t>
      </w:r>
      <w:proofErr w:type="spellStart"/>
      <w:r w:rsidRPr="003F38E7">
        <w:t>Steiker</w:t>
      </w:r>
      <w:proofErr w:type="spellEnd"/>
      <w:r w:rsidRPr="003F38E7">
        <w:t xml:space="preserve"> [Prof. of Law, U. of Texas School of Law], “The Seduction of Innocence: The Attraction and Limitations of the Focus on Innocence in Capital</w:t>
      </w:r>
    </w:p>
    <w:p w14:paraId="32F55E81" w14:textId="77777777" w:rsidR="009E6FB4" w:rsidRPr="003F38E7" w:rsidRDefault="009E6FB4" w:rsidP="009E6FB4">
      <w:pPr>
        <w:pStyle w:val="FootnoteText"/>
      </w:pPr>
      <w:r w:rsidRPr="003F38E7">
        <w:t>Punishment Law and Advocacy,” 95 J. Crim. L. &amp; Criminology 587 (2004-2005)</w:t>
      </w:r>
    </w:p>
  </w:footnote>
  <w:footnote w:id="6">
    <w:p w14:paraId="0A373EE7" w14:textId="77777777" w:rsidR="009E6FB4" w:rsidRPr="003F38E7" w:rsidRDefault="009E6FB4" w:rsidP="009E6FB4">
      <w:pPr>
        <w:pStyle w:val="FootnoteText"/>
      </w:pPr>
      <w:r w:rsidRPr="003F38E7">
        <w:rPr>
          <w:rStyle w:val="FootnoteReference"/>
        </w:rPr>
        <w:footnoteRef/>
      </w:r>
      <w:r w:rsidRPr="003F38E7">
        <w:t xml:space="preserve"> Peter A. Joy [Prof. of Law, Washington U. School of Law, St. Louis], “The Relationship Between Prosecutorial Misconduct And Wrongful Convictions: Shaping Remedies For A Broken System,” </w:t>
      </w:r>
      <w:r w:rsidRPr="003F38E7">
        <w:rPr>
          <w:i/>
        </w:rPr>
        <w:t>Wisconsin Law Review</w:t>
      </w:r>
      <w:r w:rsidRPr="003F38E7">
        <w:t>, p.399 (2006)</w:t>
      </w:r>
    </w:p>
  </w:footnote>
  <w:footnote w:id="7">
    <w:p w14:paraId="0474D4B3" w14:textId="77777777" w:rsidR="009E6FB4" w:rsidRPr="003F38E7" w:rsidRDefault="009E6FB4" w:rsidP="009E6FB4">
      <w:pPr>
        <w:pStyle w:val="FootnoteText"/>
      </w:pPr>
      <w:r w:rsidRPr="003F38E7">
        <w:rPr>
          <w:rStyle w:val="FootnoteReference"/>
        </w:rPr>
        <w:footnoteRef/>
      </w:r>
      <w:r w:rsidRPr="003F38E7">
        <w:t xml:space="preserve"> </w:t>
      </w:r>
      <w:proofErr w:type="spellStart"/>
      <w:proofErr w:type="gramStart"/>
      <w:r w:rsidRPr="003F38E7">
        <w:t>Rinat</w:t>
      </w:r>
      <w:proofErr w:type="spellEnd"/>
      <w:r w:rsidRPr="003F38E7">
        <w:t xml:space="preserve"> </w:t>
      </w:r>
      <w:proofErr w:type="spellStart"/>
      <w:r w:rsidRPr="003F38E7">
        <w:t>Kitai</w:t>
      </w:r>
      <w:proofErr w:type="spellEnd"/>
      <w:r w:rsidRPr="003F38E7">
        <w:t xml:space="preserve"> [Lecturer, Ramat </w:t>
      </w:r>
      <w:proofErr w:type="spellStart"/>
      <w:r w:rsidRPr="003F38E7">
        <w:t>Gan</w:t>
      </w:r>
      <w:proofErr w:type="spellEnd"/>
      <w:r w:rsidRPr="003F38E7">
        <w:t xml:space="preserve"> Law School, Israel], “Protecting the Guilty,” 6 </w:t>
      </w:r>
      <w:r w:rsidRPr="003F38E7">
        <w:rPr>
          <w:i/>
        </w:rPr>
        <w:t>Buff.</w:t>
      </w:r>
      <w:proofErr w:type="gramEnd"/>
      <w:r w:rsidRPr="003F38E7">
        <w:rPr>
          <w:i/>
        </w:rPr>
        <w:t xml:space="preserve"> Crim. L. Rev.</w:t>
      </w:r>
      <w:r w:rsidRPr="003F38E7">
        <w:t xml:space="preserve"> 1163 (2002-2003)</w:t>
      </w:r>
    </w:p>
  </w:footnote>
  <w:footnote w:id="8">
    <w:p w14:paraId="11109406" w14:textId="77777777" w:rsidR="009E6FB4" w:rsidRPr="003F38E7" w:rsidRDefault="009E6FB4" w:rsidP="009E6FB4">
      <w:pPr>
        <w:pStyle w:val="FootnoteText"/>
      </w:pPr>
      <w:r w:rsidRPr="003F38E7">
        <w:rPr>
          <w:rStyle w:val="FootnoteReference"/>
        </w:rPr>
        <w:footnoteRef/>
      </w:r>
      <w:r w:rsidRPr="003F38E7">
        <w:t xml:space="preserve"> </w:t>
      </w:r>
      <w:proofErr w:type="spellStart"/>
      <w:proofErr w:type="gramStart"/>
      <w:r w:rsidRPr="003F38E7">
        <w:t>Rinat</w:t>
      </w:r>
      <w:proofErr w:type="spellEnd"/>
      <w:r w:rsidRPr="003F38E7">
        <w:t xml:space="preserve"> </w:t>
      </w:r>
      <w:proofErr w:type="spellStart"/>
      <w:r w:rsidRPr="003F38E7">
        <w:t>Kitai</w:t>
      </w:r>
      <w:proofErr w:type="spellEnd"/>
      <w:r w:rsidRPr="003F38E7">
        <w:t xml:space="preserve"> [Lecturer, Ramat </w:t>
      </w:r>
      <w:proofErr w:type="spellStart"/>
      <w:r w:rsidRPr="003F38E7">
        <w:t>Gan</w:t>
      </w:r>
      <w:proofErr w:type="spellEnd"/>
      <w:r w:rsidRPr="003F38E7">
        <w:t xml:space="preserve"> Law School, Israel], “Protecting the Guilty,” 6 </w:t>
      </w:r>
      <w:r w:rsidRPr="003F38E7">
        <w:rPr>
          <w:i/>
        </w:rPr>
        <w:t>Buff.</w:t>
      </w:r>
      <w:proofErr w:type="gramEnd"/>
      <w:r w:rsidRPr="003F38E7">
        <w:rPr>
          <w:i/>
        </w:rPr>
        <w:t xml:space="preserve"> Crim. L. Rev.</w:t>
      </w:r>
      <w:r w:rsidRPr="003F38E7">
        <w:t xml:space="preserve"> 1163 (2002-2003)</w:t>
      </w:r>
    </w:p>
  </w:footnote>
  <w:footnote w:id="9">
    <w:p w14:paraId="440B581C" w14:textId="77777777" w:rsidR="009E6FB4" w:rsidRPr="003F38E7" w:rsidRDefault="009E6FB4" w:rsidP="009E6FB4">
      <w:pPr>
        <w:pStyle w:val="FootnoteText"/>
      </w:pPr>
      <w:r w:rsidRPr="003F38E7">
        <w:rPr>
          <w:rStyle w:val="FootnoteReference"/>
        </w:rPr>
        <w:footnoteRef/>
      </w:r>
      <w:r w:rsidRPr="003F38E7">
        <w:t xml:space="preserve"> </w:t>
      </w:r>
      <w:proofErr w:type="spellStart"/>
      <w:r w:rsidRPr="003F38E7">
        <w:t>Inbal</w:t>
      </w:r>
      <w:proofErr w:type="spellEnd"/>
      <w:r w:rsidRPr="003F38E7">
        <w:t xml:space="preserve"> </w:t>
      </w:r>
      <w:proofErr w:type="spellStart"/>
      <w:r w:rsidRPr="003F38E7">
        <w:t>Hasbani</w:t>
      </w:r>
      <w:proofErr w:type="spellEnd"/>
      <w:r w:rsidRPr="003F38E7">
        <w:t xml:space="preserve"> [J.D. Northwestern University School of Law], “When the Law Preserves Injustice: Issues Raised by a </w:t>
      </w:r>
      <w:proofErr w:type="spellStart"/>
      <w:r w:rsidRPr="003F38E7">
        <w:t>Wronful</w:t>
      </w:r>
      <w:proofErr w:type="spellEnd"/>
      <w:r w:rsidRPr="003F38E7">
        <w:t xml:space="preserve"> Incarceration Exception to Attorney-Client Confidentiality,” 100 J. Crim. L. &amp; Criminology 277 (2010)</w:t>
      </w:r>
    </w:p>
  </w:footnote>
  <w:footnote w:id="10">
    <w:p w14:paraId="02401147" w14:textId="77777777" w:rsidR="009E6FB4" w:rsidRDefault="009E6FB4" w:rsidP="009E6FB4">
      <w:pPr>
        <w:pStyle w:val="FootnoteText"/>
      </w:pPr>
      <w:r>
        <w:rPr>
          <w:rStyle w:val="FootnoteReference"/>
        </w:rPr>
        <w:footnoteRef/>
      </w:r>
      <w:r>
        <w:t xml:space="preserve"> </w:t>
      </w:r>
      <w:proofErr w:type="spellStart"/>
      <w:r>
        <w:t>Inbal</w:t>
      </w:r>
      <w:proofErr w:type="spellEnd"/>
      <w:r>
        <w:t xml:space="preserve"> </w:t>
      </w:r>
      <w:proofErr w:type="spellStart"/>
      <w:r>
        <w:t>Hasbani</w:t>
      </w:r>
      <w:proofErr w:type="spellEnd"/>
      <w:r>
        <w:t xml:space="preserve"> [J.D. </w:t>
      </w:r>
      <w:r w:rsidRPr="00A243A6">
        <w:t>Northwestern University School of Law</w:t>
      </w:r>
      <w:r>
        <w:t xml:space="preserve">], “When the Law Preserves Injustice: Issues Raised by a </w:t>
      </w:r>
      <w:proofErr w:type="spellStart"/>
      <w:r>
        <w:t>Wronful</w:t>
      </w:r>
      <w:proofErr w:type="spellEnd"/>
      <w:r>
        <w:t xml:space="preserve"> Incarceration Exception to Attorney-Client Confidentiality,” </w:t>
      </w:r>
      <w:r w:rsidRPr="00A243A6">
        <w:t xml:space="preserve">100 J. Crim. L. &amp; Criminology 277 </w:t>
      </w:r>
      <w:r>
        <w:t>(</w:t>
      </w:r>
      <w:r w:rsidRPr="00A243A6">
        <w:t>2010</w:t>
      </w:r>
      <w:r>
        <w:t>)</w:t>
      </w:r>
    </w:p>
  </w:footnote>
  <w:footnote w:id="11">
    <w:p w14:paraId="6EE381DE" w14:textId="77777777" w:rsidR="009E6FB4" w:rsidRPr="003F38E7" w:rsidRDefault="009E6FB4" w:rsidP="009E6FB4">
      <w:pPr>
        <w:pStyle w:val="FootnoteText"/>
      </w:pPr>
      <w:bookmarkStart w:id="0" w:name="_GoBack"/>
      <w:r w:rsidRPr="003F38E7">
        <w:rPr>
          <w:rStyle w:val="FootnoteReference"/>
        </w:rPr>
        <w:footnoteRef/>
      </w:r>
      <w:r w:rsidRPr="003F38E7">
        <w:t xml:space="preserve"> </w:t>
      </w:r>
      <w:proofErr w:type="spellStart"/>
      <w:r w:rsidRPr="003F38E7">
        <w:t>Inbal</w:t>
      </w:r>
      <w:proofErr w:type="spellEnd"/>
      <w:r w:rsidRPr="003F38E7">
        <w:t xml:space="preserve"> </w:t>
      </w:r>
      <w:proofErr w:type="spellStart"/>
      <w:r w:rsidRPr="003F38E7">
        <w:t>Hasbani</w:t>
      </w:r>
      <w:proofErr w:type="spellEnd"/>
      <w:r w:rsidRPr="003F38E7">
        <w:t xml:space="preserve"> [J.D. Northwestern University School of Law], “When the Law Preserves Injustice: Issues Raised by a </w:t>
      </w:r>
      <w:proofErr w:type="spellStart"/>
      <w:r w:rsidRPr="003F38E7">
        <w:t>Wronful</w:t>
      </w:r>
      <w:proofErr w:type="spellEnd"/>
      <w:r w:rsidRPr="003F38E7">
        <w:t xml:space="preserve"> Incarceration Exception to Attorney-Client Confidentiality,” 100 J. Crim. L. &amp; Criminology 277 (2010)</w:t>
      </w:r>
    </w:p>
  </w:footnote>
  <w:footnote w:id="12">
    <w:p w14:paraId="28FA20E1" w14:textId="77777777" w:rsidR="009E6FB4" w:rsidRPr="003F38E7" w:rsidRDefault="009E6FB4" w:rsidP="009E6FB4">
      <w:pPr>
        <w:rPr>
          <w:rFonts w:eastAsia="Times New Roman" w:cs="Times New Roman"/>
          <w:sz w:val="20"/>
          <w:szCs w:val="20"/>
        </w:rPr>
      </w:pPr>
      <w:r w:rsidRPr="003F38E7">
        <w:rPr>
          <w:rStyle w:val="FootnoteReference"/>
          <w:sz w:val="20"/>
          <w:szCs w:val="20"/>
        </w:rPr>
        <w:footnoteRef/>
      </w:r>
      <w:r w:rsidRPr="003F38E7">
        <w:rPr>
          <w:sz w:val="20"/>
          <w:szCs w:val="20"/>
        </w:rPr>
        <w:t xml:space="preserve"> </w:t>
      </w:r>
      <w:r w:rsidRPr="003F38E7">
        <w:rPr>
          <w:rFonts w:eastAsia="Times New Roman" w:cs="Arial"/>
          <w:color w:val="222222"/>
          <w:sz w:val="20"/>
          <w:szCs w:val="20"/>
          <w:shd w:val="clear" w:color="auto" w:fill="FFFFFF"/>
        </w:rPr>
        <w:t xml:space="preserve">Miller, Colin. "Ordeal By Innocence: Why There Should Be a Wrongful Incarceration/Execution Exception to Attorney-Client </w:t>
      </w:r>
      <w:proofErr w:type="spellStart"/>
      <w:r w:rsidRPr="003F38E7">
        <w:rPr>
          <w:rFonts w:eastAsia="Times New Roman" w:cs="Arial"/>
          <w:color w:val="222222"/>
          <w:sz w:val="20"/>
          <w:szCs w:val="20"/>
          <w:shd w:val="clear" w:color="auto" w:fill="FFFFFF"/>
        </w:rPr>
        <w:t>Confidentiality."</w:t>
      </w:r>
      <w:r w:rsidRPr="003F38E7">
        <w:rPr>
          <w:rFonts w:eastAsia="Times New Roman" w:cs="Arial"/>
          <w:i/>
          <w:iCs/>
          <w:color w:val="222222"/>
          <w:sz w:val="20"/>
          <w:szCs w:val="20"/>
          <w:shd w:val="clear" w:color="auto" w:fill="FFFFFF"/>
        </w:rPr>
        <w:t>Northwestern</w:t>
      </w:r>
      <w:proofErr w:type="spellEnd"/>
      <w:r w:rsidRPr="003F38E7">
        <w:rPr>
          <w:rFonts w:eastAsia="Times New Roman" w:cs="Arial"/>
          <w:i/>
          <w:iCs/>
          <w:color w:val="222222"/>
          <w:sz w:val="20"/>
          <w:szCs w:val="20"/>
          <w:shd w:val="clear" w:color="auto" w:fill="FFFFFF"/>
        </w:rPr>
        <w:t xml:space="preserve"> University Law Review Colloquy</w:t>
      </w:r>
      <w:r w:rsidRPr="003F38E7">
        <w:rPr>
          <w:rFonts w:eastAsia="Times New Roman" w:cs="Arial"/>
          <w:color w:val="222222"/>
          <w:sz w:val="20"/>
          <w:szCs w:val="20"/>
          <w:shd w:val="clear" w:color="auto" w:fill="FFFFFF"/>
        </w:rPr>
        <w:t> 102 (2008): 391.</w:t>
      </w:r>
    </w:p>
  </w:footnote>
  <w:footnote w:id="13">
    <w:p w14:paraId="1ECC32A1" w14:textId="77777777" w:rsidR="009E6FB4" w:rsidRPr="003F38E7" w:rsidRDefault="009E6FB4" w:rsidP="009E6FB4">
      <w:pPr>
        <w:rPr>
          <w:rFonts w:eastAsia="Times New Roman" w:cs="Times New Roman"/>
          <w:sz w:val="20"/>
          <w:szCs w:val="20"/>
        </w:rPr>
      </w:pPr>
      <w:r w:rsidRPr="003F38E7">
        <w:rPr>
          <w:rStyle w:val="FootnoteReference"/>
          <w:sz w:val="20"/>
          <w:szCs w:val="20"/>
        </w:rPr>
        <w:footnoteRef/>
      </w:r>
      <w:r w:rsidRPr="003F38E7">
        <w:rPr>
          <w:sz w:val="20"/>
          <w:szCs w:val="20"/>
        </w:rPr>
        <w:t xml:space="preserve"> </w:t>
      </w:r>
      <w:r w:rsidRPr="003F38E7">
        <w:rPr>
          <w:rFonts w:eastAsia="Times New Roman" w:cs="Arial"/>
          <w:color w:val="222222"/>
          <w:sz w:val="20"/>
          <w:szCs w:val="20"/>
          <w:shd w:val="clear" w:color="auto" w:fill="FFFFFF"/>
        </w:rPr>
        <w:t xml:space="preserve">Miller, Colin. "Ordeal By Innocence: Why There Should Be a Wrongful Incarceration/Execution Exception to Attorney-Client </w:t>
      </w:r>
      <w:proofErr w:type="spellStart"/>
      <w:r w:rsidRPr="003F38E7">
        <w:rPr>
          <w:rFonts w:eastAsia="Times New Roman" w:cs="Arial"/>
          <w:color w:val="222222"/>
          <w:sz w:val="20"/>
          <w:szCs w:val="20"/>
          <w:shd w:val="clear" w:color="auto" w:fill="FFFFFF"/>
        </w:rPr>
        <w:t>Confidentiality."</w:t>
      </w:r>
      <w:r w:rsidRPr="003F38E7">
        <w:rPr>
          <w:rFonts w:eastAsia="Times New Roman" w:cs="Arial"/>
          <w:i/>
          <w:iCs/>
          <w:color w:val="222222"/>
          <w:sz w:val="20"/>
          <w:szCs w:val="20"/>
          <w:shd w:val="clear" w:color="auto" w:fill="FFFFFF"/>
        </w:rPr>
        <w:t>Northwestern</w:t>
      </w:r>
      <w:proofErr w:type="spellEnd"/>
      <w:r w:rsidRPr="003F38E7">
        <w:rPr>
          <w:rFonts w:eastAsia="Times New Roman" w:cs="Arial"/>
          <w:i/>
          <w:iCs/>
          <w:color w:val="222222"/>
          <w:sz w:val="20"/>
          <w:szCs w:val="20"/>
          <w:shd w:val="clear" w:color="auto" w:fill="FFFFFF"/>
        </w:rPr>
        <w:t xml:space="preserve"> University Law Review Colloquy</w:t>
      </w:r>
      <w:r w:rsidRPr="003F38E7">
        <w:rPr>
          <w:rFonts w:eastAsia="Times New Roman" w:cs="Arial"/>
          <w:color w:val="222222"/>
          <w:sz w:val="20"/>
          <w:szCs w:val="20"/>
          <w:shd w:val="clear" w:color="auto" w:fill="FFFFFF"/>
        </w:rPr>
        <w:t> 102 (2008): 391.</w:t>
      </w:r>
    </w:p>
  </w:footnote>
  <w:footnote w:id="14">
    <w:p w14:paraId="1ABF0AA1" w14:textId="77777777" w:rsidR="009E6FB4" w:rsidRPr="003F38E7" w:rsidRDefault="009E6FB4" w:rsidP="009E6FB4">
      <w:pPr>
        <w:rPr>
          <w:rFonts w:eastAsia="Times New Roman" w:cs="Times New Roman"/>
          <w:sz w:val="20"/>
          <w:szCs w:val="20"/>
        </w:rPr>
      </w:pPr>
      <w:r w:rsidRPr="003F38E7">
        <w:rPr>
          <w:rStyle w:val="FootnoteReference"/>
          <w:sz w:val="20"/>
          <w:szCs w:val="20"/>
        </w:rPr>
        <w:footnoteRef/>
      </w:r>
      <w:r w:rsidRPr="003F38E7">
        <w:rPr>
          <w:sz w:val="20"/>
          <w:szCs w:val="20"/>
        </w:rPr>
        <w:t xml:space="preserve"> </w:t>
      </w:r>
      <w:proofErr w:type="spellStart"/>
      <w:r w:rsidRPr="003F38E7">
        <w:rPr>
          <w:rFonts w:eastAsia="Times New Roman" w:cs="Arial"/>
          <w:color w:val="222222"/>
          <w:sz w:val="20"/>
          <w:szCs w:val="20"/>
          <w:shd w:val="clear" w:color="auto" w:fill="FFFFFF"/>
        </w:rPr>
        <w:t>Zalman</w:t>
      </w:r>
      <w:proofErr w:type="spellEnd"/>
      <w:r w:rsidRPr="003F38E7">
        <w:rPr>
          <w:rFonts w:eastAsia="Times New Roman" w:cs="Arial"/>
          <w:color w:val="222222"/>
          <w:sz w:val="20"/>
          <w:szCs w:val="20"/>
          <w:shd w:val="clear" w:color="auto" w:fill="FFFFFF"/>
        </w:rPr>
        <w:t>, Marvin. "Criminal Justice System Reform and Wrongful Conviction A Research Agenda." </w:t>
      </w:r>
      <w:r w:rsidRPr="003F38E7">
        <w:rPr>
          <w:rFonts w:eastAsia="Times New Roman" w:cs="Arial"/>
          <w:i/>
          <w:iCs/>
          <w:color w:val="222222"/>
          <w:sz w:val="20"/>
          <w:szCs w:val="20"/>
          <w:shd w:val="clear" w:color="auto" w:fill="FFFFFF"/>
        </w:rPr>
        <w:t>Criminal Justice Policy Review</w:t>
      </w:r>
      <w:r w:rsidRPr="003F38E7">
        <w:rPr>
          <w:rFonts w:eastAsia="Times New Roman" w:cs="Arial"/>
          <w:color w:val="222222"/>
          <w:sz w:val="20"/>
          <w:szCs w:val="20"/>
          <w:shd w:val="clear" w:color="auto" w:fill="FFFFFF"/>
        </w:rPr>
        <w:t> 17.4 (2006): 468-492.</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57DD"/>
    <w:rsid w:val="005657DD"/>
    <w:rsid w:val="005E4A17"/>
    <w:rsid w:val="00675217"/>
    <w:rsid w:val="009E6FB4"/>
    <w:rsid w:val="00ED496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6471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9E6FB4"/>
    <w:rPr>
      <w:sz w:val="20"/>
      <w:szCs w:val="20"/>
    </w:rPr>
  </w:style>
  <w:style w:type="character" w:customStyle="1" w:styleId="FootnoteTextChar">
    <w:name w:val="Footnote Text Char"/>
    <w:basedOn w:val="DefaultParagraphFont"/>
    <w:link w:val="FootnoteText"/>
    <w:rsid w:val="009E6FB4"/>
    <w:rPr>
      <w:sz w:val="20"/>
      <w:szCs w:val="20"/>
    </w:rPr>
  </w:style>
  <w:style w:type="character" w:styleId="FootnoteReference">
    <w:name w:val="footnote reference"/>
    <w:basedOn w:val="DefaultParagraphFont"/>
    <w:uiPriority w:val="99"/>
    <w:unhideWhenUsed/>
    <w:rsid w:val="009E6FB4"/>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6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nhideWhenUsed/>
    <w:rsid w:val="009E6FB4"/>
    <w:rPr>
      <w:sz w:val="20"/>
      <w:szCs w:val="20"/>
    </w:rPr>
  </w:style>
  <w:style w:type="character" w:customStyle="1" w:styleId="FootnoteTextChar">
    <w:name w:val="Footnote Text Char"/>
    <w:basedOn w:val="DefaultParagraphFont"/>
    <w:link w:val="FootnoteText"/>
    <w:rsid w:val="009E6FB4"/>
    <w:rPr>
      <w:sz w:val="20"/>
      <w:szCs w:val="20"/>
    </w:rPr>
  </w:style>
  <w:style w:type="character" w:styleId="FootnoteReference">
    <w:name w:val="footnote reference"/>
    <w:basedOn w:val="DefaultParagraphFont"/>
    <w:uiPriority w:val="99"/>
    <w:unhideWhenUsed/>
    <w:rsid w:val="009E6FB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515</Words>
  <Characters>2730</Characters>
  <Application>Microsoft Macintosh Word</Application>
  <DocSecurity>0</DocSecurity>
  <Lines>37</Lines>
  <Paragraphs>7</Paragraphs>
  <ScaleCrop>false</ScaleCrop>
  <Company/>
  <LinksUpToDate>false</LinksUpToDate>
  <CharactersWithSpaces>3238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Gersh</dc:creator>
  <cp:keywords/>
  <dc:description/>
  <cp:lastModifiedBy>Linda Gersh</cp:lastModifiedBy>
  <cp:revision>2</cp:revision>
  <dcterms:created xsi:type="dcterms:W3CDTF">2013-11-03T18:47:00Z</dcterms:created>
  <dcterms:modified xsi:type="dcterms:W3CDTF">2013-11-03T19:00:00Z</dcterms:modified>
</cp:coreProperties>
</file>