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6B82C" w14:textId="77777777" w:rsidR="0090116D" w:rsidRPr="0090116D" w:rsidRDefault="0090116D" w:rsidP="0090116D">
      <w:pPr>
        <w:rPr>
          <w:rFonts w:ascii="Calibri" w:hAnsi="Calibri"/>
        </w:rPr>
      </w:pPr>
      <w:bookmarkStart w:id="0" w:name="_GoBack"/>
      <w:r w:rsidRPr="0090116D">
        <w:rPr>
          <w:rFonts w:ascii="Calibri" w:hAnsi="Calibri"/>
        </w:rPr>
        <w:t>I affirm.</w:t>
      </w:r>
    </w:p>
    <w:p w14:paraId="2F94324C" w14:textId="77777777" w:rsidR="0090116D" w:rsidRPr="0090116D" w:rsidRDefault="0090116D" w:rsidP="0090116D">
      <w:pPr>
        <w:rPr>
          <w:rFonts w:ascii="Calibri" w:hAnsi="Calibri"/>
        </w:rPr>
      </w:pPr>
    </w:p>
    <w:p w14:paraId="635A5DEE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>PART 1 IS THE FRAMEWORK</w:t>
      </w:r>
    </w:p>
    <w:p w14:paraId="1CD268E0" w14:textId="77777777" w:rsidR="0090116D" w:rsidRPr="0090116D" w:rsidRDefault="0090116D" w:rsidP="0090116D">
      <w:pPr>
        <w:rPr>
          <w:rFonts w:ascii="Calibri" w:hAnsi="Calibri"/>
        </w:rPr>
      </w:pPr>
    </w:p>
    <w:p w14:paraId="4F0E250D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>The standard is maximizing preference satisfaction for two reasons.</w:t>
      </w:r>
    </w:p>
    <w:p w14:paraId="6CB04F18" w14:textId="77777777" w:rsidR="0090116D" w:rsidRPr="0090116D" w:rsidRDefault="0090116D" w:rsidP="0090116D">
      <w:pPr>
        <w:rPr>
          <w:rFonts w:ascii="Calibri" w:hAnsi="Calibri"/>
        </w:rPr>
      </w:pPr>
    </w:p>
    <w:p w14:paraId="42D730B9" w14:textId="77777777" w:rsidR="0090116D" w:rsidRPr="0090116D" w:rsidRDefault="0090116D" w:rsidP="0090116D">
      <w:pPr>
        <w:rPr>
          <w:rFonts w:ascii="Calibri" w:hAnsi="Calibri" w:cstheme="minorHAnsi"/>
        </w:rPr>
      </w:pPr>
      <w:r w:rsidRPr="0090116D">
        <w:rPr>
          <w:rFonts w:ascii="Calibri" w:hAnsi="Calibri" w:cstheme="minorHAnsi"/>
        </w:rPr>
        <w:t>A. M</w:t>
      </w:r>
      <w:r w:rsidRPr="0090116D">
        <w:rPr>
          <w:rFonts w:ascii="Calibri" w:eastAsia="Calibri" w:hAnsi="Calibri" w:cstheme="minorHAnsi"/>
        </w:rPr>
        <w:t xml:space="preserve">aximizing pleasure and minimizing pain is the only way to affirm equal and unconditional human dignity. </w:t>
      </w:r>
      <w:proofErr w:type="spellStart"/>
      <w:r w:rsidRPr="0090116D">
        <w:rPr>
          <w:rFonts w:ascii="Calibri" w:eastAsia="Calibri" w:hAnsi="Calibri" w:cstheme="minorHAnsi"/>
          <w:bCs/>
        </w:rPr>
        <w:t>Cummiskey</w:t>
      </w:r>
      <w:proofErr w:type="spellEnd"/>
      <w:r w:rsidRPr="0090116D">
        <w:rPr>
          <w:rFonts w:ascii="Calibri" w:eastAsia="Calibri" w:hAnsi="Calibri" w:cstheme="minorHAnsi"/>
          <w:vertAlign w:val="superscript"/>
        </w:rPr>
        <w:footnoteReference w:id="1"/>
      </w:r>
      <w:r w:rsidRPr="0090116D">
        <w:rPr>
          <w:rFonts w:ascii="Calibri" w:eastAsia="Calibri" w:hAnsi="Calibri" w:cstheme="minorHAnsi"/>
        </w:rPr>
        <w:t xml:space="preserve"> ‘90:</w:t>
      </w:r>
    </w:p>
    <w:p w14:paraId="5474FD5A" w14:textId="77777777" w:rsidR="0090116D" w:rsidRPr="0090116D" w:rsidRDefault="0090116D" w:rsidP="0090116D">
      <w:pPr>
        <w:jc w:val="both"/>
        <w:rPr>
          <w:rFonts w:ascii="Calibri" w:eastAsia="Calibri" w:hAnsi="Calibri" w:cstheme="minorHAnsi"/>
          <w:bCs/>
        </w:rPr>
      </w:pPr>
    </w:p>
    <w:p w14:paraId="27283EDD" w14:textId="77777777" w:rsidR="00ED4968" w:rsidRPr="0090116D" w:rsidRDefault="0090116D">
      <w:pPr>
        <w:rPr>
          <w:rFonts w:ascii="Calibri" w:eastAsia="Times New Roman" w:hAnsi="Calibri" w:cstheme="minorHAnsi"/>
        </w:rPr>
      </w:pPr>
      <w:r w:rsidRPr="0090116D">
        <w:rPr>
          <w:rFonts w:ascii="Calibri" w:eastAsia="Times New Roman" w:hAnsi="Calibri" w:cstheme="minorHAnsi"/>
        </w:rPr>
        <w:t>We must not</w:t>
      </w:r>
      <w:r w:rsidRPr="0090116D">
        <w:rPr>
          <w:rFonts w:ascii="Calibri" w:eastAsia="Times New Roman" w:hAnsi="Calibri" w:cstheme="minorHAnsi"/>
        </w:rPr>
        <w:t xml:space="preserve">…. </w:t>
      </w:r>
      <w:r w:rsidRPr="0090116D">
        <w:rPr>
          <w:rFonts w:ascii="Calibri" w:eastAsia="Times New Roman" w:hAnsi="Calibri" w:cstheme="minorHAnsi"/>
        </w:rPr>
        <w:t>some to save many.</w:t>
      </w:r>
    </w:p>
    <w:p w14:paraId="4E005D9B" w14:textId="77777777" w:rsidR="0090116D" w:rsidRPr="0090116D" w:rsidRDefault="0090116D">
      <w:pPr>
        <w:rPr>
          <w:rFonts w:ascii="Calibri" w:eastAsia="Times New Roman" w:hAnsi="Calibri" w:cstheme="minorHAnsi"/>
        </w:rPr>
      </w:pPr>
    </w:p>
    <w:p w14:paraId="7F13DB6C" w14:textId="77777777" w:rsidR="0090116D" w:rsidRPr="0090116D" w:rsidRDefault="0090116D">
      <w:pPr>
        <w:rPr>
          <w:rFonts w:ascii="Calibri" w:hAnsi="Calibri"/>
        </w:rPr>
      </w:pPr>
    </w:p>
    <w:p w14:paraId="37D5AF74" w14:textId="77777777" w:rsidR="0090116D" w:rsidRPr="0090116D" w:rsidRDefault="0090116D" w:rsidP="0090116D">
      <w:pPr>
        <w:rPr>
          <w:rFonts w:ascii="Calibri" w:hAnsi="Calibri" w:cstheme="minorHAnsi"/>
        </w:rPr>
      </w:pPr>
      <w:r w:rsidRPr="0090116D">
        <w:rPr>
          <w:rFonts w:ascii="Calibri" w:hAnsi="Calibri"/>
        </w:rPr>
        <w:t xml:space="preserve">B. </w:t>
      </w:r>
      <w:r w:rsidRPr="0090116D">
        <w:rPr>
          <w:rFonts w:ascii="Calibri" w:hAnsi="Calibri" w:cstheme="minorHAnsi"/>
        </w:rPr>
        <w:t xml:space="preserve">The distinction between acts and omissions does not make sense when applied to a government. Every government policy has winners and losers, so the state can only act with the goal of minimizing the harms and maximizing the advantages. </w:t>
      </w:r>
      <w:proofErr w:type="spellStart"/>
      <w:r w:rsidRPr="0090116D">
        <w:rPr>
          <w:rFonts w:ascii="Calibri" w:hAnsi="Calibri" w:cstheme="minorHAnsi"/>
        </w:rPr>
        <w:t>Sunstein</w:t>
      </w:r>
      <w:proofErr w:type="spellEnd"/>
      <w:r w:rsidRPr="0090116D">
        <w:rPr>
          <w:rFonts w:ascii="Calibri" w:hAnsi="Calibri" w:cstheme="minorHAnsi"/>
        </w:rPr>
        <w:t xml:space="preserve"> and </w:t>
      </w:r>
      <w:proofErr w:type="spellStart"/>
      <w:r w:rsidRPr="0090116D">
        <w:rPr>
          <w:rFonts w:ascii="Calibri" w:hAnsi="Calibri" w:cstheme="minorHAnsi"/>
        </w:rPr>
        <w:t>Vermuelle</w:t>
      </w:r>
      <w:proofErr w:type="spellEnd"/>
      <w:r w:rsidRPr="0090116D">
        <w:rPr>
          <w:rStyle w:val="FootnoteReference"/>
          <w:rFonts w:ascii="Calibri" w:hAnsi="Calibri" w:cstheme="minorHAnsi"/>
        </w:rPr>
        <w:footnoteReference w:id="2"/>
      </w:r>
      <w:r w:rsidRPr="0090116D">
        <w:rPr>
          <w:rFonts w:ascii="Calibri" w:hAnsi="Calibri" w:cstheme="minorHAnsi"/>
        </w:rPr>
        <w:t>:</w:t>
      </w:r>
    </w:p>
    <w:p w14:paraId="1BB8BA4D" w14:textId="77777777" w:rsidR="0090116D" w:rsidRPr="0090116D" w:rsidRDefault="0090116D">
      <w:pPr>
        <w:rPr>
          <w:rFonts w:ascii="Calibri" w:hAnsi="Calibri"/>
        </w:rPr>
      </w:pPr>
    </w:p>
    <w:p w14:paraId="18CFE88D" w14:textId="77777777" w:rsidR="0090116D" w:rsidRPr="0090116D" w:rsidRDefault="0090116D">
      <w:pPr>
        <w:rPr>
          <w:rFonts w:ascii="Calibri" w:hAnsi="Calibri" w:cstheme="minorHAnsi"/>
        </w:rPr>
      </w:pPr>
      <w:r w:rsidRPr="0090116D">
        <w:rPr>
          <w:rFonts w:ascii="Calibri" w:hAnsi="Calibri" w:cstheme="minorHAnsi"/>
        </w:rPr>
        <w:t>In our view</w:t>
      </w:r>
      <w:r w:rsidRPr="0090116D">
        <w:rPr>
          <w:rFonts w:ascii="Calibri" w:hAnsi="Calibri" w:cstheme="minorHAnsi"/>
        </w:rPr>
        <w:t xml:space="preserve">…. </w:t>
      </w:r>
      <w:r w:rsidRPr="0090116D">
        <w:rPr>
          <w:rFonts w:ascii="Calibri" w:hAnsi="Calibri" w:cstheme="minorHAnsi"/>
        </w:rPr>
        <w:t>fully discourage it.</w:t>
      </w:r>
    </w:p>
    <w:p w14:paraId="7B19351F" w14:textId="77777777" w:rsidR="0090116D" w:rsidRPr="0090116D" w:rsidRDefault="0090116D">
      <w:pPr>
        <w:rPr>
          <w:rFonts w:ascii="Calibri" w:hAnsi="Calibri" w:cstheme="minorHAnsi"/>
        </w:rPr>
      </w:pPr>
    </w:p>
    <w:p w14:paraId="1117E68B" w14:textId="77777777" w:rsidR="0090116D" w:rsidRPr="0090116D" w:rsidRDefault="0090116D" w:rsidP="0090116D">
      <w:pPr>
        <w:rPr>
          <w:rFonts w:ascii="Calibri" w:eastAsia="Calibri" w:hAnsi="Calibri" w:cstheme="majorHAnsi"/>
        </w:rPr>
      </w:pPr>
      <w:r w:rsidRPr="0090116D">
        <w:rPr>
          <w:rFonts w:ascii="Calibri" w:hAnsi="Calibri"/>
        </w:rPr>
        <w:t xml:space="preserve">C. </w:t>
      </w:r>
      <w:r w:rsidRPr="0090116D">
        <w:rPr>
          <w:rFonts w:ascii="Calibri" w:eastAsia="Calibri" w:hAnsi="Calibri" w:cstheme="majorHAnsi"/>
        </w:rPr>
        <w:t>The evolutionary need to justify choices to others requires adopting an impartial evaluation of preferences. Singer 1</w:t>
      </w:r>
      <w:r w:rsidRPr="0090116D">
        <w:rPr>
          <w:rFonts w:ascii="Calibri" w:eastAsia="Calibri" w:hAnsi="Calibri" w:cstheme="majorHAnsi"/>
          <w:vertAlign w:val="superscript"/>
        </w:rPr>
        <w:footnoteReference w:id="3"/>
      </w:r>
      <w:r w:rsidRPr="0090116D">
        <w:rPr>
          <w:rFonts w:ascii="Calibri" w:eastAsia="Calibri" w:hAnsi="Calibri" w:cstheme="majorHAnsi"/>
        </w:rPr>
        <w:t>:</w:t>
      </w:r>
    </w:p>
    <w:p w14:paraId="5CF414C6" w14:textId="77777777" w:rsidR="0090116D" w:rsidRPr="0090116D" w:rsidRDefault="0090116D">
      <w:pPr>
        <w:rPr>
          <w:rFonts w:ascii="Calibri" w:hAnsi="Calibri"/>
        </w:rPr>
      </w:pPr>
    </w:p>
    <w:p w14:paraId="1ACDC533" w14:textId="77777777" w:rsidR="0090116D" w:rsidRPr="0090116D" w:rsidRDefault="0090116D">
      <w:pPr>
        <w:rPr>
          <w:rFonts w:ascii="Calibri" w:eastAsia="Calibri" w:hAnsi="Calibri" w:cstheme="majorHAnsi"/>
        </w:rPr>
      </w:pPr>
      <w:r w:rsidRPr="0090116D">
        <w:rPr>
          <w:rFonts w:ascii="Calibri" w:eastAsia="Calibri" w:hAnsi="Calibri" w:cstheme="majorHAnsi"/>
        </w:rPr>
        <w:t xml:space="preserve">The transformation </w:t>
      </w:r>
      <w:proofErr w:type="gramStart"/>
      <w:r w:rsidRPr="0090116D">
        <w:rPr>
          <w:rFonts w:ascii="Calibri" w:eastAsia="Calibri" w:hAnsi="Calibri" w:cstheme="majorHAnsi"/>
        </w:rPr>
        <w:t>must</w:t>
      </w:r>
      <w:r w:rsidRPr="0090116D">
        <w:rPr>
          <w:rFonts w:ascii="Calibri" w:eastAsia="Calibri" w:hAnsi="Calibri" w:cstheme="majorHAnsi"/>
        </w:rPr>
        <w:t>…</w:t>
      </w:r>
      <w:r w:rsidRPr="0090116D">
        <w:rPr>
          <w:rFonts w:ascii="Calibri" w:eastAsia="Calibri" w:hAnsi="Calibri" w:cstheme="majorHAnsi"/>
        </w:rPr>
        <w:t xml:space="preserve"> shall</w:t>
      </w:r>
      <w:proofErr w:type="gramEnd"/>
      <w:r w:rsidRPr="0090116D">
        <w:rPr>
          <w:rFonts w:ascii="Calibri" w:eastAsia="Calibri" w:hAnsi="Calibri" w:cstheme="majorHAnsi"/>
        </w:rPr>
        <w:t xml:space="preserve"> soon see.</w:t>
      </w:r>
    </w:p>
    <w:p w14:paraId="63130420" w14:textId="77777777" w:rsidR="0090116D" w:rsidRPr="0090116D" w:rsidRDefault="0090116D">
      <w:pPr>
        <w:rPr>
          <w:rFonts w:ascii="Calibri" w:hAnsi="Calibri"/>
        </w:rPr>
      </w:pPr>
    </w:p>
    <w:p w14:paraId="6B922E38" w14:textId="77777777" w:rsidR="0090116D" w:rsidRPr="0090116D" w:rsidRDefault="0090116D" w:rsidP="0090116D">
      <w:pPr>
        <w:rPr>
          <w:rFonts w:ascii="Calibri" w:eastAsia="Calibri" w:hAnsi="Calibri" w:cstheme="majorHAnsi"/>
        </w:rPr>
      </w:pPr>
      <w:r w:rsidRPr="0090116D">
        <w:rPr>
          <w:rFonts w:ascii="Calibri" w:eastAsia="Calibri" w:hAnsi="Calibri" w:cstheme="majorHAnsi"/>
        </w:rPr>
        <w:t>Maximizing preferences is the only defensible approach from an impartial point of view. Singer</w:t>
      </w:r>
      <w:r w:rsidRPr="0090116D">
        <w:rPr>
          <w:rFonts w:ascii="Calibri" w:eastAsia="Calibri" w:hAnsi="Calibri" w:cstheme="majorHAnsi"/>
          <w:vertAlign w:val="superscript"/>
        </w:rPr>
        <w:footnoteReference w:id="4"/>
      </w:r>
      <w:r w:rsidRPr="0090116D">
        <w:rPr>
          <w:rFonts w:ascii="Calibri" w:eastAsia="Calibri" w:hAnsi="Calibri" w:cstheme="majorHAnsi"/>
        </w:rPr>
        <w:t xml:space="preserve"> 2:</w:t>
      </w:r>
    </w:p>
    <w:p w14:paraId="6203F814" w14:textId="77777777" w:rsidR="0090116D" w:rsidRPr="0090116D" w:rsidRDefault="0090116D">
      <w:pPr>
        <w:rPr>
          <w:rFonts w:ascii="Calibri" w:hAnsi="Calibri"/>
        </w:rPr>
      </w:pPr>
    </w:p>
    <w:p w14:paraId="4D50FA18" w14:textId="77777777" w:rsidR="0090116D" w:rsidRPr="0090116D" w:rsidRDefault="0090116D">
      <w:pPr>
        <w:rPr>
          <w:rFonts w:ascii="Calibri" w:eastAsia="Calibri" w:hAnsi="Calibri" w:cstheme="majorHAnsi"/>
        </w:rPr>
      </w:pPr>
      <w:r w:rsidRPr="0090116D">
        <w:rPr>
          <w:rFonts w:ascii="Calibri" w:eastAsia="Calibri" w:hAnsi="Calibri" w:cstheme="majorHAnsi"/>
        </w:rPr>
        <w:t>Reasoning in ethics is</w:t>
      </w:r>
      <w:r w:rsidRPr="0090116D">
        <w:rPr>
          <w:rFonts w:ascii="Calibri" w:eastAsia="Calibri" w:hAnsi="Calibri" w:cstheme="majorHAnsi"/>
        </w:rPr>
        <w:t xml:space="preserve">…. </w:t>
      </w:r>
      <w:r w:rsidRPr="0090116D">
        <w:rPr>
          <w:rFonts w:ascii="Calibri" w:eastAsia="Calibri" w:hAnsi="Calibri" w:cstheme="majorHAnsi"/>
        </w:rPr>
        <w:t>ought to take.</w:t>
      </w:r>
    </w:p>
    <w:p w14:paraId="36975AF6" w14:textId="77777777" w:rsidR="0090116D" w:rsidRPr="0090116D" w:rsidRDefault="0090116D">
      <w:pPr>
        <w:rPr>
          <w:rFonts w:ascii="Calibri" w:eastAsia="Calibri" w:hAnsi="Calibri" w:cstheme="majorHAnsi"/>
        </w:rPr>
      </w:pPr>
    </w:p>
    <w:p w14:paraId="67896CF3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>PART 2 IS THE ADVOCACY</w:t>
      </w:r>
    </w:p>
    <w:p w14:paraId="1E25A176" w14:textId="77777777" w:rsidR="0090116D" w:rsidRPr="0090116D" w:rsidRDefault="0090116D" w:rsidP="0090116D">
      <w:pPr>
        <w:rPr>
          <w:rFonts w:ascii="Calibri" w:hAnsi="Calibri"/>
        </w:rPr>
      </w:pPr>
    </w:p>
    <w:p w14:paraId="24AFF706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>A. Inherency</w:t>
      </w:r>
    </w:p>
    <w:p w14:paraId="0DA45BC7" w14:textId="77777777" w:rsidR="0090116D" w:rsidRPr="0090116D" w:rsidRDefault="0090116D" w:rsidP="0090116D">
      <w:pPr>
        <w:rPr>
          <w:rFonts w:ascii="Calibri" w:hAnsi="Calibri"/>
        </w:rPr>
      </w:pPr>
    </w:p>
    <w:p w14:paraId="7561966A" w14:textId="77777777" w:rsidR="0090116D" w:rsidRPr="0090116D" w:rsidRDefault="0090116D" w:rsidP="0090116D">
      <w:pPr>
        <w:rPr>
          <w:rFonts w:ascii="Calibri" w:hAnsi="Calibri" w:cs="Times New Roman"/>
        </w:rPr>
      </w:pPr>
      <w:r w:rsidRPr="0090116D">
        <w:rPr>
          <w:rFonts w:ascii="Calibri" w:hAnsi="Calibri" w:cs="Times New Roman"/>
        </w:rPr>
        <w:t>(__) The SEC has adopted a “loyal disclosure” framework rather than a “noisy withdrawal” requirement. Harrington 2009</w:t>
      </w:r>
      <w:r w:rsidRPr="0090116D">
        <w:rPr>
          <w:rStyle w:val="FootnoteReference"/>
          <w:rFonts w:ascii="Calibri" w:hAnsi="Calibri" w:cs="Times New Roman"/>
        </w:rPr>
        <w:footnoteReference w:id="5"/>
      </w:r>
      <w:r w:rsidRPr="0090116D">
        <w:rPr>
          <w:rFonts w:ascii="Calibri" w:hAnsi="Calibri" w:cs="Times New Roman"/>
        </w:rPr>
        <w:t>:</w:t>
      </w:r>
    </w:p>
    <w:p w14:paraId="3BD45865" w14:textId="77777777" w:rsidR="0090116D" w:rsidRPr="0090116D" w:rsidRDefault="0090116D" w:rsidP="0090116D">
      <w:pPr>
        <w:rPr>
          <w:rFonts w:ascii="Calibri" w:hAnsi="Calibri" w:cs="Times New Roman"/>
        </w:rPr>
      </w:pPr>
    </w:p>
    <w:p w14:paraId="5C4FE625" w14:textId="77777777" w:rsidR="0090116D" w:rsidRPr="0090116D" w:rsidRDefault="0090116D" w:rsidP="0090116D">
      <w:pPr>
        <w:rPr>
          <w:rFonts w:ascii="Calibri" w:hAnsi="Calibri" w:cs="Times New Roman"/>
        </w:rPr>
      </w:pPr>
      <w:r w:rsidRPr="0090116D">
        <w:rPr>
          <w:rFonts w:ascii="Calibri" w:hAnsi="Calibri" w:cs="Times New Roman"/>
        </w:rPr>
        <w:t>During the notice and</w:t>
      </w:r>
      <w:r w:rsidRPr="0090116D">
        <w:rPr>
          <w:rFonts w:ascii="Calibri" w:hAnsi="Calibri" w:cs="Times New Roman"/>
        </w:rPr>
        <w:t xml:space="preserve">… </w:t>
      </w:r>
      <w:r w:rsidRPr="0090116D">
        <w:rPr>
          <w:rFonts w:ascii="Calibri" w:hAnsi="Calibri" w:cs="Times New Roman"/>
        </w:rPr>
        <w:t xml:space="preserve">o a regulatory authority.77 </w:t>
      </w:r>
    </w:p>
    <w:p w14:paraId="003CEFEA" w14:textId="77777777" w:rsidR="0090116D" w:rsidRPr="0090116D" w:rsidRDefault="0090116D">
      <w:pPr>
        <w:rPr>
          <w:rFonts w:ascii="Calibri" w:hAnsi="Calibri"/>
        </w:rPr>
      </w:pPr>
    </w:p>
    <w:p w14:paraId="3CCC88A6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>B. Advocacy Text</w:t>
      </w:r>
    </w:p>
    <w:p w14:paraId="0DA31B55" w14:textId="77777777" w:rsidR="0090116D" w:rsidRPr="0090116D" w:rsidRDefault="0090116D" w:rsidP="0090116D">
      <w:pPr>
        <w:rPr>
          <w:rFonts w:ascii="Calibri" w:hAnsi="Calibri"/>
        </w:rPr>
      </w:pPr>
    </w:p>
    <w:p w14:paraId="455C3145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 xml:space="preserve">The Securities and Exchange Commission will implement a mandatory “noisy withdrawal” provision in its Standards of Professional Conduct for Attorneys. </w:t>
      </w:r>
    </w:p>
    <w:p w14:paraId="7CDAF00A" w14:textId="77777777" w:rsidR="0090116D" w:rsidRPr="0090116D" w:rsidRDefault="0090116D" w:rsidP="0090116D">
      <w:pPr>
        <w:rPr>
          <w:rFonts w:ascii="Calibri" w:hAnsi="Calibri"/>
        </w:rPr>
      </w:pPr>
    </w:p>
    <w:p w14:paraId="7637B6E0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 w:cs="Times New Roman"/>
        </w:rPr>
        <w:t>Harrington 2</w:t>
      </w:r>
      <w:r w:rsidRPr="0090116D">
        <w:rPr>
          <w:rStyle w:val="FootnoteReference"/>
          <w:rFonts w:ascii="Calibri" w:hAnsi="Calibri" w:cs="Times New Roman"/>
        </w:rPr>
        <w:footnoteReference w:id="6"/>
      </w:r>
      <w:r w:rsidRPr="0090116D">
        <w:rPr>
          <w:rFonts w:ascii="Calibri" w:hAnsi="Calibri" w:cs="Times New Roman"/>
        </w:rPr>
        <w:t xml:space="preserve"> </w:t>
      </w:r>
      <w:r w:rsidRPr="0090116D">
        <w:rPr>
          <w:rFonts w:ascii="Calibri" w:hAnsi="Calibri"/>
        </w:rPr>
        <w:t>describes the “noisy withdrawal” rule proposed by the SEC in 2003.</w:t>
      </w:r>
    </w:p>
    <w:p w14:paraId="526FAA55" w14:textId="77777777" w:rsidR="0090116D" w:rsidRPr="0090116D" w:rsidRDefault="0090116D">
      <w:pPr>
        <w:rPr>
          <w:rFonts w:ascii="Calibri" w:hAnsi="Calibri"/>
        </w:rPr>
      </w:pPr>
    </w:p>
    <w:p w14:paraId="20E65B91" w14:textId="77777777" w:rsidR="0090116D" w:rsidRPr="0090116D" w:rsidRDefault="0090116D">
      <w:pPr>
        <w:rPr>
          <w:rFonts w:ascii="Calibri" w:hAnsi="Calibri"/>
        </w:rPr>
      </w:pPr>
      <w:proofErr w:type="gramStart"/>
      <w:r w:rsidRPr="0090116D">
        <w:rPr>
          <w:rFonts w:ascii="Calibri" w:hAnsi="Calibri"/>
        </w:rPr>
        <w:t>19. See Implementation of Standards</w:t>
      </w:r>
      <w:r w:rsidRPr="0090116D">
        <w:rPr>
          <w:rFonts w:ascii="Calibri" w:hAnsi="Calibri"/>
        </w:rPr>
        <w:t xml:space="preserve">…. </w:t>
      </w:r>
      <w:r w:rsidRPr="0090116D">
        <w:rPr>
          <w:rFonts w:ascii="Calibri" w:hAnsi="Calibri"/>
        </w:rPr>
        <w:t>hereinafter Standards, Proposed Rule].</w:t>
      </w:r>
      <w:proofErr w:type="gramEnd"/>
    </w:p>
    <w:p w14:paraId="4053979A" w14:textId="77777777" w:rsidR="0090116D" w:rsidRPr="0090116D" w:rsidRDefault="0090116D">
      <w:pPr>
        <w:rPr>
          <w:rFonts w:ascii="Calibri" w:hAnsi="Calibri"/>
        </w:rPr>
      </w:pPr>
    </w:p>
    <w:p w14:paraId="61EBC530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 w:cs="Times New Roman"/>
        </w:rPr>
        <w:t>Harrington 3</w:t>
      </w:r>
      <w:r w:rsidRPr="0090116D">
        <w:rPr>
          <w:rStyle w:val="FootnoteReference"/>
          <w:rFonts w:ascii="Calibri" w:hAnsi="Calibri" w:cs="Times New Roman"/>
        </w:rPr>
        <w:footnoteReference w:id="7"/>
      </w:r>
      <w:r w:rsidRPr="0090116D">
        <w:rPr>
          <w:rFonts w:ascii="Calibri" w:hAnsi="Calibri" w:cs="Times New Roman"/>
        </w:rPr>
        <w:t>clarifies the circumstances of noisy withdrawal.</w:t>
      </w:r>
    </w:p>
    <w:p w14:paraId="2CF89EE7" w14:textId="77777777" w:rsidR="0090116D" w:rsidRPr="0090116D" w:rsidRDefault="0090116D" w:rsidP="0090116D">
      <w:pPr>
        <w:rPr>
          <w:rFonts w:ascii="Calibri" w:hAnsi="Calibri"/>
        </w:rPr>
      </w:pPr>
    </w:p>
    <w:p w14:paraId="58F4BCF0" w14:textId="77777777" w:rsidR="0090116D" w:rsidRPr="0090116D" w:rsidRDefault="0090116D" w:rsidP="0090116D">
      <w:pPr>
        <w:ind w:left="720"/>
        <w:rPr>
          <w:rFonts w:ascii="Calibri" w:hAnsi="Calibri"/>
        </w:rPr>
      </w:pPr>
      <w:r w:rsidRPr="0090116D">
        <w:rPr>
          <w:rFonts w:ascii="Calibri" w:hAnsi="Calibri"/>
        </w:rPr>
        <w:t xml:space="preserve">Because the natural </w:t>
      </w:r>
      <w:r w:rsidRPr="0090116D">
        <w:rPr>
          <w:rFonts w:ascii="Calibri" w:hAnsi="Calibri"/>
        </w:rPr>
        <w:t>…</w:t>
      </w:r>
      <w:r w:rsidRPr="0090116D">
        <w:rPr>
          <w:rFonts w:ascii="Calibri" w:hAnsi="Calibri"/>
        </w:rPr>
        <w:t xml:space="preserve">stock value, are not likely. </w:t>
      </w:r>
    </w:p>
    <w:p w14:paraId="400125CB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>PART 3 IS SOLVENCY</w:t>
      </w:r>
    </w:p>
    <w:p w14:paraId="0713B816" w14:textId="77777777" w:rsidR="0090116D" w:rsidRPr="0090116D" w:rsidRDefault="0090116D" w:rsidP="0090116D">
      <w:pPr>
        <w:rPr>
          <w:rFonts w:ascii="Calibri" w:hAnsi="Calibri"/>
        </w:rPr>
      </w:pPr>
    </w:p>
    <w:p w14:paraId="1A89E795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 xml:space="preserve">A. Noisy withdrawal deters abuse and maintains the integrity of the system. </w:t>
      </w:r>
      <w:r w:rsidRPr="0090116D">
        <w:rPr>
          <w:rFonts w:ascii="Calibri" w:hAnsi="Calibri" w:cs="Times New Roman"/>
        </w:rPr>
        <w:t>Harrington 2009</w:t>
      </w:r>
      <w:r w:rsidRPr="0090116D">
        <w:rPr>
          <w:rStyle w:val="FootnoteReference"/>
          <w:rFonts w:ascii="Calibri" w:hAnsi="Calibri" w:cs="Times New Roman"/>
        </w:rPr>
        <w:footnoteReference w:id="8"/>
      </w:r>
      <w:r w:rsidRPr="0090116D">
        <w:rPr>
          <w:rFonts w:ascii="Calibri" w:hAnsi="Calibri" w:cs="Times New Roman"/>
        </w:rPr>
        <w:t>:</w:t>
      </w:r>
    </w:p>
    <w:p w14:paraId="3785EC76" w14:textId="77777777" w:rsidR="0090116D" w:rsidRPr="0090116D" w:rsidRDefault="0090116D" w:rsidP="0090116D">
      <w:pPr>
        <w:rPr>
          <w:rFonts w:ascii="Calibri" w:hAnsi="Calibri"/>
        </w:rPr>
      </w:pPr>
    </w:p>
    <w:p w14:paraId="27CD4096" w14:textId="77777777" w:rsidR="0090116D" w:rsidRPr="0090116D" w:rsidRDefault="0090116D" w:rsidP="0090116D">
      <w:pPr>
        <w:ind w:left="720"/>
        <w:rPr>
          <w:rFonts w:ascii="Calibri" w:hAnsi="Calibri"/>
        </w:rPr>
      </w:pPr>
      <w:proofErr w:type="gramStart"/>
      <w:r w:rsidRPr="0090116D">
        <w:rPr>
          <w:rFonts w:ascii="Calibri" w:hAnsi="Calibri"/>
        </w:rPr>
        <w:t>For those officers</w:t>
      </w:r>
      <w:r w:rsidRPr="0090116D">
        <w:rPr>
          <w:rFonts w:ascii="Calibri" w:hAnsi="Calibri"/>
        </w:rPr>
        <w:t xml:space="preserve">… </w:t>
      </w:r>
      <w:r w:rsidRPr="0090116D">
        <w:rPr>
          <w:rFonts w:ascii="Calibri" w:hAnsi="Calibri"/>
        </w:rPr>
        <w:t>with the law.</w:t>
      </w:r>
      <w:proofErr w:type="gramEnd"/>
      <w:r w:rsidRPr="0090116D">
        <w:rPr>
          <w:rFonts w:ascii="Calibri" w:hAnsi="Calibri"/>
        </w:rPr>
        <w:t xml:space="preserve"> </w:t>
      </w:r>
    </w:p>
    <w:p w14:paraId="08338C8B" w14:textId="77777777" w:rsidR="0090116D" w:rsidRPr="0090116D" w:rsidRDefault="0090116D" w:rsidP="0090116D">
      <w:pPr>
        <w:rPr>
          <w:rFonts w:ascii="Calibri" w:hAnsi="Calibri"/>
        </w:rPr>
      </w:pPr>
    </w:p>
    <w:p w14:paraId="3CA36000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 xml:space="preserve">B. A noisy withdrawal requirement strengthens transactional attorney independence to check financial wrongdoing. </w:t>
      </w:r>
      <w:r w:rsidRPr="0090116D">
        <w:rPr>
          <w:rFonts w:ascii="Calibri" w:hAnsi="Calibri" w:cs="Times New Roman"/>
        </w:rPr>
        <w:t>Harrington 2009</w:t>
      </w:r>
      <w:r w:rsidRPr="0090116D">
        <w:rPr>
          <w:rStyle w:val="FootnoteReference"/>
          <w:rFonts w:ascii="Calibri" w:hAnsi="Calibri" w:cs="Times New Roman"/>
        </w:rPr>
        <w:footnoteReference w:id="9"/>
      </w:r>
      <w:r w:rsidRPr="0090116D">
        <w:rPr>
          <w:rFonts w:ascii="Calibri" w:hAnsi="Calibri" w:cs="Times New Roman"/>
        </w:rPr>
        <w:t>:</w:t>
      </w:r>
    </w:p>
    <w:p w14:paraId="62A6BFFB" w14:textId="77777777" w:rsidR="0090116D" w:rsidRPr="0090116D" w:rsidRDefault="0090116D" w:rsidP="0090116D">
      <w:pPr>
        <w:rPr>
          <w:rFonts w:ascii="Calibri" w:hAnsi="Calibri"/>
        </w:rPr>
      </w:pPr>
    </w:p>
    <w:p w14:paraId="321FF42C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>Such a standard should</w:t>
      </w:r>
      <w:r w:rsidRPr="0090116D">
        <w:rPr>
          <w:rFonts w:ascii="Calibri" w:hAnsi="Calibri"/>
        </w:rPr>
        <w:t xml:space="preserve">… </w:t>
      </w:r>
      <w:r w:rsidRPr="0090116D">
        <w:rPr>
          <w:rFonts w:ascii="Calibri" w:hAnsi="Calibri"/>
        </w:rPr>
        <w:t>place to start.</w:t>
      </w:r>
    </w:p>
    <w:p w14:paraId="0EE71CB8" w14:textId="77777777" w:rsidR="0090116D" w:rsidRPr="0090116D" w:rsidRDefault="0090116D" w:rsidP="0090116D">
      <w:pPr>
        <w:rPr>
          <w:rFonts w:ascii="Calibri" w:hAnsi="Calibri"/>
        </w:rPr>
      </w:pPr>
    </w:p>
    <w:p w14:paraId="5345856D" w14:textId="77777777" w:rsidR="0090116D" w:rsidRPr="0090116D" w:rsidRDefault="0090116D" w:rsidP="0090116D">
      <w:pPr>
        <w:rPr>
          <w:rFonts w:ascii="Calibri" w:hAnsi="Calibri"/>
        </w:rPr>
      </w:pPr>
    </w:p>
    <w:p w14:paraId="2D1C847C" w14:textId="77777777" w:rsidR="0090116D" w:rsidRPr="0090116D" w:rsidRDefault="0090116D" w:rsidP="0090116D">
      <w:pPr>
        <w:rPr>
          <w:rFonts w:ascii="Calibri" w:hAnsi="Calibri"/>
        </w:rPr>
      </w:pPr>
      <w:r w:rsidRPr="0090116D">
        <w:rPr>
          <w:rFonts w:ascii="Calibri" w:hAnsi="Calibri"/>
        </w:rPr>
        <w:t xml:space="preserve">C. Attorneys are the most effective gatekeepers in the world of modern securities law. </w:t>
      </w:r>
      <w:r w:rsidRPr="0090116D">
        <w:rPr>
          <w:rFonts w:ascii="Calibri" w:hAnsi="Calibri" w:cs="Times New Roman"/>
        </w:rPr>
        <w:t>Harrington 2009</w:t>
      </w:r>
      <w:r w:rsidRPr="0090116D">
        <w:rPr>
          <w:rStyle w:val="FootnoteReference"/>
          <w:rFonts w:ascii="Calibri" w:hAnsi="Calibri" w:cs="Times New Roman"/>
        </w:rPr>
        <w:footnoteReference w:id="10"/>
      </w:r>
      <w:r w:rsidRPr="0090116D">
        <w:rPr>
          <w:rFonts w:ascii="Calibri" w:hAnsi="Calibri" w:cs="Times New Roman"/>
        </w:rPr>
        <w:t>:</w:t>
      </w:r>
    </w:p>
    <w:p w14:paraId="3A135360" w14:textId="77777777" w:rsidR="0090116D" w:rsidRPr="0090116D" w:rsidRDefault="0090116D" w:rsidP="0090116D">
      <w:pPr>
        <w:rPr>
          <w:rFonts w:ascii="Calibri" w:hAnsi="Calibri"/>
        </w:rPr>
      </w:pPr>
    </w:p>
    <w:p w14:paraId="12726AE9" w14:textId="77777777" w:rsidR="0090116D" w:rsidRPr="0090116D" w:rsidRDefault="0090116D" w:rsidP="0090116D">
      <w:pPr>
        <w:rPr>
          <w:rFonts w:ascii="Calibri" w:hAnsi="Calibri"/>
        </w:rPr>
      </w:pPr>
      <w:proofErr w:type="gramStart"/>
      <w:r w:rsidRPr="0090116D">
        <w:rPr>
          <w:rFonts w:ascii="Calibri" w:hAnsi="Calibri"/>
        </w:rPr>
        <w:t>In the modern</w:t>
      </w:r>
      <w:r w:rsidRPr="0090116D">
        <w:rPr>
          <w:rFonts w:ascii="Calibri" w:hAnsi="Calibri"/>
        </w:rPr>
        <w:t xml:space="preserve">… </w:t>
      </w:r>
      <w:r w:rsidRPr="0090116D">
        <w:rPr>
          <w:rFonts w:ascii="Calibri" w:hAnsi="Calibri"/>
        </w:rPr>
        <w:t>any particular client.</w:t>
      </w:r>
      <w:proofErr w:type="gramEnd"/>
      <w:r w:rsidRPr="0090116D">
        <w:rPr>
          <w:rFonts w:ascii="Calibri" w:hAnsi="Calibri"/>
        </w:rPr>
        <w:t xml:space="preserve"> 101</w:t>
      </w:r>
    </w:p>
    <w:p w14:paraId="4A7C28BD" w14:textId="77777777" w:rsidR="0090116D" w:rsidRPr="0090116D" w:rsidRDefault="0090116D" w:rsidP="0090116D">
      <w:pPr>
        <w:rPr>
          <w:rFonts w:ascii="Calibri" w:hAnsi="Calibri"/>
        </w:rPr>
      </w:pPr>
    </w:p>
    <w:p w14:paraId="1833A810" w14:textId="77777777" w:rsidR="0090116D" w:rsidRPr="0090116D" w:rsidRDefault="0090116D" w:rsidP="0090116D">
      <w:pPr>
        <w:rPr>
          <w:rFonts w:ascii="Calibri" w:hAnsi="Calibri"/>
          <w:bCs/>
        </w:rPr>
      </w:pPr>
      <w:r w:rsidRPr="0090116D">
        <w:rPr>
          <w:rFonts w:ascii="Calibri" w:hAnsi="Calibri"/>
          <w:bCs/>
        </w:rPr>
        <w:t>PART 4 IS THE IMPACT</w:t>
      </w:r>
    </w:p>
    <w:p w14:paraId="10C339A5" w14:textId="77777777" w:rsidR="0090116D" w:rsidRPr="0090116D" w:rsidRDefault="0090116D" w:rsidP="0090116D">
      <w:pPr>
        <w:rPr>
          <w:rFonts w:ascii="Calibri" w:hAnsi="Calibri"/>
          <w:bCs/>
        </w:rPr>
      </w:pPr>
    </w:p>
    <w:p w14:paraId="2C871B86" w14:textId="77777777" w:rsidR="0090116D" w:rsidRPr="0090116D" w:rsidRDefault="0090116D" w:rsidP="0090116D">
      <w:pPr>
        <w:rPr>
          <w:rFonts w:ascii="Calibri" w:hAnsi="Calibri"/>
          <w:bCs/>
        </w:rPr>
      </w:pPr>
      <w:r w:rsidRPr="0090116D">
        <w:rPr>
          <w:rFonts w:ascii="Calibri" w:hAnsi="Calibri"/>
          <w:bCs/>
        </w:rPr>
        <w:t xml:space="preserve">A. Inadequate corporate governance has a pervasive effect on the U.S. Economy. </w:t>
      </w:r>
      <w:r w:rsidRPr="0090116D">
        <w:rPr>
          <w:rFonts w:ascii="Calibri" w:hAnsi="Calibri" w:cs="Times"/>
        </w:rPr>
        <w:t>Brookings Institute 2002</w:t>
      </w:r>
      <w:r w:rsidRPr="0090116D">
        <w:rPr>
          <w:rStyle w:val="FootnoteReference"/>
          <w:rFonts w:ascii="Calibri" w:hAnsi="Calibri" w:cs="Times"/>
        </w:rPr>
        <w:footnoteReference w:id="11"/>
      </w:r>
    </w:p>
    <w:p w14:paraId="5637C071" w14:textId="77777777" w:rsidR="0090116D" w:rsidRPr="0090116D" w:rsidRDefault="0090116D" w:rsidP="0090116D">
      <w:pPr>
        <w:rPr>
          <w:rFonts w:ascii="Calibri" w:hAnsi="Calibri"/>
        </w:rPr>
      </w:pPr>
    </w:p>
    <w:p w14:paraId="33DE83F2" w14:textId="77777777" w:rsidR="0090116D" w:rsidRPr="0090116D" w:rsidRDefault="0090116D" w:rsidP="0090116D">
      <w:pPr>
        <w:ind w:left="720"/>
        <w:rPr>
          <w:rFonts w:ascii="Calibri" w:hAnsi="Calibri"/>
          <w:bCs/>
        </w:rPr>
      </w:pPr>
      <w:proofErr w:type="gramStart"/>
      <w:r w:rsidRPr="0090116D">
        <w:rPr>
          <w:rFonts w:ascii="Calibri" w:hAnsi="Calibri"/>
          <w:bCs/>
        </w:rPr>
        <w:t>Part of the</w:t>
      </w:r>
      <w:r w:rsidRPr="0090116D">
        <w:rPr>
          <w:rFonts w:ascii="Calibri" w:hAnsi="Calibri"/>
          <w:bCs/>
        </w:rPr>
        <w:t>…</w:t>
      </w:r>
      <w:r w:rsidRPr="0090116D">
        <w:rPr>
          <w:rFonts w:ascii="Calibri" w:hAnsi="Calibri"/>
          <w:bCs/>
        </w:rPr>
        <w:t>17% (base case), 24% (high).</w:t>
      </w:r>
      <w:proofErr w:type="gramEnd"/>
      <w:r w:rsidRPr="0090116D">
        <w:rPr>
          <w:rFonts w:ascii="Calibri" w:hAnsi="Calibri"/>
          <w:bCs/>
        </w:rPr>
        <w:t xml:space="preserve"> </w:t>
      </w:r>
    </w:p>
    <w:p w14:paraId="7A78AD08" w14:textId="77777777" w:rsidR="0090116D" w:rsidRPr="0090116D" w:rsidRDefault="0090116D" w:rsidP="0090116D">
      <w:pPr>
        <w:ind w:left="720"/>
        <w:rPr>
          <w:rFonts w:ascii="Calibri" w:hAnsi="Calibri"/>
          <w:bCs/>
        </w:rPr>
      </w:pPr>
    </w:p>
    <w:p w14:paraId="02930F1C" w14:textId="77777777" w:rsidR="0090116D" w:rsidRPr="0090116D" w:rsidRDefault="0090116D" w:rsidP="0090116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90116D">
        <w:rPr>
          <w:rFonts w:ascii="Calibri" w:hAnsi="Calibri" w:cs="Times"/>
        </w:rPr>
        <w:t>B. Decrease in stock value is detrimental to our economy as it reduces consumer spending and investment. Brookings Institute 2</w:t>
      </w:r>
      <w:r w:rsidRPr="0090116D">
        <w:rPr>
          <w:rStyle w:val="FootnoteReference"/>
          <w:rFonts w:ascii="Calibri" w:hAnsi="Calibri" w:cs="Times"/>
        </w:rPr>
        <w:footnoteReference w:id="12"/>
      </w:r>
    </w:p>
    <w:p w14:paraId="5EB75ABE" w14:textId="77777777" w:rsidR="0090116D" w:rsidRPr="0090116D" w:rsidRDefault="0090116D" w:rsidP="0090116D">
      <w:pPr>
        <w:rPr>
          <w:rFonts w:ascii="Calibri" w:hAnsi="Calibri"/>
        </w:rPr>
      </w:pPr>
    </w:p>
    <w:p w14:paraId="3B21265C" w14:textId="77777777" w:rsidR="0090116D" w:rsidRPr="0090116D" w:rsidRDefault="0090116D" w:rsidP="0090116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90116D">
        <w:rPr>
          <w:rFonts w:ascii="Calibri" w:hAnsi="Calibri" w:cs="Times"/>
        </w:rPr>
        <w:t>Declines in stock</w:t>
      </w:r>
      <w:r w:rsidRPr="0090116D">
        <w:rPr>
          <w:rFonts w:ascii="Calibri" w:hAnsi="Calibri" w:cs="Times"/>
        </w:rPr>
        <w:t xml:space="preserve">… </w:t>
      </w:r>
      <w:r w:rsidRPr="0090116D">
        <w:rPr>
          <w:rFonts w:ascii="Calibri" w:hAnsi="Calibri" w:cs="Times"/>
        </w:rPr>
        <w:t>drop in stock prices.</w:t>
      </w:r>
    </w:p>
    <w:p w14:paraId="01C96128" w14:textId="77777777" w:rsidR="0090116D" w:rsidRPr="0090116D" w:rsidRDefault="0090116D">
      <w:pPr>
        <w:rPr>
          <w:rFonts w:ascii="Calibri" w:hAnsi="Calibri"/>
        </w:rPr>
      </w:pPr>
    </w:p>
    <w:p w14:paraId="25A0E4D2" w14:textId="77777777" w:rsidR="0090116D" w:rsidRPr="0090116D" w:rsidRDefault="0090116D" w:rsidP="0090116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90116D">
        <w:rPr>
          <w:rFonts w:ascii="Calibri" w:hAnsi="Calibri" w:cs="Times"/>
        </w:rPr>
        <w:t xml:space="preserve">C. The net impact to GDP of the 2002 corporate scandals was about 35 Billion dollars. </w:t>
      </w:r>
      <w:r w:rsidRPr="0090116D">
        <w:rPr>
          <w:rStyle w:val="FootnoteReference"/>
          <w:rFonts w:ascii="Calibri" w:hAnsi="Calibri" w:cs="Times"/>
        </w:rPr>
        <w:footnoteReference w:id="13"/>
      </w:r>
      <w:r w:rsidRPr="0090116D">
        <w:rPr>
          <w:rFonts w:ascii="Calibri" w:hAnsi="Calibri" w:cs="Times"/>
        </w:rPr>
        <w:t xml:space="preserve"> </w:t>
      </w:r>
    </w:p>
    <w:p w14:paraId="287702FE" w14:textId="77777777" w:rsidR="0090116D" w:rsidRPr="0090116D" w:rsidRDefault="0090116D">
      <w:pPr>
        <w:rPr>
          <w:rFonts w:ascii="Calibri" w:hAnsi="Calibri"/>
        </w:rPr>
      </w:pPr>
    </w:p>
    <w:p w14:paraId="78BA8550" w14:textId="77777777" w:rsidR="0090116D" w:rsidRPr="0090116D" w:rsidRDefault="0090116D">
      <w:pPr>
        <w:rPr>
          <w:rFonts w:ascii="Calibri" w:hAnsi="Calibri" w:cs="Times"/>
        </w:rPr>
      </w:pPr>
      <w:r w:rsidRPr="0090116D">
        <w:rPr>
          <w:rFonts w:ascii="Calibri" w:hAnsi="Calibri" w:cs="Times"/>
        </w:rPr>
        <w:t>Using the Federal</w:t>
      </w:r>
      <w:r w:rsidRPr="0090116D">
        <w:rPr>
          <w:rFonts w:ascii="Calibri" w:hAnsi="Calibri" w:cs="Times"/>
        </w:rPr>
        <w:t xml:space="preserve">… </w:t>
      </w:r>
      <w:r w:rsidRPr="0090116D">
        <w:rPr>
          <w:rFonts w:ascii="Calibri" w:hAnsi="Calibri" w:cs="Times"/>
        </w:rPr>
        <w:t xml:space="preserve">percent of the GDP (see Figure 6). </w:t>
      </w:r>
      <w:r w:rsidRPr="0090116D">
        <w:rPr>
          <w:rFonts w:ascii="Calibri" w:hAnsi="Calibri" w:cs="Times"/>
        </w:rPr>
        <w:cr/>
      </w:r>
    </w:p>
    <w:p w14:paraId="2699535D" w14:textId="77777777" w:rsidR="0090116D" w:rsidRPr="0090116D" w:rsidRDefault="0090116D">
      <w:pPr>
        <w:rPr>
          <w:rFonts w:ascii="Calibri" w:hAnsi="Calibri"/>
        </w:rPr>
      </w:pPr>
    </w:p>
    <w:p w14:paraId="631FCFA7" w14:textId="77777777" w:rsidR="0090116D" w:rsidRPr="0090116D" w:rsidRDefault="0090116D" w:rsidP="0090116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90116D">
        <w:rPr>
          <w:rFonts w:ascii="Calibri" w:hAnsi="Calibri" w:cs="Times"/>
        </w:rPr>
        <w:t>D. Declining confidence in the U.S. economic system undermines market reforms abroad. Brookings Institute 2</w:t>
      </w:r>
      <w:r w:rsidRPr="0090116D">
        <w:rPr>
          <w:rStyle w:val="FootnoteReference"/>
          <w:rFonts w:ascii="Calibri" w:hAnsi="Calibri" w:cs="Times"/>
        </w:rPr>
        <w:footnoteReference w:id="14"/>
      </w:r>
      <w:r w:rsidRPr="0090116D">
        <w:rPr>
          <w:rFonts w:ascii="Calibri" w:hAnsi="Calibri" w:cs="Times"/>
        </w:rPr>
        <w:t>:</w:t>
      </w:r>
    </w:p>
    <w:p w14:paraId="566E34B3" w14:textId="77777777" w:rsidR="0090116D" w:rsidRPr="0090116D" w:rsidRDefault="0090116D">
      <w:pPr>
        <w:rPr>
          <w:rFonts w:ascii="Calibri" w:hAnsi="Calibri"/>
        </w:rPr>
      </w:pPr>
    </w:p>
    <w:p w14:paraId="5CE89A9B" w14:textId="77777777" w:rsidR="0090116D" w:rsidRPr="0090116D" w:rsidRDefault="0090116D">
      <w:pPr>
        <w:rPr>
          <w:rFonts w:ascii="Calibri" w:hAnsi="Calibri"/>
        </w:rPr>
      </w:pPr>
      <w:proofErr w:type="gramStart"/>
      <w:r w:rsidRPr="0090116D">
        <w:rPr>
          <w:rFonts w:ascii="Calibri" w:hAnsi="Calibri" w:cs="Times"/>
        </w:rPr>
        <w:t>A final effect of</w:t>
      </w:r>
      <w:r w:rsidRPr="0090116D">
        <w:rPr>
          <w:rFonts w:ascii="Calibri" w:hAnsi="Calibri" w:cs="Times"/>
        </w:rPr>
        <w:t xml:space="preserve">… </w:t>
      </w:r>
      <w:r w:rsidRPr="0090116D">
        <w:rPr>
          <w:rFonts w:ascii="Calibri" w:hAnsi="Calibri" w:cs="Times"/>
        </w:rPr>
        <w:t>the U.S. economy.</w:t>
      </w:r>
      <w:proofErr w:type="gramEnd"/>
    </w:p>
    <w:bookmarkEnd w:id="0"/>
    <w:sectPr w:rsidR="0090116D" w:rsidRPr="0090116D" w:rsidSect="0067521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F145E" w14:textId="77777777" w:rsidR="0090116D" w:rsidRDefault="0090116D" w:rsidP="0090116D">
      <w:r>
        <w:separator/>
      </w:r>
    </w:p>
  </w:endnote>
  <w:endnote w:type="continuationSeparator" w:id="0">
    <w:p w14:paraId="58AE619E" w14:textId="77777777" w:rsidR="0090116D" w:rsidRDefault="0090116D" w:rsidP="0090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01582" w14:textId="77777777" w:rsidR="0090116D" w:rsidRDefault="0090116D" w:rsidP="0090116D">
      <w:r>
        <w:separator/>
      </w:r>
    </w:p>
  </w:footnote>
  <w:footnote w:type="continuationSeparator" w:id="0">
    <w:p w14:paraId="53A03A4B" w14:textId="77777777" w:rsidR="0090116D" w:rsidRDefault="0090116D" w:rsidP="0090116D">
      <w:r>
        <w:continuationSeparator/>
      </w:r>
    </w:p>
  </w:footnote>
  <w:footnote w:id="1">
    <w:p w14:paraId="576CA2B0" w14:textId="77777777" w:rsidR="0090116D" w:rsidRPr="006F3C9B" w:rsidRDefault="0090116D" w:rsidP="0090116D">
      <w:pPr>
        <w:pStyle w:val="FootnoteText"/>
        <w:rPr>
          <w:rFonts w:cstheme="minorHAnsi"/>
        </w:rPr>
      </w:pPr>
      <w:r w:rsidRPr="006F3C9B">
        <w:rPr>
          <w:rStyle w:val="FootnoteReference"/>
          <w:rFonts w:cstheme="minorHAnsi"/>
        </w:rPr>
        <w:footnoteRef/>
      </w:r>
      <w:r w:rsidRPr="006F3C9B">
        <w:rPr>
          <w:rFonts w:cstheme="minorHAnsi"/>
        </w:rPr>
        <w:t xml:space="preserve"> Kantian Consequentialism. David </w:t>
      </w:r>
      <w:proofErr w:type="spellStart"/>
      <w:r w:rsidRPr="006F3C9B">
        <w:rPr>
          <w:rFonts w:cstheme="minorHAnsi"/>
        </w:rPr>
        <w:t>Cummiskey</w:t>
      </w:r>
      <w:proofErr w:type="spellEnd"/>
      <w:r w:rsidRPr="006F3C9B">
        <w:rPr>
          <w:rFonts w:cstheme="minorHAnsi"/>
        </w:rPr>
        <w:t xml:space="preserve">. [Associate Philosophy Professor at Bates College]. </w:t>
      </w:r>
      <w:proofErr w:type="gramStart"/>
      <w:r w:rsidRPr="006F3C9B">
        <w:rPr>
          <w:rFonts w:cstheme="minorHAnsi"/>
        </w:rPr>
        <w:t>Ethics, Vol. 100, No. 3.</w:t>
      </w:r>
      <w:proofErr w:type="gramEnd"/>
      <w:r w:rsidRPr="006F3C9B">
        <w:rPr>
          <w:rFonts w:cstheme="minorHAnsi"/>
        </w:rPr>
        <w:t xml:space="preserve"> </w:t>
      </w:r>
      <w:proofErr w:type="gramStart"/>
      <w:r w:rsidRPr="006F3C9B">
        <w:rPr>
          <w:rFonts w:cstheme="minorHAnsi"/>
        </w:rPr>
        <w:t xml:space="preserve">1990. </w:t>
      </w:r>
      <w:proofErr w:type="gramEnd"/>
      <w:r w:rsidRPr="006F3C9B">
        <w:rPr>
          <w:rFonts w:cstheme="minorHAnsi"/>
        </w:rPr>
        <w:t>http://www.jstor.org/stable/2381810</w:t>
      </w:r>
      <w:proofErr w:type="gramStart"/>
      <w:r w:rsidRPr="006F3C9B">
        <w:rPr>
          <w:rFonts w:cstheme="minorHAnsi"/>
        </w:rPr>
        <w:t>.</w:t>
      </w:r>
      <w:proofErr w:type="gramEnd"/>
      <w:r w:rsidRPr="006F3C9B">
        <w:rPr>
          <w:rFonts w:cstheme="minorHAnsi"/>
        </w:rPr>
        <w:t xml:space="preserve"> </w:t>
      </w:r>
    </w:p>
  </w:footnote>
  <w:footnote w:id="2">
    <w:p w14:paraId="7DAA28AE" w14:textId="77777777" w:rsidR="0090116D" w:rsidRPr="006F3C9B" w:rsidRDefault="0090116D" w:rsidP="0090116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3C9B">
        <w:rPr>
          <w:rStyle w:val="FootnoteReference"/>
          <w:rFonts w:cstheme="minorHAnsi"/>
          <w:sz w:val="20"/>
          <w:szCs w:val="20"/>
        </w:rPr>
        <w:footnoteRef/>
      </w:r>
      <w:r w:rsidRPr="006F3C9B">
        <w:rPr>
          <w:rFonts w:cstheme="minorHAnsi"/>
          <w:sz w:val="20"/>
          <w:szCs w:val="20"/>
        </w:rPr>
        <w:t xml:space="preserve"> Cass R. </w:t>
      </w:r>
      <w:proofErr w:type="spellStart"/>
      <w:r w:rsidRPr="006F3C9B">
        <w:rPr>
          <w:rFonts w:cstheme="minorHAnsi"/>
          <w:sz w:val="20"/>
          <w:szCs w:val="20"/>
        </w:rPr>
        <w:t>Sunstein</w:t>
      </w:r>
      <w:proofErr w:type="spellEnd"/>
      <w:r w:rsidRPr="006F3C9B">
        <w:rPr>
          <w:rFonts w:cstheme="minorHAnsi"/>
          <w:sz w:val="20"/>
          <w:szCs w:val="20"/>
        </w:rPr>
        <w:t xml:space="preserve"> [Prof. of Jurisprudence, University of Chicago Law School, Department of Political Science] and Adrian </w:t>
      </w:r>
      <w:proofErr w:type="spellStart"/>
      <w:r w:rsidRPr="006F3C9B">
        <w:rPr>
          <w:rFonts w:cstheme="minorHAnsi"/>
          <w:sz w:val="20"/>
          <w:szCs w:val="20"/>
        </w:rPr>
        <w:t>Vermeule</w:t>
      </w:r>
      <w:proofErr w:type="spellEnd"/>
      <w:r w:rsidRPr="006F3C9B">
        <w:rPr>
          <w:rFonts w:cstheme="minorHAnsi"/>
          <w:sz w:val="20"/>
          <w:szCs w:val="20"/>
        </w:rPr>
        <w:t xml:space="preserve"> [Prof. of Law, University of Chicago], “</w:t>
      </w:r>
      <w:r w:rsidRPr="006F3C9B">
        <w:rPr>
          <w:rFonts w:cstheme="minorHAnsi"/>
          <w:bCs/>
          <w:sz w:val="20"/>
          <w:szCs w:val="20"/>
        </w:rPr>
        <w:t xml:space="preserve">IS CAPITAL PUNISHMENT </w:t>
      </w:r>
      <w:r w:rsidRPr="006F3C9B">
        <w:rPr>
          <w:rFonts w:cstheme="minorHAnsi"/>
          <w:sz w:val="20"/>
          <w:szCs w:val="20"/>
        </w:rPr>
        <w:t xml:space="preserve">MORALLY </w:t>
      </w:r>
      <w:r w:rsidRPr="006F3C9B">
        <w:rPr>
          <w:rFonts w:cstheme="minorHAnsi"/>
          <w:bCs/>
          <w:sz w:val="20"/>
          <w:szCs w:val="20"/>
        </w:rPr>
        <w:t xml:space="preserve">REQUIRED? </w:t>
      </w:r>
      <w:proofErr w:type="gramStart"/>
      <w:r w:rsidRPr="006F3C9B">
        <w:rPr>
          <w:rFonts w:cstheme="minorHAnsi"/>
          <w:bCs/>
          <w:sz w:val="20"/>
          <w:szCs w:val="20"/>
        </w:rPr>
        <w:t>ACTS, OMISSIONS, AND LIFE</w:t>
      </w:r>
      <w:r w:rsidRPr="006F3C9B">
        <w:rPr>
          <w:rFonts w:cstheme="minorHAnsi"/>
          <w:sz w:val="20"/>
          <w:szCs w:val="20"/>
        </w:rPr>
        <w:t xml:space="preserve">LIFE </w:t>
      </w:r>
      <w:r w:rsidRPr="006F3C9B">
        <w:rPr>
          <w:rFonts w:cstheme="minorHAnsi"/>
          <w:bCs/>
          <w:sz w:val="20"/>
          <w:szCs w:val="20"/>
        </w:rPr>
        <w:t>TRADEOFFS</w:t>
      </w:r>
      <w:r w:rsidRPr="006F3C9B">
        <w:rPr>
          <w:rFonts w:cstheme="minorHAnsi"/>
          <w:sz w:val="20"/>
          <w:szCs w:val="20"/>
        </w:rPr>
        <w:t>,” 58 Stan.</w:t>
      </w:r>
      <w:proofErr w:type="gramEnd"/>
      <w:r w:rsidRPr="006F3C9B">
        <w:rPr>
          <w:rFonts w:cstheme="minorHAnsi"/>
          <w:sz w:val="20"/>
          <w:szCs w:val="20"/>
        </w:rPr>
        <w:t xml:space="preserve"> L. Rev. 703 (2005-2006).</w:t>
      </w:r>
    </w:p>
  </w:footnote>
  <w:footnote w:id="3">
    <w:p w14:paraId="03E786E3" w14:textId="77777777" w:rsidR="0090116D" w:rsidRPr="00F97A81" w:rsidRDefault="0090116D" w:rsidP="0090116D">
      <w:pPr>
        <w:pStyle w:val="FootnoteText"/>
        <w:rPr>
          <w:rFonts w:asciiTheme="majorHAnsi" w:hAnsiTheme="majorHAnsi" w:cstheme="majorHAnsi"/>
          <w:sz w:val="12"/>
          <w:szCs w:val="12"/>
        </w:rPr>
      </w:pPr>
      <w:r w:rsidRPr="00F97A81">
        <w:rPr>
          <w:rStyle w:val="FootnoteReference"/>
          <w:rFonts w:asciiTheme="majorHAnsi" w:hAnsiTheme="majorHAnsi" w:cstheme="majorHAnsi"/>
          <w:sz w:val="12"/>
          <w:szCs w:val="12"/>
        </w:rPr>
        <w:footnoteRef/>
      </w:r>
      <w:r w:rsidRPr="00F97A81">
        <w:rPr>
          <w:rFonts w:asciiTheme="majorHAnsi" w:hAnsiTheme="majorHAnsi" w:cstheme="majorHAnsi"/>
          <w:sz w:val="12"/>
          <w:szCs w:val="12"/>
        </w:rPr>
        <w:t xml:space="preserve"> Peter Singer [Prof. of Bioethics, Princeton University], </w:t>
      </w:r>
      <w:r w:rsidRPr="00F97A81">
        <w:rPr>
          <w:rFonts w:asciiTheme="majorHAnsi" w:hAnsiTheme="majorHAnsi" w:cstheme="majorHAnsi"/>
          <w:sz w:val="12"/>
          <w:szCs w:val="12"/>
          <w:u w:val="single"/>
        </w:rPr>
        <w:t>The Expanding Circle: Ethics and Sociobiology</w:t>
      </w:r>
      <w:r w:rsidRPr="00F97A81">
        <w:rPr>
          <w:rFonts w:asciiTheme="majorHAnsi" w:hAnsiTheme="majorHAnsi" w:cstheme="majorHAnsi"/>
          <w:sz w:val="12"/>
          <w:szCs w:val="12"/>
        </w:rPr>
        <w:t xml:space="preserve">. New York: Farrar, Straus &amp; Giroux (1981), </w:t>
      </w:r>
      <w:proofErr w:type="gramStart"/>
      <w:r w:rsidRPr="00F97A81">
        <w:rPr>
          <w:rFonts w:asciiTheme="majorHAnsi" w:hAnsiTheme="majorHAnsi" w:cstheme="majorHAnsi"/>
          <w:sz w:val="12"/>
          <w:szCs w:val="12"/>
        </w:rPr>
        <w:t>p</w:t>
      </w:r>
      <w:proofErr w:type="gramEnd"/>
      <w:r w:rsidRPr="00F97A81">
        <w:rPr>
          <w:rFonts w:asciiTheme="majorHAnsi" w:hAnsiTheme="majorHAnsi" w:cstheme="majorHAnsi"/>
          <w:sz w:val="12"/>
          <w:szCs w:val="12"/>
        </w:rPr>
        <w:t>. 92-94.</w:t>
      </w:r>
    </w:p>
  </w:footnote>
  <w:footnote w:id="4">
    <w:p w14:paraId="642E66B0" w14:textId="77777777" w:rsidR="0090116D" w:rsidRPr="00F97A81" w:rsidRDefault="0090116D" w:rsidP="0090116D">
      <w:pPr>
        <w:pStyle w:val="FootnoteText"/>
        <w:rPr>
          <w:rFonts w:asciiTheme="majorHAnsi" w:hAnsiTheme="majorHAnsi" w:cstheme="majorHAnsi"/>
          <w:sz w:val="12"/>
          <w:szCs w:val="12"/>
        </w:rPr>
      </w:pPr>
      <w:r w:rsidRPr="00F97A81">
        <w:rPr>
          <w:rStyle w:val="FootnoteReference"/>
          <w:rFonts w:asciiTheme="majorHAnsi" w:hAnsiTheme="majorHAnsi" w:cstheme="majorHAnsi"/>
          <w:sz w:val="12"/>
          <w:szCs w:val="12"/>
        </w:rPr>
        <w:footnoteRef/>
      </w:r>
      <w:r w:rsidRPr="00F97A81">
        <w:rPr>
          <w:rFonts w:asciiTheme="majorHAnsi" w:hAnsiTheme="majorHAnsi" w:cstheme="majorHAnsi"/>
          <w:sz w:val="12"/>
          <w:szCs w:val="12"/>
        </w:rPr>
        <w:t xml:space="preserve"> Peter Singer [Prof. of Bioethics, Princeton University], </w:t>
      </w:r>
      <w:r w:rsidRPr="00F97A81">
        <w:rPr>
          <w:rFonts w:asciiTheme="majorHAnsi" w:hAnsiTheme="majorHAnsi" w:cstheme="majorHAnsi"/>
          <w:sz w:val="12"/>
          <w:szCs w:val="12"/>
          <w:u w:val="single"/>
        </w:rPr>
        <w:t>The Expanding Circle: Ethics and Sociobiology</w:t>
      </w:r>
      <w:r w:rsidRPr="00F97A81">
        <w:rPr>
          <w:rFonts w:asciiTheme="majorHAnsi" w:hAnsiTheme="majorHAnsi" w:cstheme="majorHAnsi"/>
          <w:sz w:val="12"/>
          <w:szCs w:val="12"/>
        </w:rPr>
        <w:t xml:space="preserve">. New York: Farrar, Straus &amp; Giroux (1981), </w:t>
      </w:r>
      <w:proofErr w:type="gramStart"/>
      <w:r w:rsidRPr="00F97A81">
        <w:rPr>
          <w:rFonts w:asciiTheme="majorHAnsi" w:hAnsiTheme="majorHAnsi" w:cstheme="majorHAnsi"/>
          <w:sz w:val="12"/>
          <w:szCs w:val="12"/>
        </w:rPr>
        <w:t>p</w:t>
      </w:r>
      <w:proofErr w:type="gramEnd"/>
      <w:r w:rsidRPr="00F97A81">
        <w:rPr>
          <w:rFonts w:asciiTheme="majorHAnsi" w:hAnsiTheme="majorHAnsi" w:cstheme="majorHAnsi"/>
          <w:sz w:val="12"/>
          <w:szCs w:val="12"/>
        </w:rPr>
        <w:t>. 92-94.</w:t>
      </w:r>
    </w:p>
  </w:footnote>
  <w:footnote w:id="5">
    <w:p w14:paraId="63265EED" w14:textId="77777777" w:rsidR="0090116D" w:rsidRPr="004473DD" w:rsidRDefault="0090116D" w:rsidP="0090116D">
      <w:pPr>
        <w:pStyle w:val="FootnoteText"/>
      </w:pPr>
      <w:r w:rsidRPr="004473DD">
        <w:rPr>
          <w:rStyle w:val="FootnoteReference"/>
        </w:rPr>
        <w:footnoteRef/>
      </w:r>
      <w:r w:rsidRPr="004473DD">
        <w:t xml:space="preserve"> Caroline Harrington [JD, Georgetown University Law Center], “Attorney Gatekeeper Duties in an Increasingly Complex World: Revisiting the "Noisy Withdrawal" Proposal of SEC Rule 205,” 22 Geo. J. Legal Ethics 893 (2009)</w:t>
      </w:r>
    </w:p>
  </w:footnote>
  <w:footnote w:id="6">
    <w:p w14:paraId="5214A701" w14:textId="77777777" w:rsidR="0090116D" w:rsidRPr="004473DD" w:rsidRDefault="0090116D" w:rsidP="0090116D">
      <w:pPr>
        <w:pStyle w:val="FootnoteText"/>
      </w:pPr>
      <w:r w:rsidRPr="004473DD">
        <w:rPr>
          <w:rStyle w:val="FootnoteReference"/>
        </w:rPr>
        <w:footnoteRef/>
      </w:r>
      <w:r w:rsidRPr="004473DD">
        <w:t xml:space="preserve"> Caroline Harrington [JD, Georgetown University Law Center], “Attorney Gatekeeper Duties in an Increasingly Complex World: Revisiting the "Noisy Withdrawal" Proposal of SEC Rule 205,” 22 Geo. J. Legal Ethics 893 (2009)</w:t>
      </w:r>
    </w:p>
  </w:footnote>
  <w:footnote w:id="7">
    <w:p w14:paraId="7D57A355" w14:textId="77777777" w:rsidR="0090116D" w:rsidRPr="004473DD" w:rsidRDefault="0090116D" w:rsidP="0090116D">
      <w:pPr>
        <w:pStyle w:val="FootnoteText"/>
      </w:pPr>
      <w:r w:rsidRPr="004473DD">
        <w:rPr>
          <w:rStyle w:val="FootnoteReference"/>
        </w:rPr>
        <w:footnoteRef/>
      </w:r>
      <w:r w:rsidRPr="004473DD">
        <w:t xml:space="preserve"> Caroline Harrington [JD, Georgetown University Law Center], “Attorney Gatekeeper Duties in an Increasingly Complex World: Revisiting the "Noisy Withdrawal" Proposal of SEC Rule 205,” 22 Geo. J. Legal Ethics 893 (2009)</w:t>
      </w:r>
    </w:p>
  </w:footnote>
  <w:footnote w:id="8">
    <w:p w14:paraId="2621E925" w14:textId="77777777" w:rsidR="0090116D" w:rsidRPr="004473DD" w:rsidRDefault="0090116D" w:rsidP="0090116D">
      <w:pPr>
        <w:pStyle w:val="FootnoteText"/>
      </w:pPr>
      <w:r w:rsidRPr="004473DD">
        <w:rPr>
          <w:rStyle w:val="FootnoteReference"/>
        </w:rPr>
        <w:footnoteRef/>
      </w:r>
      <w:r w:rsidRPr="004473DD">
        <w:t xml:space="preserve"> Caroline Harrington [JD, Georgetown University Law Center], “Attorney Gatekeeper Duties in an Increasingly Complex World: Revisiting the "Noisy Withdrawal" Proposal of SEC Rule 205,” 22 Geo. J. Legal Ethics 893 (2009)</w:t>
      </w:r>
    </w:p>
  </w:footnote>
  <w:footnote w:id="9">
    <w:p w14:paraId="7DF9EE41" w14:textId="77777777" w:rsidR="0090116D" w:rsidRPr="004473DD" w:rsidRDefault="0090116D" w:rsidP="0090116D">
      <w:pPr>
        <w:pStyle w:val="FootnoteText"/>
      </w:pPr>
      <w:r w:rsidRPr="004473DD">
        <w:rPr>
          <w:rStyle w:val="FootnoteReference"/>
        </w:rPr>
        <w:footnoteRef/>
      </w:r>
      <w:r w:rsidRPr="004473DD">
        <w:t xml:space="preserve"> Caroline Harrington [JD, Georgetown University Law Center], “Attorney Gatekeeper Duties in an Increasingly Complex World: Revisiting the "Noisy Withdrawal" Proposal of SEC Rule 205,” 22 Geo. J. Legal Ethics 893 (2009)</w:t>
      </w:r>
    </w:p>
  </w:footnote>
  <w:footnote w:id="10">
    <w:p w14:paraId="78362E31" w14:textId="77777777" w:rsidR="0090116D" w:rsidRPr="004473DD" w:rsidRDefault="0090116D" w:rsidP="0090116D">
      <w:pPr>
        <w:pStyle w:val="FootnoteText"/>
      </w:pPr>
      <w:r w:rsidRPr="004473DD">
        <w:rPr>
          <w:rStyle w:val="FootnoteReference"/>
        </w:rPr>
        <w:footnoteRef/>
      </w:r>
      <w:r w:rsidRPr="004473DD">
        <w:t xml:space="preserve"> Caroline Harrington [JD, Georgetown University Law Center], “Attorney Gatekeeper Duties in an Increasingly Complex World: Revisiting the "Noisy Withdrawal" Proposal of SEC Rule 205,” 22 Geo. J. Legal Ethics 893 (2009)</w:t>
      </w:r>
    </w:p>
  </w:footnote>
  <w:footnote w:id="11">
    <w:p w14:paraId="5197144C" w14:textId="77777777" w:rsidR="0090116D" w:rsidRPr="004473DD" w:rsidRDefault="0090116D" w:rsidP="0090116D">
      <w:pPr>
        <w:rPr>
          <w:rFonts w:eastAsia="Times New Roman" w:cs="Times New Roman"/>
          <w:sz w:val="20"/>
          <w:szCs w:val="20"/>
        </w:rPr>
      </w:pPr>
      <w:r w:rsidRPr="004473DD">
        <w:rPr>
          <w:rStyle w:val="FootnoteReference"/>
          <w:sz w:val="20"/>
          <w:szCs w:val="20"/>
        </w:rPr>
        <w:footnoteRef/>
      </w:r>
      <w:r w:rsidRPr="004473DD">
        <w:rPr>
          <w:sz w:val="20"/>
          <w:szCs w:val="20"/>
        </w:rPr>
        <w:t xml:space="preserve"> </w:t>
      </w:r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Graham, Carol [Vice president and director of governance studies at the Brookings institute], Robert E.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Litan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Sandip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Sukhtankar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. "Cooking the books: the cost to the economy." (2009).</w:t>
      </w:r>
    </w:p>
  </w:footnote>
  <w:footnote w:id="12">
    <w:p w14:paraId="2BF28340" w14:textId="77777777" w:rsidR="0090116D" w:rsidRPr="004473DD" w:rsidRDefault="0090116D" w:rsidP="0090116D">
      <w:pPr>
        <w:rPr>
          <w:rFonts w:eastAsia="Times New Roman" w:cs="Times New Roman"/>
          <w:sz w:val="20"/>
          <w:szCs w:val="20"/>
        </w:rPr>
      </w:pPr>
      <w:r w:rsidRPr="004473DD">
        <w:rPr>
          <w:rStyle w:val="FootnoteReference"/>
          <w:sz w:val="20"/>
          <w:szCs w:val="20"/>
        </w:rPr>
        <w:footnoteRef/>
      </w:r>
      <w:r w:rsidRPr="004473DD">
        <w:rPr>
          <w:sz w:val="20"/>
          <w:szCs w:val="20"/>
        </w:rPr>
        <w:t xml:space="preserve"> </w:t>
      </w:r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Graham, Carol [Vice president and director of governance studies at the Brookings institute], Robert E.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Litan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Sandip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Sukhtankar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. "Cooking the books: the cost to the economy." (2009).</w:t>
      </w:r>
    </w:p>
  </w:footnote>
  <w:footnote w:id="13">
    <w:p w14:paraId="11A1E759" w14:textId="77777777" w:rsidR="0090116D" w:rsidRDefault="0090116D" w:rsidP="0090116D">
      <w:pPr>
        <w:pStyle w:val="FootnoteText"/>
      </w:pPr>
      <w:r>
        <w:rPr>
          <w:rStyle w:val="FootnoteReference"/>
        </w:rPr>
        <w:footnoteRef/>
      </w:r>
      <w:r>
        <w:t xml:space="preserve"> New York State Office of </w:t>
      </w:r>
      <w:proofErr w:type="spellStart"/>
      <w:r>
        <w:t>Comptoller</w:t>
      </w:r>
      <w:proofErr w:type="spellEnd"/>
      <w:r>
        <w:t>, “Impact of the Corporate Scandals on New York State,” (August 2003)</w:t>
      </w:r>
    </w:p>
  </w:footnote>
  <w:footnote w:id="14">
    <w:p w14:paraId="0B35048C" w14:textId="77777777" w:rsidR="0090116D" w:rsidRPr="004473DD" w:rsidRDefault="0090116D" w:rsidP="0090116D">
      <w:pPr>
        <w:rPr>
          <w:rFonts w:eastAsia="Times New Roman" w:cs="Times New Roman"/>
          <w:sz w:val="20"/>
          <w:szCs w:val="20"/>
        </w:rPr>
      </w:pPr>
      <w:r w:rsidRPr="004473DD">
        <w:rPr>
          <w:rStyle w:val="FootnoteReference"/>
          <w:sz w:val="20"/>
          <w:szCs w:val="20"/>
        </w:rPr>
        <w:footnoteRef/>
      </w:r>
      <w:r w:rsidRPr="004473DD">
        <w:rPr>
          <w:sz w:val="20"/>
          <w:szCs w:val="20"/>
        </w:rPr>
        <w:t xml:space="preserve"> </w:t>
      </w:r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Graham, Carol [Vice president and director of governance studies at the Brookings institute], Robert E.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Litan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Sandip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Sukhtankar</w:t>
      </w:r>
      <w:proofErr w:type="spellEnd"/>
      <w:r w:rsidRPr="004473DD">
        <w:rPr>
          <w:rFonts w:eastAsia="Times New Roman" w:cs="Arial"/>
          <w:color w:val="222222"/>
          <w:sz w:val="20"/>
          <w:szCs w:val="20"/>
          <w:shd w:val="clear" w:color="auto" w:fill="FFFFFF"/>
        </w:rPr>
        <w:t>. "Cooking the books: the cost to the economy." (2009).</w:t>
      </w:r>
    </w:p>
    <w:p w14:paraId="0BFC1FB7" w14:textId="77777777" w:rsidR="0090116D" w:rsidRPr="004473DD" w:rsidRDefault="0090116D" w:rsidP="0090116D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9E"/>
    <w:rsid w:val="002A229E"/>
    <w:rsid w:val="00675217"/>
    <w:rsid w:val="0090116D"/>
    <w:rsid w:val="00ED49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02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011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11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0116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011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11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011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Macintosh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Gersh</dc:creator>
  <cp:keywords/>
  <dc:description/>
  <cp:lastModifiedBy>Linda Gersh</cp:lastModifiedBy>
  <cp:revision>2</cp:revision>
  <dcterms:created xsi:type="dcterms:W3CDTF">2013-10-30T22:26:00Z</dcterms:created>
  <dcterms:modified xsi:type="dcterms:W3CDTF">2013-10-30T22:33:00Z</dcterms:modified>
</cp:coreProperties>
</file>