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54" w:rsidRDefault="00A33454" w:rsidP="00A3345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28"/>
          <w:szCs w:val="28"/>
        </w:rPr>
      </w:pPr>
      <w:r>
        <w:rPr>
          <w:rFonts w:ascii="Helvetica" w:hAnsi="Helvetica" w:cs="Helvetica"/>
          <w:color w:val="3C3C3C"/>
          <w:sz w:val="28"/>
          <w:szCs w:val="28"/>
        </w:rPr>
        <w:t>WRONGFUL CONVICTION DISAD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28"/>
          <w:szCs w:val="28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26"/>
          <w:szCs w:val="26"/>
        </w:rPr>
        <w:t>A) Uniqueness</w:t>
      </w:r>
      <w:r>
        <w:rPr>
          <w:rFonts w:ascii="Arial" w:hAnsi="Arial" w:cs="Arial"/>
          <w:color w:val="1A1A1A"/>
          <w:sz w:val="26"/>
          <w:szCs w:val="26"/>
        </w:rPr>
        <w:t xml:space="preserve"> ACP is essential to full and frank disclosure.</w:t>
      </w: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Multiple empirical studies show that clients are more likely to disclose critical information to attorneys when they are assured of confidentiality. </w:t>
      </w:r>
      <w:proofErr w:type="spellStart"/>
      <w:r>
        <w:rPr>
          <w:rFonts w:ascii="Arial" w:hAnsi="Arial" w:cs="Arial"/>
          <w:b/>
          <w:bCs/>
          <w:color w:val="1A1A1A"/>
          <w:sz w:val="26"/>
          <w:szCs w:val="26"/>
        </w:rPr>
        <w:t>Hasbani</w:t>
      </w:r>
      <w:proofErr w:type="spellEnd"/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 2010</w:t>
      </w:r>
      <w:r>
        <w:rPr>
          <w:rFonts w:ascii="Calibri" w:hAnsi="Calibri" w:cs="Calibri"/>
          <w:b/>
          <w:bCs/>
          <w:color w:val="103CC0"/>
          <w:sz w:val="32"/>
          <w:szCs w:val="32"/>
        </w:rPr>
        <w:t>[1]</w:t>
      </w:r>
      <w:r>
        <w:rPr>
          <w:rFonts w:ascii="Arial" w:hAnsi="Arial" w:cs="Arial"/>
          <w:b/>
          <w:bCs/>
          <w:color w:val="1A1A1A"/>
          <w:sz w:val="26"/>
          <w:szCs w:val="26"/>
        </w:rPr>
        <w:t>: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28"/>
          <w:szCs w:val="28"/>
        </w:rPr>
      </w:pPr>
      <w:r>
        <w:rPr>
          <w:rFonts w:ascii="Calibri" w:hAnsi="Calibri" w:cs="Calibri"/>
          <w:color w:val="3C3C3C"/>
          <w:sz w:val="22"/>
          <w:szCs w:val="22"/>
        </w:rPr>
        <w:t>In response to...</w:t>
      </w:r>
      <w:r>
        <w:rPr>
          <w:rFonts w:ascii="Calibri" w:hAnsi="Calibri" w:cs="Calibri"/>
          <w:b/>
          <w:bCs/>
          <w:color w:val="1A1A1A"/>
          <w:sz w:val="32"/>
          <w:szCs w:val="32"/>
        </w:rPr>
        <w:t>confidentiality is promised.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28"/>
          <w:szCs w:val="28"/>
        </w:rPr>
      </w:pPr>
      <w:r>
        <w:rPr>
          <w:rFonts w:ascii="Calibri" w:hAnsi="Calibri" w:cs="Calibri"/>
          <w:color w:val="3C3C3C"/>
          <w:sz w:val="22"/>
          <w:szCs w:val="22"/>
        </w:rPr>
        <w:t> </w:t>
      </w: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26"/>
          <w:szCs w:val="26"/>
        </w:rPr>
        <w:t>B) LINK</w:t>
      </w: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Effective assistance of counsel is reliant on full and frank disclosure. </w:t>
      </w:r>
      <w:proofErr w:type="spellStart"/>
      <w:r>
        <w:rPr>
          <w:rFonts w:ascii="Arial" w:hAnsi="Arial" w:cs="Arial"/>
          <w:b/>
          <w:bCs/>
          <w:color w:val="1A1A1A"/>
          <w:sz w:val="26"/>
          <w:szCs w:val="26"/>
        </w:rPr>
        <w:t>Hasbani</w:t>
      </w:r>
      <w:proofErr w:type="spellEnd"/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 2010</w:t>
      </w:r>
      <w:r>
        <w:rPr>
          <w:rFonts w:ascii="Calibri" w:hAnsi="Calibri" w:cs="Calibri"/>
          <w:b/>
          <w:bCs/>
          <w:color w:val="103CC0"/>
          <w:sz w:val="32"/>
          <w:szCs w:val="32"/>
        </w:rPr>
        <w:t>[1]</w:t>
      </w:r>
      <w:r>
        <w:rPr>
          <w:rFonts w:ascii="Arial" w:hAnsi="Arial" w:cs="Arial"/>
          <w:b/>
          <w:bCs/>
          <w:color w:val="1A1A1A"/>
          <w:sz w:val="26"/>
          <w:szCs w:val="26"/>
        </w:rPr>
        <w:t>:</w:t>
      </w:r>
    </w:p>
    <w:p w:rsidR="00A33454" w:rsidRDefault="00A33454" w:rsidP="00A3345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28"/>
          <w:szCs w:val="28"/>
        </w:rPr>
      </w:pPr>
      <w:r>
        <w:rPr>
          <w:rFonts w:ascii="Calibri" w:hAnsi="Calibri" w:cs="Calibri"/>
          <w:color w:val="3C3C3C"/>
          <w:sz w:val="22"/>
          <w:szCs w:val="22"/>
        </w:rPr>
        <w:t xml:space="preserve">One of </w:t>
      </w:r>
      <w:proofErr w:type="spellStart"/>
      <w:r>
        <w:rPr>
          <w:rFonts w:ascii="Calibri" w:hAnsi="Calibri" w:cs="Calibri"/>
          <w:color w:val="3C3C3C"/>
          <w:sz w:val="22"/>
          <w:szCs w:val="22"/>
        </w:rPr>
        <w:t>the..</w:t>
      </w:r>
      <w:r>
        <w:rPr>
          <w:rFonts w:ascii="Calibri" w:hAnsi="Calibri" w:cs="Calibri"/>
          <w:b/>
          <w:bCs/>
          <w:color w:val="1A1A1A"/>
          <w:sz w:val="32"/>
          <w:szCs w:val="32"/>
        </w:rPr>
        <w:t>of</w:t>
      </w:r>
      <w:proofErr w:type="spellEnd"/>
      <w:r>
        <w:rPr>
          <w:rFonts w:ascii="Calibri" w:hAnsi="Calibri" w:cs="Calibri"/>
          <w:b/>
          <w:bCs/>
          <w:color w:val="1A1A1A"/>
          <w:sz w:val="32"/>
          <w:szCs w:val="32"/>
        </w:rPr>
        <w:t xml:space="preserve"> a client.</w:t>
      </w:r>
      <w:r>
        <w:rPr>
          <w:rFonts w:ascii="Calibri" w:hAnsi="Calibri" w:cs="Calibri"/>
          <w:color w:val="1A1A1A"/>
          <w:sz w:val="22"/>
          <w:szCs w:val="22"/>
        </w:rPr>
        <w:t>41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28"/>
          <w:szCs w:val="28"/>
        </w:rPr>
      </w:pPr>
      <w:r>
        <w:rPr>
          <w:rFonts w:ascii="Calibri" w:hAnsi="Calibri" w:cs="Calibri"/>
          <w:color w:val="3C3C3C"/>
          <w:sz w:val="22"/>
          <w:szCs w:val="22"/>
        </w:rPr>
        <w:t> </w:t>
      </w: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26"/>
          <w:szCs w:val="26"/>
        </w:rPr>
        <w:t>Dr. West</w:t>
      </w:r>
      <w:r>
        <w:rPr>
          <w:rFonts w:ascii="Calibri" w:hAnsi="Calibri" w:cs="Calibri"/>
          <w:b/>
          <w:bCs/>
          <w:color w:val="103CC0"/>
          <w:sz w:val="32"/>
          <w:szCs w:val="32"/>
        </w:rPr>
        <w:t>[1]</w:t>
      </w:r>
      <w:r>
        <w:rPr>
          <w:rFonts w:ascii="Arial" w:hAnsi="Arial" w:cs="Arial"/>
          <w:color w:val="1A1A1A"/>
          <w:sz w:val="26"/>
          <w:szCs w:val="26"/>
        </w:rPr>
        <w:t xml:space="preserve"> conducted a study in 2010 to see how ineffective assistance of counsel played a role in wrongful convictions.</w:t>
      </w: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28"/>
          <w:szCs w:val="28"/>
        </w:rPr>
      </w:pPr>
      <w:r>
        <w:rPr>
          <w:rFonts w:ascii="Calibri" w:hAnsi="Calibri" w:cs="Calibri"/>
          <w:color w:val="3C3C3C"/>
          <w:sz w:val="16"/>
          <w:szCs w:val="16"/>
        </w:rPr>
        <w:t>In order</w:t>
      </w:r>
      <w:r>
        <w:rPr>
          <w:rFonts w:ascii="Calibri" w:hAnsi="Calibri" w:cs="Calibri"/>
          <w:b/>
          <w:bCs/>
          <w:color w:val="3C3C3C"/>
          <w:sz w:val="32"/>
          <w:szCs w:val="32"/>
        </w:rPr>
        <w:t xml:space="preserve"> to...</w:t>
      </w:r>
      <w:r>
        <w:rPr>
          <w:rFonts w:ascii="Calibri" w:hAnsi="Calibri" w:cs="Calibri"/>
          <w:b/>
          <w:bCs/>
          <w:color w:val="1A1A1A"/>
          <w:sz w:val="32"/>
          <w:szCs w:val="32"/>
        </w:rPr>
        <w:t>assistance of counsel.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28"/>
          <w:szCs w:val="28"/>
        </w:rPr>
      </w:pPr>
      <w:r>
        <w:rPr>
          <w:rFonts w:ascii="Calibri" w:hAnsi="Calibri" w:cs="Calibri"/>
          <w:b/>
          <w:bCs/>
          <w:color w:val="3C3C3C"/>
          <w:sz w:val="32"/>
          <w:szCs w:val="32"/>
        </w:rPr>
        <w:t> 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C3C3C"/>
          <w:sz w:val="28"/>
          <w:szCs w:val="28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West found that 13% of wrongful convictions were because of ineffective assistance of counsel.</w:t>
      </w: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b/>
          <w:bCs/>
          <w:color w:val="1A1A1A"/>
          <w:sz w:val="26"/>
          <w:szCs w:val="26"/>
        </w:rPr>
        <w:t> </w:t>
      </w: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D) </w:t>
      </w:r>
      <w:r>
        <w:rPr>
          <w:rFonts w:ascii="Arial" w:hAnsi="Arial" w:cs="Arial"/>
          <w:b/>
          <w:bCs/>
          <w:color w:val="1A1A1A"/>
          <w:sz w:val="26"/>
          <w:szCs w:val="26"/>
        </w:rPr>
        <w:t>IMPACTS</w:t>
      </w:r>
    </w:p>
    <w:p w:rsidR="00A33454" w:rsidRDefault="00A33454" w:rsidP="00A33454">
      <w:pPr>
        <w:widowControl w:val="0"/>
        <w:autoSpaceDE w:val="0"/>
        <w:autoSpaceDN w:val="0"/>
        <w:adjustRightInd w:val="0"/>
        <w:ind w:right="96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 </w:t>
      </w:r>
    </w:p>
    <w:p w:rsidR="00A33454" w:rsidRDefault="00A33454" w:rsidP="00A33454">
      <w:pPr>
        <w:widowControl w:val="0"/>
        <w:autoSpaceDE w:val="0"/>
        <w:autoSpaceDN w:val="0"/>
        <w:adjustRightInd w:val="0"/>
        <w:spacing w:after="32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Wrongful conviction is rampant in the Criminal Justice System. The time to act is now. </w:t>
      </w:r>
      <w:proofErr w:type="spellStart"/>
      <w:r>
        <w:rPr>
          <w:rFonts w:ascii="Arial" w:hAnsi="Arial" w:cs="Arial"/>
          <w:b/>
          <w:bCs/>
          <w:color w:val="1A1A1A"/>
          <w:sz w:val="26"/>
          <w:szCs w:val="26"/>
        </w:rPr>
        <w:t>Zalman</w:t>
      </w:r>
      <w:proofErr w:type="spellEnd"/>
      <w:r>
        <w:rPr>
          <w:rFonts w:ascii="Arial" w:hAnsi="Arial" w:cs="Arial"/>
          <w:b/>
          <w:bCs/>
          <w:color w:val="1A1A1A"/>
          <w:sz w:val="26"/>
          <w:szCs w:val="26"/>
        </w:rPr>
        <w:t xml:space="preserve"> 2012</w:t>
      </w:r>
      <w:r>
        <w:rPr>
          <w:rFonts w:ascii="Calibri" w:hAnsi="Calibri" w:cs="Calibri"/>
          <w:b/>
          <w:bCs/>
          <w:color w:val="103CC0"/>
          <w:sz w:val="32"/>
          <w:szCs w:val="32"/>
        </w:rPr>
        <w:t>[1]</w:t>
      </w:r>
      <w:r>
        <w:rPr>
          <w:rFonts w:ascii="Arial" w:hAnsi="Arial" w:cs="Arial"/>
          <w:b/>
          <w:bCs/>
          <w:color w:val="1A1A1A"/>
          <w:sz w:val="26"/>
          <w:szCs w:val="26"/>
        </w:rPr>
        <w:t>: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Calibri" w:hAnsi="Calibri" w:cs="Calibri"/>
          <w:color w:val="1A1A1A"/>
          <w:sz w:val="16"/>
          <w:szCs w:val="16"/>
        </w:rPr>
        <w:t>The ultimate question..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Calibri" w:hAnsi="Calibri" w:cs="Calibri"/>
          <w:b/>
          <w:bCs/>
          <w:color w:val="262626"/>
          <w:sz w:val="32"/>
          <w:szCs w:val="32"/>
        </w:rPr>
        <w:t>the justice system.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spacing w:after="128"/>
        <w:ind w:right="6140"/>
        <w:rPr>
          <w:rFonts w:ascii="Arial" w:hAnsi="Arial" w:cs="Arial"/>
          <w:color w:val="1A1A1A"/>
          <w:sz w:val="26"/>
          <w:szCs w:val="26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Calibri" w:hAnsi="Calibri" w:cs="Calibri"/>
          <w:color w:val="103CC0"/>
          <w:sz w:val="22"/>
          <w:szCs w:val="22"/>
        </w:rPr>
        <w:t>[1]</w:t>
      </w:r>
      <w:r>
        <w:rPr>
          <w:rFonts w:ascii="Arial" w:hAnsi="Arial" w:cs="Arial"/>
          <w:color w:val="1A1A1A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A1A1A"/>
          <w:sz w:val="22"/>
          <w:szCs w:val="22"/>
        </w:rPr>
        <w:t>Zalman</w:t>
      </w:r>
      <w:proofErr w:type="spellEnd"/>
      <w:r>
        <w:rPr>
          <w:rFonts w:ascii="Arial" w:hAnsi="Arial" w:cs="Arial"/>
          <w:color w:val="1A1A1A"/>
          <w:sz w:val="22"/>
          <w:szCs w:val="22"/>
        </w:rPr>
        <w:t>, Marvin. "Criminal Justice System Reform and Wrongful Conviction A Research Agenda." </w:t>
      </w:r>
      <w:r>
        <w:rPr>
          <w:rFonts w:ascii="Arial" w:hAnsi="Arial" w:cs="Arial"/>
          <w:i/>
          <w:iCs/>
          <w:color w:val="1A1A1A"/>
          <w:sz w:val="22"/>
          <w:szCs w:val="22"/>
        </w:rPr>
        <w:t>Criminal Justice Policy Review</w:t>
      </w:r>
      <w:r>
        <w:rPr>
          <w:rFonts w:ascii="Arial" w:hAnsi="Arial" w:cs="Arial"/>
          <w:color w:val="1A1A1A"/>
          <w:sz w:val="22"/>
          <w:szCs w:val="22"/>
        </w:rPr>
        <w:t> 17.4 (2006): 468-492.</w:t>
      </w:r>
    </w:p>
    <w:p w:rsidR="00A33454" w:rsidRDefault="00A33454" w:rsidP="00A33454">
      <w:pPr>
        <w:widowControl w:val="0"/>
        <w:autoSpaceDE w:val="0"/>
        <w:autoSpaceDN w:val="0"/>
        <w:adjustRightInd w:val="0"/>
        <w:spacing w:after="128"/>
        <w:ind w:right="6140"/>
        <w:rPr>
          <w:rFonts w:ascii="Arial" w:hAnsi="Arial" w:cs="Arial"/>
          <w:color w:val="1A1A1A"/>
          <w:sz w:val="26"/>
          <w:szCs w:val="26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  <w:sz w:val="26"/>
          <w:szCs w:val="26"/>
        </w:rPr>
      </w:pPr>
      <w:r>
        <w:rPr>
          <w:rFonts w:ascii="Times" w:hAnsi="Times" w:cs="Times"/>
          <w:color w:val="103CC0"/>
          <w:sz w:val="22"/>
          <w:szCs w:val="22"/>
        </w:rPr>
        <w:t>[1]</w:t>
      </w:r>
      <w:r>
        <w:rPr>
          <w:rFonts w:ascii="Arial" w:hAnsi="Arial" w:cs="Arial"/>
          <w:color w:val="1A1A1A"/>
          <w:sz w:val="22"/>
          <w:szCs w:val="22"/>
        </w:rPr>
        <w:t xml:space="preserve"> </w:t>
      </w:r>
      <w:r>
        <w:rPr>
          <w:rFonts w:ascii="Calibri" w:hAnsi="Calibri" w:cs="Calibri"/>
          <w:color w:val="1A1A1A"/>
          <w:sz w:val="22"/>
          <w:szCs w:val="22"/>
        </w:rPr>
        <w:t xml:space="preserve">West, Emily [Director of Research Innocence Project] “Court Findings of Ineffective </w:t>
      </w:r>
      <w:r>
        <w:rPr>
          <w:rFonts w:ascii="Calibri" w:hAnsi="Calibri" w:cs="Calibri"/>
          <w:color w:val="1A1A1A"/>
          <w:sz w:val="22"/>
          <w:szCs w:val="22"/>
        </w:rPr>
        <w:lastRenderedPageBreak/>
        <w:t xml:space="preserve">Assistance of Counsel Claims in Post‐Conviction Appeals” </w:t>
      </w:r>
      <w:r>
        <w:rPr>
          <w:rFonts w:ascii="Calibri" w:hAnsi="Calibri" w:cs="Calibri"/>
          <w:i/>
          <w:iCs/>
          <w:color w:val="1A1A1A"/>
          <w:sz w:val="22"/>
          <w:szCs w:val="22"/>
        </w:rPr>
        <w:t xml:space="preserve">Innocence Project. </w:t>
      </w:r>
      <w:r>
        <w:rPr>
          <w:rFonts w:ascii="Calibri" w:hAnsi="Calibri" w:cs="Calibri"/>
          <w:color w:val="1A1A1A"/>
          <w:sz w:val="22"/>
          <w:szCs w:val="22"/>
        </w:rPr>
        <w:t>September 2010 SEE CHART PAGE 3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spacing w:after="128"/>
        <w:ind w:right="6140"/>
        <w:rPr>
          <w:rFonts w:ascii="Arial" w:hAnsi="Arial" w:cs="Arial"/>
          <w:color w:val="1A1A1A"/>
          <w:sz w:val="26"/>
          <w:szCs w:val="26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1A1A1A"/>
          <w:sz w:val="26"/>
          <w:szCs w:val="26"/>
        </w:rPr>
      </w:pPr>
      <w:r>
        <w:rPr>
          <w:rFonts w:ascii="Calibri" w:hAnsi="Calibri" w:cs="Calibri"/>
          <w:color w:val="103CC0"/>
          <w:sz w:val="26"/>
          <w:szCs w:val="26"/>
        </w:rPr>
        <w:t>[1]</w:t>
      </w:r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Inbal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Hasbani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[J.D. Northwestern University School of Law], “When the Law Preserves Injustice: Issues Raised by a </w:t>
      </w:r>
      <w:proofErr w:type="spellStart"/>
      <w:r>
        <w:rPr>
          <w:rFonts w:ascii="Arial" w:hAnsi="Arial" w:cs="Arial"/>
          <w:color w:val="1A1A1A"/>
          <w:sz w:val="26"/>
          <w:szCs w:val="26"/>
        </w:rPr>
        <w:t>Wronful</w:t>
      </w:r>
      <w:proofErr w:type="spellEnd"/>
      <w:r>
        <w:rPr>
          <w:rFonts w:ascii="Arial" w:hAnsi="Arial" w:cs="Arial"/>
          <w:color w:val="1A1A1A"/>
          <w:sz w:val="26"/>
          <w:szCs w:val="26"/>
        </w:rPr>
        <w:t xml:space="preserve"> Incarceration Exception to Attorney-Client Confidentiality,” 100 J. Crim. L. &amp; Criminology 277 (2010)</w:t>
      </w:r>
    </w:p>
    <w:p w:rsidR="00A33454" w:rsidRDefault="00A33454" w:rsidP="00A33454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:rsidR="00A33454" w:rsidRDefault="00A33454" w:rsidP="00A33454">
      <w:pPr>
        <w:widowControl w:val="0"/>
        <w:autoSpaceDE w:val="0"/>
        <w:autoSpaceDN w:val="0"/>
        <w:adjustRightInd w:val="0"/>
        <w:spacing w:after="128"/>
        <w:ind w:right="6140"/>
        <w:rPr>
          <w:rFonts w:ascii="Arial" w:hAnsi="Arial" w:cs="Arial"/>
          <w:color w:val="1A1A1A"/>
          <w:sz w:val="26"/>
          <w:szCs w:val="26"/>
        </w:rPr>
      </w:pPr>
    </w:p>
    <w:p w:rsidR="00ED4968" w:rsidRDefault="00ED4968">
      <w:bookmarkStart w:id="0" w:name="_GoBack"/>
      <w:bookmarkEnd w:id="0"/>
    </w:p>
    <w:sectPr w:rsidR="00ED4968" w:rsidSect="00086F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54"/>
    <w:rsid w:val="00675217"/>
    <w:rsid w:val="00A33454"/>
    <w:rsid w:val="00ED49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E63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Macintosh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Gersh</dc:creator>
  <cp:keywords/>
  <dc:description/>
  <cp:lastModifiedBy>Linda Gersh</cp:lastModifiedBy>
  <cp:revision>1</cp:revision>
  <dcterms:created xsi:type="dcterms:W3CDTF">2013-11-23T15:25:00Z</dcterms:created>
  <dcterms:modified xsi:type="dcterms:W3CDTF">2013-11-23T15:25:00Z</dcterms:modified>
</cp:coreProperties>
</file>