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DA" w:rsidRPr="006953A9" w:rsidRDefault="000E1CDA" w:rsidP="000E1CDA">
      <w:pPr>
        <w:rPr>
          <w:rFonts w:eastAsia="Cambria"/>
          <w:sz w:val="20"/>
        </w:rPr>
      </w:pPr>
      <w:r w:rsidRPr="006953A9">
        <w:rPr>
          <w:rFonts w:eastAsia="Cambria"/>
          <w:sz w:val="20"/>
        </w:rPr>
        <w:t xml:space="preserve">Michelle </w:t>
      </w:r>
      <w:proofErr w:type="spellStart"/>
      <w:r w:rsidRPr="006953A9">
        <w:rPr>
          <w:rFonts w:eastAsia="Cambria"/>
          <w:sz w:val="20"/>
        </w:rPr>
        <w:t>Beardslee</w:t>
      </w:r>
      <w:proofErr w:type="spellEnd"/>
      <w:r w:rsidRPr="006953A9">
        <w:rPr>
          <w:rFonts w:eastAsia="Cambria"/>
          <w:sz w:val="20"/>
        </w:rPr>
        <w:t xml:space="preserve"> defines attorney client privilege as</w:t>
      </w:r>
      <w:r>
        <w:rPr>
          <w:rFonts w:eastAsia="Cambria"/>
          <w:sz w:val="20"/>
        </w:rPr>
        <w:t>:</w:t>
      </w:r>
      <w:r w:rsidRPr="006953A9">
        <w:rPr>
          <w:rFonts w:eastAsia="Cambria"/>
          <w:sz w:val="20"/>
        </w:rPr>
        <w:t xml:space="preserve"> </w:t>
      </w:r>
    </w:p>
    <w:p w:rsidR="000E1CDA" w:rsidRPr="00935704" w:rsidRDefault="000E1CDA" w:rsidP="000E1CDA">
      <w:pPr>
        <w:rPr>
          <w:rFonts w:eastAsia="Cambria"/>
          <w:sz w:val="16"/>
        </w:rPr>
      </w:pPr>
      <w:r w:rsidRPr="00935704">
        <w:rPr>
          <w:rFonts w:eastAsia="Cambria"/>
          <w:sz w:val="16"/>
        </w:rPr>
        <w:t xml:space="preserve">Michele </w:t>
      </w:r>
      <w:proofErr w:type="spellStart"/>
      <w:r w:rsidRPr="00935704">
        <w:rPr>
          <w:rFonts w:eastAsia="Cambria"/>
          <w:sz w:val="16"/>
        </w:rPr>
        <w:t>DeStefano</w:t>
      </w:r>
      <w:proofErr w:type="spellEnd"/>
      <w:r w:rsidRPr="00935704">
        <w:rPr>
          <w:rFonts w:eastAsia="Cambria"/>
          <w:sz w:val="16"/>
        </w:rPr>
        <w:t xml:space="preserve"> </w:t>
      </w:r>
      <w:proofErr w:type="spellStart"/>
      <w:r w:rsidRPr="00935704">
        <w:rPr>
          <w:rFonts w:eastAsia="Cambria"/>
          <w:sz w:val="16"/>
        </w:rPr>
        <w:t>Beardslee</w:t>
      </w:r>
      <w:proofErr w:type="spellEnd"/>
      <w:r w:rsidRPr="00935704">
        <w:rPr>
          <w:rFonts w:eastAsia="Cambria"/>
          <w:sz w:val="16"/>
        </w:rPr>
        <w:t xml:space="preserve">: </w:t>
      </w:r>
      <w:proofErr w:type="spellStart"/>
      <w:r w:rsidRPr="00935704">
        <w:rPr>
          <w:rFonts w:eastAsia="Cambria"/>
          <w:sz w:val="16"/>
        </w:rPr>
        <w:t>Climenko</w:t>
      </w:r>
      <w:proofErr w:type="spellEnd"/>
      <w:r w:rsidRPr="00935704">
        <w:rPr>
          <w:rFonts w:eastAsia="Cambria"/>
          <w:sz w:val="16"/>
        </w:rPr>
        <w:t xml:space="preserve"> Fellow and Lecturer on Law, Harvard Law School. “The Corporate Attorney-Client Privilege: Third-Rate Doctrine for Third-Party Consultants.” </w:t>
      </w:r>
      <w:proofErr w:type="gramStart"/>
      <w:r w:rsidRPr="00935704">
        <w:rPr>
          <w:rFonts w:eastAsia="Cambria"/>
          <w:sz w:val="16"/>
        </w:rPr>
        <w:t>62 SMU L. Rev. 727.</w:t>
      </w:r>
      <w:proofErr w:type="gramEnd"/>
      <w:r w:rsidRPr="00935704">
        <w:rPr>
          <w:rFonts w:eastAsia="Cambria"/>
          <w:sz w:val="16"/>
        </w:rPr>
        <w:t xml:space="preserve"> </w:t>
      </w:r>
      <w:proofErr w:type="gramStart"/>
      <w:r w:rsidRPr="00935704">
        <w:rPr>
          <w:rFonts w:eastAsia="Cambria"/>
          <w:sz w:val="16"/>
        </w:rPr>
        <w:t>Spring 2009.</w:t>
      </w:r>
      <w:proofErr w:type="gramEnd"/>
      <w:r w:rsidRPr="00935704">
        <w:rPr>
          <w:rFonts w:eastAsia="Cambria"/>
          <w:sz w:val="16"/>
        </w:rPr>
        <w:t xml:space="preserve"> </w:t>
      </w:r>
    </w:p>
    <w:p w:rsidR="008439B7" w:rsidRDefault="000E1CDA" w:rsidP="000E1CDA">
      <w:pPr>
        <w:rPr>
          <w:rFonts w:eastAsia="Cambria"/>
          <w:sz w:val="20"/>
          <w:u w:val="single"/>
        </w:rPr>
      </w:pPr>
      <w:r w:rsidRPr="006953A9">
        <w:rPr>
          <w:rFonts w:eastAsia="Cambria"/>
          <w:sz w:val="20"/>
          <w:u w:val="single"/>
        </w:rPr>
        <w:t>The attorney-client privilege is</w:t>
      </w:r>
      <w:r>
        <w:rPr>
          <w:rFonts w:eastAsia="Cambria"/>
          <w:sz w:val="20"/>
          <w:u w:val="single"/>
        </w:rPr>
        <w:t>….</w:t>
      </w:r>
      <w:r w:rsidRPr="000E1CDA">
        <w:rPr>
          <w:rFonts w:eastAsia="Cambria"/>
          <w:sz w:val="20"/>
          <w:u w:val="single"/>
        </w:rPr>
        <w:t xml:space="preserve"> </w:t>
      </w:r>
      <w:r w:rsidRPr="006953A9">
        <w:rPr>
          <w:rFonts w:eastAsia="Cambria"/>
          <w:sz w:val="20"/>
          <w:u w:val="single"/>
        </w:rPr>
        <w:t>information should be discoverable</w:t>
      </w:r>
      <w:r>
        <w:rPr>
          <w:rFonts w:eastAsia="Cambria"/>
          <w:sz w:val="20"/>
          <w:u w:val="single"/>
        </w:rPr>
        <w:t xml:space="preserve">. </w:t>
      </w:r>
    </w:p>
    <w:p w:rsidR="000E1CDA" w:rsidRDefault="000E1CDA" w:rsidP="000E1CDA">
      <w:pPr>
        <w:rPr>
          <w:rFonts w:eastAsia="Cambria"/>
          <w:sz w:val="20"/>
          <w:u w:val="single"/>
        </w:rPr>
      </w:pPr>
    </w:p>
    <w:p w:rsidR="000E1CDA" w:rsidRPr="006953A9" w:rsidRDefault="000E1CDA" w:rsidP="000E1CDA">
      <w:pPr>
        <w:rPr>
          <w:sz w:val="20"/>
          <w:szCs w:val="20"/>
        </w:rPr>
      </w:pPr>
      <w:r w:rsidRPr="006953A9">
        <w:rPr>
          <w:sz w:val="20"/>
          <w:szCs w:val="20"/>
        </w:rPr>
        <w:t xml:space="preserve">Merriam Webster defines ought as </w:t>
      </w:r>
      <w:r w:rsidRPr="006953A9">
        <w:rPr>
          <w:rFonts w:cs="Verdana"/>
          <w:sz w:val="20"/>
          <w:szCs w:val="20"/>
        </w:rPr>
        <w:t xml:space="preserve">used to express obligation. </w:t>
      </w:r>
      <w:r w:rsidRPr="006953A9">
        <w:rPr>
          <w:sz w:val="20"/>
          <w:szCs w:val="20"/>
        </w:rPr>
        <w:t>For this round, obligations should be understood as the obligations imposed by law. Spaak writes.</w:t>
      </w:r>
    </w:p>
    <w:p w:rsidR="000E1CDA" w:rsidRPr="009F5A3C" w:rsidRDefault="000E1CDA" w:rsidP="000E1CDA">
      <w:pPr>
        <w:rPr>
          <w:rFonts w:ascii="Times" w:hAnsi="Times" w:cs="Times"/>
          <w:color w:val="141413"/>
          <w:sz w:val="16"/>
        </w:rPr>
      </w:pPr>
      <w:proofErr w:type="gramStart"/>
      <w:r w:rsidRPr="009F5A3C">
        <w:rPr>
          <w:rFonts w:ascii="Times" w:hAnsi="Times" w:cs="Times"/>
          <w:color w:val="141413"/>
          <w:sz w:val="16"/>
        </w:rPr>
        <w:t>“</w:t>
      </w:r>
      <w:proofErr w:type="spellStart"/>
      <w:r w:rsidRPr="009F5A3C">
        <w:rPr>
          <w:rFonts w:ascii="Arial" w:hAnsi="Arial" w:cs="Arial"/>
          <w:bCs/>
          <w:color w:val="000000"/>
          <w:sz w:val="16"/>
          <w:szCs w:val="39"/>
        </w:rPr>
        <w:t>Kelsen</w:t>
      </w:r>
      <w:proofErr w:type="spellEnd"/>
      <w:r w:rsidRPr="009F5A3C">
        <w:rPr>
          <w:rFonts w:ascii="Arial" w:hAnsi="Arial" w:cs="Arial"/>
          <w:bCs/>
          <w:color w:val="000000"/>
          <w:sz w:val="16"/>
          <w:szCs w:val="39"/>
        </w:rPr>
        <w:t xml:space="preserve"> and Hart on the Normativity of Law.”</w:t>
      </w:r>
      <w:proofErr w:type="gramEnd"/>
      <w:r w:rsidRPr="009F5A3C">
        <w:rPr>
          <w:rFonts w:ascii="Arial" w:hAnsi="Arial" w:cs="Arial"/>
          <w:bCs/>
          <w:color w:val="000000"/>
          <w:sz w:val="16"/>
          <w:szCs w:val="39"/>
        </w:rPr>
        <w:t xml:space="preserve"> </w:t>
      </w:r>
      <w:proofErr w:type="spellStart"/>
      <w:r w:rsidRPr="009F5A3C">
        <w:rPr>
          <w:rFonts w:ascii="Arial" w:hAnsi="Arial" w:cs="Arial"/>
          <w:color w:val="000000"/>
          <w:sz w:val="16"/>
          <w:szCs w:val="32"/>
        </w:rPr>
        <w:t>Torben</w:t>
      </w:r>
      <w:proofErr w:type="spellEnd"/>
      <w:r w:rsidRPr="009F5A3C">
        <w:rPr>
          <w:rFonts w:ascii="Arial" w:hAnsi="Arial" w:cs="Arial"/>
          <w:color w:val="000000"/>
          <w:sz w:val="16"/>
          <w:szCs w:val="32"/>
        </w:rPr>
        <w:t xml:space="preserve"> Spaak</w:t>
      </w:r>
      <w:r w:rsidRPr="009F5A3C">
        <w:rPr>
          <w:rFonts w:ascii="Menlo Regular" w:hAnsi="Menlo Regular" w:cs="Menlo Regular"/>
          <w:color w:val="000000"/>
          <w:sz w:val="16"/>
          <w:szCs w:val="21"/>
        </w:rPr>
        <w:t xml:space="preserve">. </w:t>
      </w:r>
      <w:proofErr w:type="gramStart"/>
      <w:r w:rsidRPr="009F5A3C">
        <w:rPr>
          <w:rFonts w:ascii="Arial" w:hAnsi="Arial" w:cs="Arial"/>
          <w:color w:val="000000"/>
          <w:sz w:val="16"/>
          <w:szCs w:val="16"/>
        </w:rPr>
        <w:t xml:space="preserve">Stockholm Institute for </w:t>
      </w:r>
      <w:proofErr w:type="spellStart"/>
      <w:r w:rsidRPr="009F5A3C">
        <w:rPr>
          <w:rFonts w:ascii="Arial" w:hAnsi="Arial" w:cs="Arial"/>
          <w:color w:val="000000"/>
          <w:sz w:val="16"/>
          <w:szCs w:val="16"/>
        </w:rPr>
        <w:t>Scandianvian</w:t>
      </w:r>
      <w:proofErr w:type="spellEnd"/>
      <w:r w:rsidRPr="009F5A3C">
        <w:rPr>
          <w:rFonts w:ascii="Arial" w:hAnsi="Arial" w:cs="Arial"/>
          <w:color w:val="000000"/>
          <w:sz w:val="16"/>
          <w:szCs w:val="16"/>
        </w:rPr>
        <w:t xml:space="preserve"> Law 2010.</w:t>
      </w:r>
      <w:proofErr w:type="gramEnd"/>
      <w:r w:rsidRPr="009F5A3C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0E1CDA" w:rsidRDefault="000E1CDA" w:rsidP="000E1CDA"/>
    <w:p w:rsidR="000E1CDA" w:rsidRDefault="000E1CDA" w:rsidP="000E1CDA">
      <w:pPr>
        <w:rPr>
          <w:color w:val="000000"/>
          <w:sz w:val="20"/>
          <w:u w:val="single"/>
        </w:rPr>
      </w:pPr>
      <w:r>
        <w:t>“</w:t>
      </w:r>
      <w:r w:rsidRPr="006953A9">
        <w:rPr>
          <w:color w:val="000000"/>
          <w:sz w:val="20"/>
          <w:u w:val="single"/>
        </w:rPr>
        <w:t xml:space="preserve">On </w:t>
      </w:r>
      <w:proofErr w:type="spellStart"/>
      <w:r w:rsidRPr="006953A9">
        <w:rPr>
          <w:color w:val="000000"/>
          <w:sz w:val="20"/>
          <w:u w:val="single"/>
        </w:rPr>
        <w:t>Kelsen’s</w:t>
      </w:r>
      <w:proofErr w:type="spellEnd"/>
      <w:r w:rsidRPr="006953A9">
        <w:rPr>
          <w:color w:val="000000"/>
          <w:sz w:val="20"/>
          <w:u w:val="single"/>
        </w:rPr>
        <w:t xml:space="preserve"> analysis, a </w:t>
      </w:r>
      <w:r w:rsidRPr="006953A9">
        <w:rPr>
          <w:i/>
          <w:iCs/>
          <w:color w:val="000000"/>
          <w:sz w:val="20"/>
          <w:u w:val="single"/>
        </w:rPr>
        <w:t>norm</w:t>
      </w:r>
      <w:r>
        <w:rPr>
          <w:i/>
          <w:iCs/>
          <w:color w:val="000000"/>
          <w:sz w:val="20"/>
          <w:u w:val="single"/>
        </w:rPr>
        <w:t>….</w:t>
      </w:r>
      <w:r w:rsidRPr="000E1CDA">
        <w:rPr>
          <w:color w:val="000000"/>
          <w:sz w:val="20"/>
          <w:u w:val="single"/>
        </w:rPr>
        <w:t xml:space="preserve"> </w:t>
      </w:r>
      <w:r w:rsidRPr="006953A9">
        <w:rPr>
          <w:color w:val="000000"/>
          <w:sz w:val="20"/>
          <w:u w:val="single"/>
        </w:rPr>
        <w:t>corresponding to a legal right</w:t>
      </w:r>
      <w:r>
        <w:rPr>
          <w:color w:val="000000"/>
          <w:sz w:val="20"/>
          <w:u w:val="single"/>
        </w:rPr>
        <w:t>”</w:t>
      </w:r>
    </w:p>
    <w:p w:rsidR="000E1CDA" w:rsidRDefault="000E1CDA" w:rsidP="000E1CDA">
      <w:pPr>
        <w:rPr>
          <w:color w:val="000000"/>
          <w:sz w:val="20"/>
          <w:u w:val="single"/>
        </w:rPr>
      </w:pPr>
    </w:p>
    <w:p w:rsidR="000E1CDA" w:rsidRPr="00E65BF5" w:rsidRDefault="000E1CDA" w:rsidP="000E1CDA">
      <w:pPr>
        <w:rPr>
          <w:sz w:val="12"/>
          <w:szCs w:val="32"/>
        </w:rPr>
      </w:pPr>
      <w:r w:rsidRPr="006953A9">
        <w:rPr>
          <w:sz w:val="20"/>
        </w:rPr>
        <w:t xml:space="preserve">Therefore, it is possible to interpret certain ought statements as statements about the validity of legal norms. </w:t>
      </w:r>
      <w:r>
        <w:rPr>
          <w:sz w:val="12"/>
          <w:szCs w:val="32"/>
        </w:rPr>
        <w:t xml:space="preserve"> </w:t>
      </w:r>
      <w:r w:rsidRPr="006953A9">
        <w:rPr>
          <w:sz w:val="20"/>
        </w:rPr>
        <w:t>Prefer this interpretation of ought for 3 reasons.</w:t>
      </w:r>
    </w:p>
    <w:p w:rsidR="000E1CDA" w:rsidRDefault="000E1CDA" w:rsidP="000E1CDA"/>
    <w:p w:rsidR="000E1CDA" w:rsidRDefault="000E1CDA" w:rsidP="000E1CDA">
      <w:pPr>
        <w:pStyle w:val="ListParagraph"/>
        <w:numPr>
          <w:ilvl w:val="0"/>
          <w:numId w:val="1"/>
        </w:numPr>
      </w:pPr>
      <w:r>
        <w:t xml:space="preserve">Actor specific to government </w:t>
      </w:r>
    </w:p>
    <w:p w:rsidR="000E1CDA" w:rsidRDefault="000E1CDA" w:rsidP="000E1CDA">
      <w:pPr>
        <w:pStyle w:val="ListParagraph"/>
        <w:numPr>
          <w:ilvl w:val="0"/>
          <w:numId w:val="1"/>
        </w:numPr>
      </w:pPr>
      <w:r>
        <w:t xml:space="preserve">Most educational because we interact w/ the legal system every day. Real world education is the most important thing: </w:t>
      </w:r>
    </w:p>
    <w:p w:rsidR="000E1CDA" w:rsidRPr="006953A9" w:rsidRDefault="000E1CDA" w:rsidP="000E1CDA">
      <w:pPr>
        <w:pStyle w:val="ListParagraph"/>
        <w:rPr>
          <w:sz w:val="20"/>
        </w:rPr>
      </w:pPr>
      <w:r w:rsidRPr="006953A9">
        <w:rPr>
          <w:sz w:val="20"/>
          <w:szCs w:val="20"/>
        </w:rPr>
        <w:t>Strait and Wallace write,</w:t>
      </w:r>
    </w:p>
    <w:p w:rsidR="000E1CDA" w:rsidRDefault="000E1CDA" w:rsidP="000E1CDA">
      <w:pPr>
        <w:pStyle w:val="ListParagraph"/>
        <w:rPr>
          <w:sz w:val="16"/>
          <w:szCs w:val="8"/>
        </w:rPr>
      </w:pPr>
      <w:r w:rsidRPr="000323F5">
        <w:rPr>
          <w:sz w:val="16"/>
          <w:szCs w:val="8"/>
        </w:rPr>
        <w:t xml:space="preserve">THE SCOPE OF NEGATIVE FIAT AND THE LOGIC OF DECISION MAKING; L. Pall! </w:t>
      </w:r>
      <w:proofErr w:type="spellStart"/>
      <w:proofErr w:type="gramStart"/>
      <w:r w:rsidRPr="000323F5">
        <w:rPr>
          <w:sz w:val="16"/>
          <w:szCs w:val="8"/>
        </w:rPr>
        <w:t>Sirait</w:t>
      </w:r>
      <w:proofErr w:type="spellEnd"/>
      <w:r w:rsidRPr="000323F5">
        <w:rPr>
          <w:sz w:val="16"/>
          <w:szCs w:val="8"/>
        </w:rPr>
        <w:t>.</w:t>
      </w:r>
      <w:proofErr w:type="gramEnd"/>
      <w:r w:rsidRPr="000323F5">
        <w:rPr>
          <w:sz w:val="16"/>
          <w:szCs w:val="8"/>
        </w:rPr>
        <w:t xml:space="preserve"> George Mason University Brett Wallace. George Washington</w:t>
      </w:r>
    </w:p>
    <w:p w:rsidR="000E1CDA" w:rsidRDefault="000E1CDA" w:rsidP="000E1CDA">
      <w:pPr>
        <w:pStyle w:val="ListParagraph"/>
        <w:rPr>
          <w:sz w:val="16"/>
          <w:szCs w:val="8"/>
        </w:rPr>
      </w:pPr>
    </w:p>
    <w:p w:rsidR="000E1CDA" w:rsidRPr="000323F5" w:rsidRDefault="000E1CDA" w:rsidP="000E1CDA">
      <w:pPr>
        <w:ind w:left="720"/>
        <w:rPr>
          <w:sz w:val="16"/>
          <w:szCs w:val="8"/>
        </w:rPr>
      </w:pPr>
      <w:r w:rsidRPr="006953A9">
        <w:rPr>
          <w:sz w:val="20"/>
          <w:szCs w:val="20"/>
          <w:u w:val="single"/>
        </w:rPr>
        <w:t>The ability to make decisions deriving</w:t>
      </w:r>
      <w:r>
        <w:rPr>
          <w:sz w:val="20"/>
          <w:szCs w:val="20"/>
          <w:u w:val="single"/>
        </w:rPr>
        <w:t>….</w:t>
      </w:r>
      <w:r w:rsidRPr="000E1CDA">
        <w:rPr>
          <w:sz w:val="20"/>
          <w:szCs w:val="20"/>
          <w:u w:val="single"/>
        </w:rPr>
        <w:t xml:space="preserve"> </w:t>
      </w:r>
      <w:r w:rsidRPr="006953A9">
        <w:rPr>
          <w:sz w:val="20"/>
          <w:szCs w:val="20"/>
          <w:u w:val="single"/>
        </w:rPr>
        <w:t xml:space="preserve">any educational disadvantage weighed against </w:t>
      </w:r>
    </w:p>
    <w:p w:rsidR="000E1CDA" w:rsidRDefault="000E1CDA" w:rsidP="000E1CDA">
      <w:pPr>
        <w:pStyle w:val="ListParagraph"/>
      </w:pPr>
    </w:p>
    <w:p w:rsidR="000E1CDA" w:rsidRDefault="000E1CDA" w:rsidP="000E1CDA">
      <w:pPr>
        <w:pStyle w:val="ListParagraph"/>
        <w:numPr>
          <w:ilvl w:val="0"/>
          <w:numId w:val="1"/>
        </w:numPr>
      </w:pPr>
      <w:r>
        <w:t xml:space="preserve">Predictable because most topic lit. deals w/ legal system and predictability bad standard because 1) arbitrary 2) no </w:t>
      </w:r>
      <w:proofErr w:type="spellStart"/>
      <w:r>
        <w:t>brightline</w:t>
      </w:r>
      <w:proofErr w:type="spellEnd"/>
      <w:r>
        <w:t xml:space="preserve"> </w:t>
      </w:r>
    </w:p>
    <w:p w:rsidR="000E1CDA" w:rsidRDefault="000E1CDA" w:rsidP="000E1CDA"/>
    <w:p w:rsidR="000E1CDA" w:rsidRPr="006953A9" w:rsidRDefault="000E1CDA" w:rsidP="000E1CDA">
      <w:pPr>
        <w:rPr>
          <w:sz w:val="20"/>
        </w:rPr>
      </w:pPr>
      <w:r w:rsidRPr="006953A9">
        <w:rPr>
          <w:sz w:val="20"/>
        </w:rPr>
        <w:t>Therefore, the value criterion is consistency with current law. The negative’s burden is to demonstrate that allowing truth seeking to take precedence over attorney-client privilege violates a legal norm that is a “higher law”</w:t>
      </w:r>
      <w:r w:rsidRPr="006953A9">
        <w:rPr>
          <w:b/>
          <w:sz w:val="20"/>
        </w:rPr>
        <w:t xml:space="preserve"> </w:t>
      </w:r>
      <w:r w:rsidRPr="006953A9">
        <w:rPr>
          <w:sz w:val="20"/>
        </w:rPr>
        <w:t xml:space="preserve">than any legal norms that allow it. </w:t>
      </w:r>
    </w:p>
    <w:p w:rsidR="000E1CDA" w:rsidRPr="006953A9" w:rsidRDefault="000E1CDA" w:rsidP="000E1CDA">
      <w:pPr>
        <w:rPr>
          <w:sz w:val="20"/>
        </w:rPr>
      </w:pPr>
    </w:p>
    <w:p w:rsidR="000E1CDA" w:rsidRDefault="000E1CDA" w:rsidP="000E1CDA">
      <w:pPr>
        <w:rPr>
          <w:sz w:val="20"/>
        </w:rPr>
      </w:pPr>
      <w:r w:rsidRPr="006953A9">
        <w:rPr>
          <w:sz w:val="20"/>
        </w:rPr>
        <w:t xml:space="preserve">I contend that the law requires individuals have attorney-client privilege protections, even when removing those privileges limits truth seeking. </w:t>
      </w:r>
      <w:r>
        <w:rPr>
          <w:sz w:val="20"/>
        </w:rPr>
        <w:t>Centuries of federal common law and recent U.S. Supreme Court decisions recognize the attorney-client privilege as an absolute privilege that cannot be superseded by a need to find information. Christensen writes.</w:t>
      </w:r>
    </w:p>
    <w:p w:rsidR="000E1CDA" w:rsidRPr="006953A9" w:rsidRDefault="000E1CDA" w:rsidP="000E1CDA">
      <w:pPr>
        <w:rPr>
          <w:sz w:val="20"/>
        </w:rPr>
      </w:pPr>
    </w:p>
    <w:p w:rsidR="000E1CDA" w:rsidRPr="00A53A2B" w:rsidRDefault="000E1CDA" w:rsidP="000E1CDA">
      <w:pPr>
        <w:rPr>
          <w:rFonts w:eastAsia="Cambria"/>
          <w:sz w:val="16"/>
        </w:rPr>
      </w:pPr>
      <w:proofErr w:type="gramStart"/>
      <w:r w:rsidRPr="00A53A2B">
        <w:rPr>
          <w:rFonts w:eastAsia="Cambria"/>
          <w:sz w:val="16"/>
        </w:rPr>
        <w:t>Leah Christensen, Associate Professor of Law, Thomas Jefferson School of Law.</w:t>
      </w:r>
      <w:proofErr w:type="gramEnd"/>
      <w:r w:rsidRPr="00A53A2B">
        <w:rPr>
          <w:rFonts w:eastAsia="Cambria"/>
          <w:sz w:val="16"/>
        </w:rPr>
        <w:t xml:space="preserve"> “A COMPARISON OF THE DUTY OF CONFIDENTIALITY AND THE ATTORNEY-CLIENT PRIVILEGE IN THE U.S. AND CHINA: DEVELOPING A RULE OF LAW.” </w:t>
      </w:r>
      <w:r w:rsidRPr="00A53A2B">
        <w:rPr>
          <w:rFonts w:ascii="Times-Roman" w:hAnsi="Times-Roman" w:cs="Times-Roman"/>
          <w:color w:val="151515"/>
          <w:sz w:val="16"/>
          <w:szCs w:val="16"/>
        </w:rPr>
        <w:t xml:space="preserve">THOMAS JEFFERSON LAW REVIEW </w:t>
      </w:r>
      <w:r w:rsidRPr="00A53A2B">
        <w:rPr>
          <w:rFonts w:ascii="Times-Roman" w:hAnsi="Times-Roman" w:cs="Times-Roman"/>
          <w:color w:val="151515"/>
          <w:sz w:val="16"/>
          <w:szCs w:val="17"/>
        </w:rPr>
        <w:t>Vol. 34:1. 2011.</w:t>
      </w:r>
    </w:p>
    <w:p w:rsidR="000E1CDA" w:rsidRPr="000E1CDA" w:rsidRDefault="000E1CDA" w:rsidP="000E1CDA">
      <w:pPr>
        <w:rPr>
          <w:sz w:val="20"/>
          <w:szCs w:val="20"/>
        </w:rPr>
      </w:pPr>
    </w:p>
    <w:p w:rsidR="000E1CDA" w:rsidRDefault="000E1CDA" w:rsidP="000E1CDA">
      <w:pPr>
        <w:rPr>
          <w:rFonts w:eastAsia="Cambria"/>
          <w:sz w:val="20"/>
          <w:u w:val="single"/>
        </w:rPr>
      </w:pPr>
      <w:r w:rsidRPr="000E1CDA">
        <w:rPr>
          <w:rFonts w:eastAsia="Cambria"/>
          <w:sz w:val="20"/>
          <w:szCs w:val="20"/>
        </w:rPr>
        <w:t>In contrast to the duty of confidentiality</w:t>
      </w:r>
      <w:r>
        <w:rPr>
          <w:rFonts w:eastAsia="Cambria"/>
          <w:sz w:val="20"/>
          <w:szCs w:val="20"/>
        </w:rPr>
        <w:t>….</w:t>
      </w:r>
      <w:r w:rsidRPr="000E1CDA">
        <w:rPr>
          <w:rFonts w:eastAsia="Cambria"/>
          <w:sz w:val="20"/>
          <w:u w:val="single"/>
        </w:rPr>
        <w:t xml:space="preserve"> </w:t>
      </w:r>
      <w:r w:rsidRPr="006953A9">
        <w:rPr>
          <w:rFonts w:eastAsia="Cambria"/>
          <w:sz w:val="20"/>
          <w:u w:val="single"/>
        </w:rPr>
        <w:t>survives even after the client has died</w:t>
      </w:r>
    </w:p>
    <w:p w:rsidR="000E1CDA" w:rsidRDefault="000E1CDA" w:rsidP="000E1CDA">
      <w:pPr>
        <w:rPr>
          <w:rFonts w:eastAsia="Cambria"/>
          <w:sz w:val="20"/>
          <w:u w:val="single"/>
        </w:rPr>
      </w:pPr>
    </w:p>
    <w:p w:rsidR="000E1CDA" w:rsidRPr="006953A9" w:rsidRDefault="000E1CDA" w:rsidP="000E1CDA">
      <w:pPr>
        <w:rPr>
          <w:rFonts w:eastAsia="Cambria"/>
          <w:sz w:val="20"/>
        </w:rPr>
      </w:pPr>
      <w:r>
        <w:rPr>
          <w:rFonts w:eastAsia="Cambria"/>
          <w:sz w:val="20"/>
        </w:rPr>
        <w:t>Moreover, removal of the privilege would violate a client’s constitutional rights by forcing the client to choose between surrendering either her 5</w:t>
      </w:r>
      <w:r w:rsidRPr="006953A9">
        <w:rPr>
          <w:rFonts w:eastAsia="Cambria"/>
          <w:sz w:val="20"/>
          <w:vertAlign w:val="superscript"/>
        </w:rPr>
        <w:t>th</w:t>
      </w:r>
      <w:r>
        <w:rPr>
          <w:rFonts w:eastAsia="Cambria"/>
          <w:sz w:val="20"/>
        </w:rPr>
        <w:t xml:space="preserve"> or 6</w:t>
      </w:r>
      <w:r w:rsidRPr="006953A9">
        <w:rPr>
          <w:rFonts w:eastAsia="Cambria"/>
          <w:sz w:val="20"/>
          <w:vertAlign w:val="superscript"/>
        </w:rPr>
        <w:t>th</w:t>
      </w:r>
      <w:r>
        <w:rPr>
          <w:rFonts w:eastAsia="Cambria"/>
          <w:sz w:val="20"/>
        </w:rPr>
        <w:t xml:space="preserve"> amendment privileges. </w:t>
      </w:r>
      <w:proofErr w:type="spellStart"/>
      <w:r>
        <w:rPr>
          <w:rFonts w:eastAsia="Cambria"/>
          <w:sz w:val="20"/>
        </w:rPr>
        <w:t>Dashjian</w:t>
      </w:r>
      <w:proofErr w:type="spellEnd"/>
      <w:r>
        <w:rPr>
          <w:rFonts w:eastAsia="Cambria"/>
          <w:sz w:val="20"/>
        </w:rPr>
        <w:t xml:space="preserve"> writes. </w:t>
      </w:r>
    </w:p>
    <w:p w:rsidR="000E1CDA" w:rsidRDefault="000E1CDA" w:rsidP="000E1CDA">
      <w:pPr>
        <w:rPr>
          <w:rFonts w:eastAsia="Cambria"/>
          <w:sz w:val="16"/>
        </w:rPr>
      </w:pPr>
      <w:r w:rsidRPr="006953A9">
        <w:rPr>
          <w:rFonts w:eastAsia="Cambria"/>
          <w:sz w:val="16"/>
        </w:rPr>
        <w:t xml:space="preserve">Michael </w:t>
      </w:r>
      <w:proofErr w:type="spellStart"/>
      <w:r w:rsidRPr="006953A9">
        <w:rPr>
          <w:rFonts w:eastAsia="Cambria"/>
          <w:sz w:val="16"/>
        </w:rPr>
        <w:t>Dashjian</w:t>
      </w:r>
      <w:proofErr w:type="spellEnd"/>
      <w:r w:rsidRPr="006953A9">
        <w:rPr>
          <w:rFonts w:eastAsia="Cambria"/>
          <w:sz w:val="16"/>
        </w:rPr>
        <w:t xml:space="preserve"> 1982 “The attorney-</w:t>
      </w:r>
      <w:proofErr w:type="spellStart"/>
      <w:r w:rsidRPr="006953A9">
        <w:rPr>
          <w:rFonts w:eastAsia="Cambria"/>
          <w:sz w:val="16"/>
        </w:rPr>
        <w:t>clinet</w:t>
      </w:r>
      <w:proofErr w:type="spellEnd"/>
      <w:r w:rsidRPr="006953A9">
        <w:rPr>
          <w:rFonts w:eastAsia="Cambria"/>
          <w:sz w:val="16"/>
        </w:rPr>
        <w:t xml:space="preserve"> privilege and the criminal defendant’s constitutional rights” </w:t>
      </w:r>
      <w:hyperlink r:id="rId6" w:history="1">
        <w:r w:rsidRPr="006F5474">
          <w:rPr>
            <w:rStyle w:val="Hyperlink"/>
            <w:rFonts w:eastAsia="Cambria"/>
            <w:sz w:val="16"/>
          </w:rPr>
          <w:t>http://scholarship.law.berkeley.edu/cgi/viewcontent.cgi?article=2190&amp;context=californialawreview</w:t>
        </w:r>
      </w:hyperlink>
    </w:p>
    <w:p w:rsidR="000E1CDA" w:rsidRDefault="000E1CDA" w:rsidP="000E1CDA">
      <w:pPr>
        <w:rPr>
          <w:rFonts w:eastAsia="Cambria"/>
          <w:sz w:val="20"/>
        </w:rPr>
      </w:pPr>
      <w:proofErr w:type="gramStart"/>
      <w:r w:rsidRPr="003D2189">
        <w:rPr>
          <w:rFonts w:eastAsia="Cambria"/>
          <w:sz w:val="20"/>
          <w:u w:val="single"/>
        </w:rPr>
        <w:t>When an individual's compelled</w:t>
      </w:r>
      <w:r>
        <w:rPr>
          <w:rFonts w:eastAsia="Cambria"/>
          <w:sz w:val="20"/>
          <w:u w:val="single"/>
        </w:rPr>
        <w:t>….</w:t>
      </w:r>
      <w:r w:rsidRPr="000E1CDA">
        <w:rPr>
          <w:rFonts w:eastAsia="Cambria"/>
          <w:sz w:val="20"/>
          <w:u w:val="single"/>
        </w:rPr>
        <w:t xml:space="preserve"> </w:t>
      </w:r>
      <w:r w:rsidRPr="003D2189">
        <w:rPr>
          <w:rFonts w:eastAsia="Cambria"/>
          <w:sz w:val="20"/>
          <w:u w:val="single"/>
        </w:rPr>
        <w:t>between fifth and sixth amendment rights</w:t>
      </w:r>
      <w:r w:rsidRPr="003D2189">
        <w:rPr>
          <w:rFonts w:eastAsia="Cambria"/>
          <w:sz w:val="20"/>
        </w:rPr>
        <w:t>.</w:t>
      </w:r>
      <w:proofErr w:type="gramEnd"/>
    </w:p>
    <w:p w:rsidR="000E1CDA" w:rsidRDefault="000E1CDA" w:rsidP="000E1CDA">
      <w:pPr>
        <w:rPr>
          <w:rFonts w:eastAsia="Cambria"/>
          <w:sz w:val="20"/>
        </w:rPr>
      </w:pPr>
    </w:p>
    <w:p w:rsidR="000E1CDA" w:rsidRPr="000E1CDA" w:rsidRDefault="000E1CDA" w:rsidP="000E1CDA">
      <w:pPr>
        <w:rPr>
          <w:sz w:val="20"/>
          <w:szCs w:val="20"/>
        </w:rPr>
      </w:pPr>
      <w:bookmarkStart w:id="0" w:name="_GoBack"/>
      <w:bookmarkEnd w:id="0"/>
    </w:p>
    <w:sectPr w:rsidR="000E1CDA" w:rsidRPr="000E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Times-Roman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530E1"/>
    <w:multiLevelType w:val="hybridMultilevel"/>
    <w:tmpl w:val="744CF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057D4"/>
    <w:multiLevelType w:val="hybridMultilevel"/>
    <w:tmpl w:val="BB0EA928"/>
    <w:lvl w:ilvl="0" w:tplc="B894A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CDA"/>
    <w:rsid w:val="000E1CDA"/>
    <w:rsid w:val="0084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DA"/>
    <w:pPr>
      <w:ind w:left="720"/>
      <w:contextualSpacing/>
    </w:pPr>
  </w:style>
  <w:style w:type="paragraph" w:styleId="Header">
    <w:name w:val="header"/>
    <w:basedOn w:val="Normal"/>
    <w:link w:val="HeaderChar"/>
    <w:autoRedefine/>
    <w:semiHidden/>
    <w:rsid w:val="000E1CDA"/>
    <w:pPr>
      <w:tabs>
        <w:tab w:val="left" w:pos="0"/>
        <w:tab w:val="center" w:pos="5760"/>
        <w:tab w:val="right" w:pos="11340"/>
      </w:tabs>
    </w:pPr>
  </w:style>
  <w:style w:type="character" w:customStyle="1" w:styleId="HeaderChar">
    <w:name w:val="Header Char"/>
    <w:basedOn w:val="DefaultParagraphFont"/>
    <w:link w:val="Header"/>
    <w:semiHidden/>
    <w:rsid w:val="000E1CD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semiHidden/>
    <w:rsid w:val="000E1C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DA"/>
    <w:pPr>
      <w:ind w:left="720"/>
      <w:contextualSpacing/>
    </w:pPr>
  </w:style>
  <w:style w:type="paragraph" w:styleId="Header">
    <w:name w:val="header"/>
    <w:basedOn w:val="Normal"/>
    <w:link w:val="HeaderChar"/>
    <w:autoRedefine/>
    <w:semiHidden/>
    <w:rsid w:val="000E1CDA"/>
    <w:pPr>
      <w:tabs>
        <w:tab w:val="left" w:pos="0"/>
        <w:tab w:val="center" w:pos="5760"/>
        <w:tab w:val="right" w:pos="11340"/>
      </w:tabs>
    </w:pPr>
  </w:style>
  <w:style w:type="character" w:customStyle="1" w:styleId="HeaderChar">
    <w:name w:val="Header Char"/>
    <w:basedOn w:val="DefaultParagraphFont"/>
    <w:link w:val="Header"/>
    <w:semiHidden/>
    <w:rsid w:val="000E1CD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semiHidden/>
    <w:rsid w:val="000E1C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olarship.law.berkeley.edu/cgi/viewcontent.cgi?article=2190&amp;context=californialawre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2488</Characters>
  <Application>Microsoft Office Word</Application>
  <DocSecurity>0</DocSecurity>
  <Lines>20</Lines>
  <Paragraphs>5</Paragraphs>
  <ScaleCrop>false</ScaleCrop>
  <Company>Hewlett-Packard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</dc:creator>
  <cp:lastModifiedBy>Sanika</cp:lastModifiedBy>
  <cp:revision>1</cp:revision>
  <dcterms:created xsi:type="dcterms:W3CDTF">2013-11-07T17:42:00Z</dcterms:created>
  <dcterms:modified xsi:type="dcterms:W3CDTF">2013-11-07T17:47:00Z</dcterms:modified>
</cp:coreProperties>
</file>