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AF800" w14:textId="77777777" w:rsidR="00F612B5" w:rsidRPr="00B67543" w:rsidRDefault="00F612B5" w:rsidP="002B6090">
      <w:pPr>
        <w:pStyle w:val="H2Hat"/>
      </w:pPr>
      <w:bookmarkStart w:id="0" w:name="_GoBack"/>
      <w:r w:rsidRPr="00B67543">
        <w:t xml:space="preserve">1AC </w:t>
      </w:r>
    </w:p>
    <w:p w14:paraId="4AE90AB7" w14:textId="77777777" w:rsidR="00F612B5" w:rsidRPr="00B67543" w:rsidRDefault="00F612B5" w:rsidP="00F612B5">
      <w:pPr>
        <w:rPr>
          <w:rStyle w:val="StyleStyleBold12pt"/>
        </w:rPr>
      </w:pPr>
      <w:r w:rsidRPr="00B67543">
        <w:rPr>
          <w:rStyle w:val="StyleStyleBold12pt"/>
        </w:rPr>
        <w:t>See Harvard round 2 and 3 – same one</w:t>
      </w:r>
    </w:p>
    <w:p w14:paraId="694CEBD7" w14:textId="77777777" w:rsidR="00F612B5" w:rsidRPr="00B67543" w:rsidRDefault="00F612B5" w:rsidP="002B6090">
      <w:pPr>
        <w:pStyle w:val="H2Hat"/>
      </w:pPr>
    </w:p>
    <w:p w14:paraId="47007D62" w14:textId="77777777" w:rsidR="002B6090" w:rsidRPr="00B67543" w:rsidRDefault="002B6090" w:rsidP="00876DC6">
      <w:pPr>
        <w:pStyle w:val="H2Hat"/>
        <w:rPr>
          <w:rStyle w:val="StyleStyleBold12pt"/>
          <w:b/>
          <w:sz w:val="44"/>
          <w:u w:val="double"/>
        </w:rPr>
      </w:pPr>
      <w:r w:rsidRPr="00B67543">
        <w:t>2AC AT QPQ</w:t>
      </w:r>
    </w:p>
    <w:p w14:paraId="78D6F01D" w14:textId="77777777" w:rsidR="002B6090" w:rsidRPr="00B67543" w:rsidRDefault="002B6090" w:rsidP="002B6090">
      <w:pPr>
        <w:rPr>
          <w:rStyle w:val="StyleStyleBold12pt"/>
        </w:rPr>
      </w:pPr>
      <w:r w:rsidRPr="00B67543">
        <w:rPr>
          <w:rStyle w:val="StyleStyleBold12pt"/>
        </w:rPr>
        <w:t>Counter-interpretation—both conditional and unconditional engagement are topical</w:t>
      </w:r>
    </w:p>
    <w:p w14:paraId="68C68EBB" w14:textId="77777777" w:rsidR="002B6090" w:rsidRPr="00B67543" w:rsidRDefault="002B6090" w:rsidP="002B6090">
      <w:pPr>
        <w:rPr>
          <w:rStyle w:val="StyleStyleBold12pt"/>
        </w:rPr>
      </w:pPr>
      <w:r w:rsidRPr="00B67543">
        <w:rPr>
          <w:rStyle w:val="StyleStyleBold12pt"/>
        </w:rPr>
        <w:t>Haass 2K</w:t>
      </w:r>
      <w:r w:rsidRPr="00B67543">
        <w:t xml:space="preserve"> (Richard Haass, Vice President and Director of Foreign Policy Studies at the Brookings Institution, “Engaging Problem Countries”, June 2000, </w:t>
      </w:r>
      <w:hyperlink r:id="rId8" w:history="1">
        <w:r w:rsidRPr="00B67543">
          <w:t>http://dspace.cigilibrary.org/jspui/bitstream/123456789/18245/1/Engaging%20Problem%20Countries.pdf</w:t>
        </w:r>
      </w:hyperlink>
      <w:r w:rsidRPr="00B67543">
        <w:t>, ZS)</w:t>
      </w:r>
    </w:p>
    <w:p w14:paraId="245E8210" w14:textId="77777777" w:rsidR="00876DC6" w:rsidRPr="00B67543" w:rsidRDefault="002B6090" w:rsidP="00876DC6">
      <w:r w:rsidRPr="00B67543">
        <w:t xml:space="preserve">Engagement as a policy </w:t>
      </w:r>
    </w:p>
    <w:p w14:paraId="58B06964" w14:textId="77777777" w:rsidR="00876DC6" w:rsidRPr="00B67543" w:rsidRDefault="00876DC6" w:rsidP="00876DC6">
      <w:r w:rsidRPr="00B67543">
        <w:t>AND</w:t>
      </w:r>
    </w:p>
    <w:p w14:paraId="02C80968" w14:textId="77777777" w:rsidR="002B6090" w:rsidRPr="00B67543" w:rsidRDefault="002B6090" w:rsidP="00876DC6">
      <w:proofErr w:type="gramStart"/>
      <w:r w:rsidRPr="00B67543">
        <w:t>conducive</w:t>
      </w:r>
      <w:proofErr w:type="gramEnd"/>
      <w:r w:rsidRPr="00B67543">
        <w:t xml:space="preserve"> to reform.</w:t>
      </w:r>
    </w:p>
    <w:p w14:paraId="4F1D99B8" w14:textId="77777777" w:rsidR="00412CB2" w:rsidRPr="00B67543" w:rsidRDefault="00412CB2" w:rsidP="00412CB2">
      <w:pPr>
        <w:rPr>
          <w:rStyle w:val="StyleStyleBold12pt"/>
        </w:rPr>
      </w:pPr>
    </w:p>
    <w:p w14:paraId="3D9F17DD" w14:textId="77777777" w:rsidR="00412CB2" w:rsidRPr="00B67543" w:rsidRDefault="00876DC6" w:rsidP="00412CB2">
      <w:pPr>
        <w:rPr>
          <w:rStyle w:val="StyleStyleBold12pt"/>
        </w:rPr>
      </w:pPr>
      <w:r w:rsidRPr="00B67543">
        <w:rPr>
          <w:rStyle w:val="StyleStyleBold12pt"/>
        </w:rPr>
        <w:t>We meet –</w:t>
      </w:r>
      <w:r w:rsidR="00412CB2" w:rsidRPr="00B67543">
        <w:rPr>
          <w:rStyle w:val="StyleStyleBold12pt"/>
        </w:rPr>
        <w:t xml:space="preserve"> Appeasement is a subcategory of engagement </w:t>
      </w:r>
    </w:p>
    <w:p w14:paraId="1B6358F9" w14:textId="77777777" w:rsidR="00412CB2" w:rsidRPr="00B67543" w:rsidRDefault="00412CB2" w:rsidP="00412CB2">
      <w:r w:rsidRPr="00B67543">
        <w:rPr>
          <w:rStyle w:val="StyleStyleBold12pt"/>
        </w:rPr>
        <w:t>Rock 2k</w:t>
      </w:r>
      <w:r w:rsidR="00F612B5" w:rsidRPr="00B67543">
        <w:t xml:space="preserve"> </w:t>
      </w:r>
      <w:r w:rsidRPr="00B67543">
        <w:t>Stephen R. Rock, Associate Professor of Political Science at Vassar College, 2000 (“The Study of Appeasement,” Appeasement in International Politics, Published by the University Press of Kentucky, ISBN 0813132282, p. 23)</w:t>
      </w:r>
    </w:p>
    <w:p w14:paraId="4D58FA35" w14:textId="77777777" w:rsidR="00876DC6" w:rsidRPr="00B67543" w:rsidRDefault="00412CB2" w:rsidP="00876DC6">
      <w:r w:rsidRPr="00B67543">
        <w:t xml:space="preserve">Nevertheless, appeasement and engagement </w:t>
      </w:r>
    </w:p>
    <w:p w14:paraId="6983B478" w14:textId="77777777" w:rsidR="00876DC6" w:rsidRPr="00B67543" w:rsidRDefault="00876DC6" w:rsidP="00876DC6">
      <w:r w:rsidRPr="00B67543">
        <w:t>AND</w:t>
      </w:r>
    </w:p>
    <w:p w14:paraId="7CAF4B0A" w14:textId="77777777" w:rsidR="00412CB2" w:rsidRPr="00B67543" w:rsidRDefault="00412CB2" w:rsidP="00876DC6">
      <w:proofErr w:type="gramStart"/>
      <w:r w:rsidRPr="00B67543">
        <w:t>to</w:t>
      </w:r>
      <w:proofErr w:type="gramEnd"/>
      <w:r w:rsidRPr="00B67543">
        <w:t xml:space="preserve"> pursue such a strategy.</w:t>
      </w:r>
    </w:p>
    <w:p w14:paraId="6BDEAA9A" w14:textId="77777777" w:rsidR="002B6090" w:rsidRPr="00B67543" w:rsidRDefault="002B6090" w:rsidP="002B6090">
      <w:pPr>
        <w:rPr>
          <w:rStyle w:val="StyleStyleBold12pt"/>
        </w:rPr>
      </w:pPr>
    </w:p>
    <w:p w14:paraId="5843CC68" w14:textId="77777777" w:rsidR="002B6090" w:rsidRPr="00B67543" w:rsidRDefault="00412CB2" w:rsidP="002B6090">
      <w:pPr>
        <w:rPr>
          <w:rStyle w:val="StyleStyleBold12pt"/>
        </w:rPr>
      </w:pPr>
      <w:r w:rsidRPr="00B67543">
        <w:rPr>
          <w:rStyle w:val="StyleStyleBold12pt"/>
        </w:rPr>
        <w:t>Carrots and sticks aren’t engagement</w:t>
      </w:r>
    </w:p>
    <w:p w14:paraId="3C05925D" w14:textId="77777777" w:rsidR="002B6090" w:rsidRPr="00B67543" w:rsidRDefault="002B6090" w:rsidP="002B6090">
      <w:r w:rsidRPr="00B67543">
        <w:rPr>
          <w:rStyle w:val="StyleStyleBold12pt"/>
        </w:rPr>
        <w:t>Smith 5</w:t>
      </w:r>
      <w:r w:rsidRPr="00B67543">
        <w:t xml:space="preserve"> (Karen Smith, Senior Lecturer in International Relations, “Engagement and conditionality: incompatible or mutually reinforcing?</w:t>
      </w:r>
      <w:proofErr w:type="gramStart"/>
      <w:r w:rsidRPr="00B67543">
        <w:t>”,</w:t>
      </w:r>
      <w:proofErr w:type="gramEnd"/>
      <w:r w:rsidRPr="00B67543">
        <w:t xml:space="preserve"> </w:t>
      </w:r>
      <w:hyperlink r:id="rId9" w:history="1">
        <w:r w:rsidRPr="00B67543">
          <w:t>http://scholar.googleusercontent.com/scholar?q=cache:8-3RqE0TzFMJ:scholar.google.com/+engagement+positive+incentives+bilateralandhl=enandas_sdt=0</w:t>
        </w:r>
      </w:hyperlink>
      <w:r w:rsidRPr="00B67543">
        <w:t>, ZS)</w:t>
      </w:r>
    </w:p>
    <w:p w14:paraId="3CCCD8CB" w14:textId="77777777" w:rsidR="00876DC6" w:rsidRPr="00B67543" w:rsidRDefault="002B6090" w:rsidP="00876DC6">
      <w:proofErr w:type="gramStart"/>
      <w:r w:rsidRPr="00B67543">
        <w:t>First, a few definitions.</w:t>
      </w:r>
      <w:proofErr w:type="gramEnd"/>
      <w:r w:rsidRPr="00B67543">
        <w:t xml:space="preserve"> </w:t>
      </w:r>
    </w:p>
    <w:p w14:paraId="19A5C9E0" w14:textId="77777777" w:rsidR="00876DC6" w:rsidRPr="00B67543" w:rsidRDefault="00876DC6" w:rsidP="00876DC6">
      <w:r w:rsidRPr="00B67543">
        <w:t>AND</w:t>
      </w:r>
    </w:p>
    <w:p w14:paraId="083E5FF5" w14:textId="77777777" w:rsidR="002B6090" w:rsidRPr="00B67543" w:rsidRDefault="002B6090" w:rsidP="00876DC6">
      <w:proofErr w:type="gramStart"/>
      <w:r w:rsidRPr="00B67543">
        <w:t>of</w:t>
      </w:r>
      <w:proofErr w:type="gramEnd"/>
      <w:r w:rsidRPr="00B67543">
        <w:t xml:space="preserve"> a top-down strategy.</w:t>
      </w:r>
    </w:p>
    <w:p w14:paraId="5BF3FBB7" w14:textId="77777777" w:rsidR="00412CB2" w:rsidRPr="00B67543" w:rsidRDefault="002B6090" w:rsidP="00876DC6">
      <w:pPr>
        <w:pStyle w:val="H2Hat"/>
        <w:rPr>
          <w:rStyle w:val="StyleStyleBold12pt"/>
          <w:b/>
          <w:sz w:val="44"/>
          <w:u w:val="double"/>
        </w:rPr>
      </w:pPr>
      <w:r w:rsidRPr="00B67543">
        <w:t>2AC AT Neoliberalism</w:t>
      </w:r>
    </w:p>
    <w:p w14:paraId="3A0C80C9" w14:textId="77777777" w:rsidR="00412CB2" w:rsidRPr="00B67543" w:rsidRDefault="00412CB2" w:rsidP="00412CB2">
      <w:pPr>
        <w:rPr>
          <w:rStyle w:val="StyleStyleBold12pt"/>
        </w:rPr>
      </w:pPr>
      <w:r w:rsidRPr="00B67543">
        <w:rPr>
          <w:rStyle w:val="StyleStyleBold12pt"/>
        </w:rPr>
        <w:t>Extinction outweighs any risk of their impacts</w:t>
      </w:r>
    </w:p>
    <w:p w14:paraId="0CB568AD" w14:textId="77777777" w:rsidR="00412CB2" w:rsidRPr="00B67543" w:rsidRDefault="00412CB2" w:rsidP="00412CB2">
      <w:proofErr w:type="spellStart"/>
      <w:r w:rsidRPr="00B67543">
        <w:rPr>
          <w:rStyle w:val="StyleStyleBold12pt"/>
        </w:rPr>
        <w:t>Bostrom</w:t>
      </w:r>
      <w:proofErr w:type="spellEnd"/>
      <w:r w:rsidRPr="00B67543">
        <w:rPr>
          <w:rStyle w:val="StyleStyleBold12pt"/>
        </w:rPr>
        <w:t xml:space="preserve"> 12</w:t>
      </w:r>
      <w:r w:rsidRPr="00B67543">
        <w:t xml:space="preserve"> (Nick, Professor of Philosophy at Oxford, directs Oxford's Future of Humanity Institute and winner of the Gannon Award, Interview with Ross Andersen, correspondent at The Atlantic, 3/6, “We're Underestimating the Risk of Human Extinction”, </w:t>
      </w:r>
      <w:hyperlink r:id="rId10" w:history="1">
        <w:r w:rsidRPr="00B67543">
          <w:t>http://www.theatlantic.com/technology/archive/2012/03/were-underestimating-the-risk-of-human-extinction/253821/</w:t>
        </w:r>
      </w:hyperlink>
      <w:r w:rsidRPr="00B67543">
        <w:t>)</w:t>
      </w:r>
    </w:p>
    <w:p w14:paraId="267D7D88" w14:textId="77777777" w:rsidR="00876DC6" w:rsidRPr="00B67543" w:rsidRDefault="00412CB2" w:rsidP="00876DC6">
      <w:proofErr w:type="spellStart"/>
      <w:r w:rsidRPr="00B67543">
        <w:t>Bostrom</w:t>
      </w:r>
      <w:proofErr w:type="spellEnd"/>
      <w:r w:rsidRPr="00B67543">
        <w:t xml:space="preserve">, who directs Oxford's Future of Humanity Institute, </w:t>
      </w:r>
    </w:p>
    <w:p w14:paraId="3745853A" w14:textId="77777777" w:rsidR="00876DC6" w:rsidRPr="00B67543" w:rsidRDefault="00876DC6" w:rsidP="00876DC6">
      <w:r w:rsidRPr="00B67543">
        <w:t>AND</w:t>
      </w:r>
    </w:p>
    <w:p w14:paraId="0114CC1B" w14:textId="77777777" w:rsidR="00412CB2" w:rsidRPr="00B67543" w:rsidRDefault="00412CB2" w:rsidP="00876DC6">
      <w:proofErr w:type="gramStart"/>
      <w:r w:rsidRPr="00B67543">
        <w:t>which</w:t>
      </w:r>
      <w:proofErr w:type="gramEnd"/>
      <w:r w:rsidRPr="00B67543">
        <w:t xml:space="preserve"> would be tremendous under ordinary standards.</w:t>
      </w:r>
    </w:p>
    <w:p w14:paraId="15E6C69B" w14:textId="77777777" w:rsidR="00412CB2" w:rsidRPr="00B67543" w:rsidRDefault="00412CB2" w:rsidP="00412CB2">
      <w:pPr>
        <w:rPr>
          <w:rStyle w:val="StyleStyleBold12pt"/>
        </w:rPr>
      </w:pPr>
    </w:p>
    <w:p w14:paraId="515DF4E3" w14:textId="77777777" w:rsidR="00412CB2" w:rsidRPr="00B67543" w:rsidRDefault="00412CB2" w:rsidP="00412CB2">
      <w:pPr>
        <w:rPr>
          <w:rStyle w:val="StyleStyleBold12pt"/>
        </w:rPr>
      </w:pPr>
      <w:r w:rsidRPr="00B67543">
        <w:rPr>
          <w:rStyle w:val="StyleStyleBold12pt"/>
        </w:rPr>
        <w:t xml:space="preserve">Globalization is entrenched and accelerating in Latin America </w:t>
      </w:r>
    </w:p>
    <w:p w14:paraId="1C887FDF" w14:textId="77777777" w:rsidR="00412CB2" w:rsidRPr="00B67543" w:rsidRDefault="00412CB2" w:rsidP="00412CB2">
      <w:proofErr w:type="spellStart"/>
      <w:r w:rsidRPr="00B67543">
        <w:rPr>
          <w:rStyle w:val="StyleStyleBold12pt"/>
        </w:rPr>
        <w:t>Hogenboom</w:t>
      </w:r>
      <w:proofErr w:type="spellEnd"/>
      <w:r w:rsidRPr="00B67543">
        <w:rPr>
          <w:rStyle w:val="StyleStyleBold12pt"/>
        </w:rPr>
        <w:t xml:space="preserve"> and </w:t>
      </w:r>
      <w:proofErr w:type="spellStart"/>
      <w:r w:rsidRPr="00B67543">
        <w:rPr>
          <w:rStyle w:val="StyleStyleBold12pt"/>
        </w:rPr>
        <w:t>Jilberto</w:t>
      </w:r>
      <w:proofErr w:type="spellEnd"/>
      <w:r w:rsidRPr="00B67543">
        <w:rPr>
          <w:rStyle w:val="StyleStyleBold12pt"/>
        </w:rPr>
        <w:t xml:space="preserve"> 12</w:t>
      </w:r>
      <w:r w:rsidRPr="00B67543">
        <w:t xml:space="preserve"> – associate professor of Political Science at the Centre for Latin American Research and Documentation in Amsterdam, and senior lecturer in International Relations at the University of Amsterdam (Barbara </w:t>
      </w:r>
      <w:proofErr w:type="spellStart"/>
      <w:r w:rsidRPr="00B67543">
        <w:t>Hogenboom</w:t>
      </w:r>
      <w:proofErr w:type="spellEnd"/>
      <w:r w:rsidRPr="00B67543">
        <w:t xml:space="preserve"> Alex E. </w:t>
      </w:r>
      <w:proofErr w:type="spellStart"/>
      <w:r w:rsidRPr="00B67543">
        <w:t>Fernández</w:t>
      </w:r>
      <w:proofErr w:type="spellEnd"/>
      <w:r w:rsidRPr="00B67543">
        <w:t xml:space="preserve"> </w:t>
      </w:r>
      <w:proofErr w:type="spellStart"/>
      <w:r w:rsidRPr="00B67543">
        <w:t>Jilberto</w:t>
      </w:r>
      <w:proofErr w:type="spellEnd"/>
      <w:r w:rsidRPr="00B67543">
        <w:t>, “Neo-liberalism, big business and the evolution of interest group activity in Latin America” Journal of Public Affairs, May 21 2012, Wiley Online Library)</w:t>
      </w:r>
    </w:p>
    <w:p w14:paraId="3B9E5040" w14:textId="77777777" w:rsidR="00876DC6" w:rsidRPr="00B67543" w:rsidRDefault="00412CB2" w:rsidP="00876DC6">
      <w:r w:rsidRPr="00B67543">
        <w:t xml:space="preserve">Consequently, neo-liberal policies </w:t>
      </w:r>
    </w:p>
    <w:p w14:paraId="4379709B" w14:textId="77777777" w:rsidR="00876DC6" w:rsidRPr="00B67543" w:rsidRDefault="00876DC6" w:rsidP="00876DC6">
      <w:r w:rsidRPr="00B67543">
        <w:t>AND</w:t>
      </w:r>
    </w:p>
    <w:p w14:paraId="24E1BD7B" w14:textId="77777777" w:rsidR="00412CB2" w:rsidRPr="00B67543" w:rsidRDefault="00412CB2" w:rsidP="00876DC6">
      <w:proofErr w:type="gramStart"/>
      <w:r w:rsidRPr="00B67543">
        <w:t>policies</w:t>
      </w:r>
      <w:proofErr w:type="gramEnd"/>
      <w:r w:rsidRPr="00B67543">
        <w:t xml:space="preserve"> to its advantage.</w:t>
      </w:r>
    </w:p>
    <w:p w14:paraId="032EE2FE" w14:textId="77777777" w:rsidR="00412CB2" w:rsidRPr="00B67543" w:rsidRDefault="00412CB2" w:rsidP="00412CB2">
      <w:pPr>
        <w:rPr>
          <w:rStyle w:val="StyleStyleBold12pt"/>
        </w:rPr>
      </w:pPr>
    </w:p>
    <w:p w14:paraId="38C6CC71" w14:textId="77777777" w:rsidR="00412CB2" w:rsidRPr="00B67543" w:rsidRDefault="00412CB2" w:rsidP="00412CB2">
      <w:pPr>
        <w:rPr>
          <w:rStyle w:val="StyleStyleBold12pt"/>
        </w:rPr>
      </w:pPr>
      <w:r w:rsidRPr="00B67543">
        <w:rPr>
          <w:rStyle w:val="StyleStyleBold12pt"/>
        </w:rPr>
        <w:t>Neoliberalism is inevitable and sustainable</w:t>
      </w:r>
    </w:p>
    <w:p w14:paraId="3D9DDE4D" w14:textId="77777777" w:rsidR="00412CB2" w:rsidRPr="00B67543" w:rsidRDefault="00412CB2" w:rsidP="00412CB2">
      <w:pPr>
        <w:rPr>
          <w:sz w:val="12"/>
        </w:rPr>
      </w:pPr>
      <w:r w:rsidRPr="00B67543">
        <w:rPr>
          <w:rStyle w:val="StyleStyleBold12pt"/>
        </w:rPr>
        <w:t>Peck 2</w:t>
      </w:r>
      <w:r w:rsidR="00876DC6" w:rsidRPr="00B67543">
        <w:rPr>
          <w:sz w:val="12"/>
        </w:rPr>
        <w:t xml:space="preserve"> </w:t>
      </w:r>
      <w:r w:rsidRPr="00B67543">
        <w:t xml:space="preserve">Canada Research Chair in Urban &amp; Regional Political Economy and Professor of Geography, University of British Columbia. </w:t>
      </w:r>
      <w:proofErr w:type="gramStart"/>
      <w:r w:rsidRPr="00B67543">
        <w:t>Former Honorary Professorial Fellow, School of Environment and Development, University of Manchester.</w:t>
      </w:r>
      <w:proofErr w:type="gramEnd"/>
      <w:r w:rsidRPr="00B67543">
        <w:t xml:space="preserve"> </w:t>
      </w:r>
      <w:proofErr w:type="gramStart"/>
      <w:r w:rsidRPr="00B67543">
        <w:t>PhD in Geography.</w:t>
      </w:r>
      <w:proofErr w:type="gramEnd"/>
      <w:r w:rsidRPr="00B67543">
        <w:t xml:space="preserve"> </w:t>
      </w:r>
      <w:proofErr w:type="gramStart"/>
      <w:r w:rsidRPr="00B67543">
        <w:t xml:space="preserve">AND—Adam </w:t>
      </w:r>
      <w:proofErr w:type="spellStart"/>
      <w:r w:rsidRPr="00B67543">
        <w:t>Tickell</w:t>
      </w:r>
      <w:proofErr w:type="spellEnd"/>
      <w:r w:rsidRPr="00B67543">
        <w:t>—Professor of Geography, University of Bristol.</w:t>
      </w:r>
      <w:proofErr w:type="gramEnd"/>
      <w:r w:rsidRPr="00B67543">
        <w:t xml:space="preserve"> PhD (Jamie, Neoliberalizing space</w:t>
      </w:r>
      <w:proofErr w:type="gramStart"/>
      <w:r w:rsidRPr="00B67543">
        <w:t>,  Antipode</w:t>
      </w:r>
      <w:proofErr w:type="gramEnd"/>
      <w:r w:rsidRPr="00B67543">
        <w:t xml:space="preserve"> 34 (3): 380-404)</w:t>
      </w:r>
    </w:p>
    <w:p w14:paraId="6C65F2E2" w14:textId="77777777" w:rsidR="00876DC6" w:rsidRPr="00B67543" w:rsidRDefault="00412CB2" w:rsidP="00876DC6">
      <w:r w:rsidRPr="00B67543">
        <w:t xml:space="preserve">In many respects, </w:t>
      </w:r>
    </w:p>
    <w:p w14:paraId="1E23A9CF" w14:textId="77777777" w:rsidR="00876DC6" w:rsidRPr="00B67543" w:rsidRDefault="00876DC6" w:rsidP="00876DC6">
      <w:r w:rsidRPr="00B67543">
        <w:t>AND</w:t>
      </w:r>
    </w:p>
    <w:p w14:paraId="59363EA4" w14:textId="77777777" w:rsidR="00412CB2" w:rsidRPr="00B67543" w:rsidRDefault="00412CB2" w:rsidP="00876DC6">
      <w:proofErr w:type="gramStart"/>
      <w:r w:rsidRPr="00B67543">
        <w:t>hold</w:t>
      </w:r>
      <w:proofErr w:type="gramEnd"/>
      <w:r w:rsidRPr="00B67543">
        <w:t xml:space="preserve"> a mirror to the process</w:t>
      </w:r>
    </w:p>
    <w:p w14:paraId="110E0E9F" w14:textId="77777777" w:rsidR="00412CB2" w:rsidRPr="00B67543" w:rsidRDefault="00412CB2" w:rsidP="00412CB2">
      <w:pPr>
        <w:rPr>
          <w:rStyle w:val="StyleStyleBold12pt"/>
        </w:rPr>
      </w:pPr>
    </w:p>
    <w:p w14:paraId="63539299" w14:textId="77777777" w:rsidR="00412CB2" w:rsidRPr="00B67543" w:rsidRDefault="00412CB2" w:rsidP="00412CB2">
      <w:pPr>
        <w:rPr>
          <w:rStyle w:val="StyleStyleBold12pt"/>
        </w:rPr>
      </w:pPr>
      <w:r w:rsidRPr="00B67543">
        <w:rPr>
          <w:rStyle w:val="StyleStyleBold12pt"/>
        </w:rPr>
        <w:t xml:space="preserve">Means the alternative can’t solve </w:t>
      </w:r>
    </w:p>
    <w:p w14:paraId="182BD133" w14:textId="77777777" w:rsidR="00412CB2" w:rsidRPr="00B67543" w:rsidRDefault="00412CB2" w:rsidP="00412CB2">
      <w:r w:rsidRPr="00B67543">
        <w:rPr>
          <w:rStyle w:val="StyleStyleBold12pt"/>
        </w:rPr>
        <w:t>Hudson 99</w:t>
      </w:r>
      <w:r w:rsidRPr="00B67543">
        <w:t xml:space="preserve"> [Mark, Progressive Librarian, Fall, “Understanding Information Media in the Age of Neoliberalism: The Contributions of Herbert Schiller”]</w:t>
      </w:r>
    </w:p>
    <w:p w14:paraId="64054E4B" w14:textId="77777777" w:rsidR="00876DC6" w:rsidRPr="00B67543" w:rsidRDefault="00412CB2" w:rsidP="00876DC6">
      <w:r w:rsidRPr="00B67543">
        <w:t xml:space="preserve">Neoliberal ideas are as old </w:t>
      </w:r>
    </w:p>
    <w:p w14:paraId="3A997900" w14:textId="77777777" w:rsidR="00876DC6" w:rsidRPr="00B67543" w:rsidRDefault="00876DC6" w:rsidP="00876DC6">
      <w:r w:rsidRPr="00B67543">
        <w:t>AND</w:t>
      </w:r>
    </w:p>
    <w:p w14:paraId="2CC3C21A" w14:textId="77777777" w:rsidR="00412CB2" w:rsidRPr="00B67543" w:rsidRDefault="00412CB2" w:rsidP="00876DC6">
      <w:proofErr w:type="gramStart"/>
      <w:r w:rsidRPr="00B67543">
        <w:t>economy</w:t>
      </w:r>
      <w:proofErr w:type="gramEnd"/>
      <w:r w:rsidRPr="00B67543">
        <w:t xml:space="preserve"> and culture. </w:t>
      </w:r>
    </w:p>
    <w:p w14:paraId="6CFA35C3" w14:textId="77777777" w:rsidR="00412CB2" w:rsidRPr="00B67543" w:rsidRDefault="00412CB2" w:rsidP="00412CB2">
      <w:pPr>
        <w:rPr>
          <w:rStyle w:val="StyleStyleBold12pt"/>
        </w:rPr>
      </w:pPr>
    </w:p>
    <w:p w14:paraId="55ED5D45" w14:textId="77777777" w:rsidR="00412CB2" w:rsidRPr="00B67543" w:rsidRDefault="00412CB2" w:rsidP="00412CB2">
      <w:pPr>
        <w:rPr>
          <w:rStyle w:val="StyleStyleBold12pt"/>
        </w:rPr>
      </w:pPr>
      <w:r w:rsidRPr="00B67543">
        <w:rPr>
          <w:rStyle w:val="StyleStyleBold12pt"/>
        </w:rPr>
        <w:t xml:space="preserve">Neoliberalism isn’t the root cause </w:t>
      </w:r>
    </w:p>
    <w:p w14:paraId="0E1FFB68" w14:textId="77777777" w:rsidR="00412CB2" w:rsidRPr="00B67543" w:rsidRDefault="00412CB2" w:rsidP="00412CB2">
      <w:r w:rsidRPr="00B67543">
        <w:rPr>
          <w:rStyle w:val="StyleStyleBold12pt"/>
        </w:rPr>
        <w:t xml:space="preserve">Roberts and </w:t>
      </w:r>
      <w:proofErr w:type="spellStart"/>
      <w:r w:rsidRPr="00B67543">
        <w:rPr>
          <w:rStyle w:val="StyleStyleBold12pt"/>
        </w:rPr>
        <w:t>Sparke</w:t>
      </w:r>
      <w:proofErr w:type="spellEnd"/>
      <w:r w:rsidRPr="00B67543">
        <w:rPr>
          <w:rStyle w:val="StyleStyleBold12pt"/>
        </w:rPr>
        <w:t xml:space="preserve"> 3</w:t>
      </w:r>
      <w:r w:rsidRPr="00B67543">
        <w:t xml:space="preserve"> (Susan, Professor of Geography – University of Kentucky, and Matthew, Professor of Geography – University of Washington, “Neoliberal Geopolitics</w:t>
      </w:r>
      <w:r w:rsidR="00876DC6" w:rsidRPr="00B67543">
        <w:t>,” Antipode, 35(5), p. 886-897)</w:t>
      </w:r>
    </w:p>
    <w:p w14:paraId="7BFC885D" w14:textId="77777777" w:rsidR="00876DC6" w:rsidRPr="00B67543" w:rsidRDefault="00412CB2" w:rsidP="00876DC6">
      <w:r w:rsidRPr="00B67543">
        <w:t xml:space="preserve">Barnett’s work is our main </w:t>
      </w:r>
    </w:p>
    <w:p w14:paraId="220851D8" w14:textId="77777777" w:rsidR="00876DC6" w:rsidRPr="00B67543" w:rsidRDefault="00876DC6" w:rsidP="00876DC6">
      <w:r w:rsidRPr="00B67543">
        <w:t>AND</w:t>
      </w:r>
    </w:p>
    <w:p w14:paraId="3438A143" w14:textId="77777777" w:rsidR="00412CB2" w:rsidRPr="00B67543" w:rsidRDefault="00412CB2" w:rsidP="00412CB2">
      <w:proofErr w:type="gramStart"/>
      <w:r w:rsidRPr="00B67543">
        <w:t>reflect</w:t>
      </w:r>
      <w:proofErr w:type="gramEnd"/>
      <w:r w:rsidRPr="00B67543">
        <w:t xml:space="preserve"> on the inter-articulations.</w:t>
      </w:r>
    </w:p>
    <w:p w14:paraId="7B8F605A" w14:textId="77777777" w:rsidR="00412CB2" w:rsidRPr="00B67543" w:rsidRDefault="00412CB2" w:rsidP="00412CB2">
      <w:pPr>
        <w:rPr>
          <w:rStyle w:val="StyleStyleBold12pt"/>
        </w:rPr>
      </w:pPr>
    </w:p>
    <w:p w14:paraId="467054CE" w14:textId="77777777" w:rsidR="00412CB2" w:rsidRPr="00B67543" w:rsidRDefault="00412CB2" w:rsidP="00412CB2">
      <w:pPr>
        <w:rPr>
          <w:rStyle w:val="StyleStyleBold12pt"/>
        </w:rPr>
      </w:pPr>
      <w:r w:rsidRPr="00B67543">
        <w:rPr>
          <w:rStyle w:val="StyleStyleBold12pt"/>
        </w:rPr>
        <w:t>Neoliberalism is ethical and solves extinction</w:t>
      </w:r>
    </w:p>
    <w:p w14:paraId="5E724344" w14:textId="77777777" w:rsidR="00412CB2" w:rsidRPr="00B67543" w:rsidRDefault="00412CB2" w:rsidP="00412CB2">
      <w:r w:rsidRPr="00B67543">
        <w:rPr>
          <w:rStyle w:val="StyleStyleBold12pt"/>
        </w:rPr>
        <w:t>Rockwell</w:t>
      </w:r>
      <w:r w:rsidRPr="00B67543">
        <w:t xml:space="preserve"> Jr., president of the Ludwig von </w:t>
      </w:r>
      <w:proofErr w:type="spellStart"/>
      <w:r w:rsidRPr="00B67543">
        <w:t>Mises</w:t>
      </w:r>
      <w:proofErr w:type="spellEnd"/>
      <w:r w:rsidRPr="00B67543">
        <w:t xml:space="preserve"> Institute, 5/19/</w:t>
      </w:r>
      <w:r w:rsidRPr="00B67543">
        <w:rPr>
          <w:rStyle w:val="StyleStyleBold12pt"/>
        </w:rPr>
        <w:t>2008</w:t>
      </w:r>
    </w:p>
    <w:p w14:paraId="608B7F23" w14:textId="77777777" w:rsidR="00412CB2" w:rsidRPr="00B67543" w:rsidRDefault="00412CB2" w:rsidP="00412CB2">
      <w:r w:rsidRPr="00B67543">
        <w:t>(Llewellyn, “Everything You Love You Owe to Capitalism,” http://mises.org/story/2982)</w:t>
      </w:r>
    </w:p>
    <w:p w14:paraId="62995015" w14:textId="77777777" w:rsidR="00876DC6" w:rsidRPr="00B67543" w:rsidRDefault="00412CB2" w:rsidP="00876DC6">
      <w:r w:rsidRPr="00B67543">
        <w:t xml:space="preserve">And yet, sitting on the other side of the table </w:t>
      </w:r>
    </w:p>
    <w:p w14:paraId="2EA224D3" w14:textId="77777777" w:rsidR="00876DC6" w:rsidRPr="00B67543" w:rsidRDefault="00876DC6" w:rsidP="00876DC6">
      <w:r w:rsidRPr="00B67543">
        <w:t>AND</w:t>
      </w:r>
    </w:p>
    <w:p w14:paraId="1D6B7B69" w14:textId="77777777" w:rsidR="00412CB2" w:rsidRPr="00B67543" w:rsidRDefault="00412CB2" w:rsidP="00876DC6">
      <w:proofErr w:type="gramStart"/>
      <w:r w:rsidRPr="00B67543">
        <w:t>dropping</w:t>
      </w:r>
      <w:proofErr w:type="gramEnd"/>
      <w:r w:rsidRPr="00B67543">
        <w:t xml:space="preserve"> atom bombs on millions of innocents.</w:t>
      </w:r>
    </w:p>
    <w:p w14:paraId="3F6A2CEF" w14:textId="77777777" w:rsidR="00412CB2" w:rsidRPr="00B67543" w:rsidRDefault="00412CB2" w:rsidP="00412CB2">
      <w:pPr>
        <w:rPr>
          <w:rStyle w:val="StyleStyleBold12pt"/>
        </w:rPr>
      </w:pPr>
    </w:p>
    <w:p w14:paraId="674A92BB" w14:textId="77777777" w:rsidR="00412CB2" w:rsidRPr="00B67543" w:rsidRDefault="00412CB2" w:rsidP="00412CB2">
      <w:pPr>
        <w:rPr>
          <w:rStyle w:val="StyleStyleBold12pt"/>
        </w:rPr>
      </w:pPr>
      <w:r w:rsidRPr="00B67543">
        <w:rPr>
          <w:rStyle w:val="StyleStyleBold12pt"/>
        </w:rPr>
        <w:t xml:space="preserve">Quality of life is skyrocketing worldwide by all measures – proves extinction not inevitable </w:t>
      </w:r>
      <w:r w:rsidRPr="00B67543">
        <w:rPr>
          <w:rStyle w:val="StyleStyleBold12pt"/>
        </w:rPr>
        <w:sym w:font="Wingdings" w:char="F04A"/>
      </w:r>
    </w:p>
    <w:p w14:paraId="32EBFBD5" w14:textId="77777777" w:rsidR="00412CB2" w:rsidRPr="00B67543" w:rsidRDefault="00412CB2" w:rsidP="00412CB2">
      <w:r w:rsidRPr="00B67543">
        <w:rPr>
          <w:rStyle w:val="StyleStyleBold12pt"/>
        </w:rPr>
        <w:t>Ridley 10</w:t>
      </w:r>
      <w:r w:rsidRPr="00B67543">
        <w:t xml:space="preserve"> (visiting professor at Cold Spring Harbor Laboratory, former science editor of </w:t>
      </w:r>
      <w:r w:rsidRPr="00B67543">
        <w:rPr>
          <w:i/>
        </w:rPr>
        <w:t>The Economist</w:t>
      </w:r>
      <w:r w:rsidRPr="00B67543">
        <w:t xml:space="preserve">, and award-winning science writer, Matt, </w:t>
      </w:r>
      <w:r w:rsidRPr="00B67543">
        <w:rPr>
          <w:i/>
        </w:rPr>
        <w:t>The Rational Optimist</w:t>
      </w:r>
      <w:r w:rsidRPr="00B67543">
        <w:t>, pg. 13-15)</w:t>
      </w:r>
    </w:p>
    <w:p w14:paraId="2228E370" w14:textId="77777777" w:rsidR="00876DC6" w:rsidRPr="00B67543" w:rsidRDefault="00412CB2" w:rsidP="00412CB2">
      <w:r w:rsidRPr="00B67543">
        <w:t xml:space="preserve">If my fictional family is not to your taste, </w:t>
      </w:r>
    </w:p>
    <w:p w14:paraId="15A9F6FD" w14:textId="77777777" w:rsidR="00876DC6" w:rsidRPr="00B67543" w:rsidRDefault="00876DC6" w:rsidP="00412CB2">
      <w:r w:rsidRPr="00B67543">
        <w:t>AND</w:t>
      </w:r>
    </w:p>
    <w:p w14:paraId="3474FD56" w14:textId="77777777" w:rsidR="00412CB2" w:rsidRPr="00B67543" w:rsidRDefault="00412CB2" w:rsidP="00412CB2">
      <w:proofErr w:type="gramStart"/>
      <w:r w:rsidRPr="00B67543">
        <w:t>fifty</w:t>
      </w:r>
      <w:proofErr w:type="gramEnd"/>
      <w:r w:rsidRPr="00B67543">
        <w:t xml:space="preserve"> years than in the previous 500. </w:t>
      </w:r>
    </w:p>
    <w:p w14:paraId="07279347" w14:textId="77777777" w:rsidR="002B6090" w:rsidRPr="00B67543" w:rsidRDefault="002B6090" w:rsidP="002B6090">
      <w:pPr>
        <w:rPr>
          <w:rStyle w:val="StyleStyleBold12pt"/>
        </w:rPr>
      </w:pPr>
    </w:p>
    <w:p w14:paraId="1449C5C4" w14:textId="77777777" w:rsidR="002B6090" w:rsidRPr="00B67543" w:rsidRDefault="002B6090" w:rsidP="002B6090">
      <w:pPr>
        <w:rPr>
          <w:rStyle w:val="StyleStyleBold12pt"/>
        </w:rPr>
      </w:pPr>
      <w:r w:rsidRPr="00B67543">
        <w:rPr>
          <w:rStyle w:val="StyleStyleBold12pt"/>
        </w:rPr>
        <w:t>Neoliberalism is key to maintain the free market, the value of an individual, and free trade</w:t>
      </w:r>
    </w:p>
    <w:p w14:paraId="6D34A1CE" w14:textId="77777777" w:rsidR="002B6090" w:rsidRPr="00B67543" w:rsidRDefault="002B6090" w:rsidP="002B6090">
      <w:proofErr w:type="spellStart"/>
      <w:r w:rsidRPr="00B67543">
        <w:rPr>
          <w:rStyle w:val="StyleStyleBold12pt"/>
        </w:rPr>
        <w:t>Olssen</w:t>
      </w:r>
      <w:proofErr w:type="spellEnd"/>
      <w:r w:rsidRPr="00B67543">
        <w:rPr>
          <w:rStyle w:val="StyleStyleBold12pt"/>
        </w:rPr>
        <w:t xml:space="preserve"> 5</w:t>
      </w:r>
      <w:r w:rsidRPr="00B67543">
        <w:t xml:space="preserve"> Professor of Political Theory and Education (May 2005, Mark </w:t>
      </w:r>
      <w:proofErr w:type="spellStart"/>
      <w:r w:rsidRPr="00B67543">
        <w:t>Olssen</w:t>
      </w:r>
      <w:proofErr w:type="spellEnd"/>
      <w:r w:rsidRPr="00B67543">
        <w:t>, Professor of Political Theory and Education, PhD Political Studies</w:t>
      </w:r>
      <w:proofErr w:type="gramStart"/>
      <w:r w:rsidRPr="00B67543">
        <w:t>,  and</w:t>
      </w:r>
      <w:proofErr w:type="gramEnd"/>
      <w:r w:rsidRPr="00B67543">
        <w:t xml:space="preserve"> Michael A. Peters, Ph.D. Philosophy of Education, M.A., Philosophy,  Professor Educational Policy Studies,  Adjunct Professor School of </w:t>
      </w:r>
      <w:proofErr w:type="spellStart"/>
      <w:r w:rsidRPr="00B67543">
        <w:t>Foriegn</w:t>
      </w:r>
      <w:proofErr w:type="spellEnd"/>
      <w:r w:rsidRPr="00B67543">
        <w:t xml:space="preserve"> Studies,  Journal of Education Policy,  Vol. 20, No. 3, pp. 313–345, “Neoliberalism, higher education and the knowledge economy: from the free market to knowledge capitalism,” </w:t>
      </w:r>
      <w:proofErr w:type="spellStart"/>
      <w:r w:rsidRPr="00B67543">
        <w:t>ebscohost</w:t>
      </w:r>
      <w:proofErr w:type="spellEnd"/>
      <w:r w:rsidRPr="00B67543">
        <w:t>)</w:t>
      </w:r>
    </w:p>
    <w:p w14:paraId="17303F1E" w14:textId="77777777" w:rsidR="00876DC6" w:rsidRPr="00B67543" w:rsidRDefault="002B6090" w:rsidP="00876DC6">
      <w:r w:rsidRPr="00B67543">
        <w:t xml:space="preserve">Within higher education </w:t>
      </w:r>
    </w:p>
    <w:p w14:paraId="30F22F4D" w14:textId="77777777" w:rsidR="00876DC6" w:rsidRPr="00B67543" w:rsidRDefault="00876DC6" w:rsidP="00876DC6">
      <w:r w:rsidRPr="00B67543">
        <w:t>AND</w:t>
      </w:r>
    </w:p>
    <w:p w14:paraId="560D68CD" w14:textId="77777777" w:rsidR="002B6090" w:rsidRPr="00B67543" w:rsidRDefault="002B6090" w:rsidP="00876DC6">
      <w:proofErr w:type="gramStart"/>
      <w:r w:rsidRPr="00B67543">
        <w:t>rates</w:t>
      </w:r>
      <w:proofErr w:type="gramEnd"/>
      <w:r w:rsidRPr="00B67543">
        <w:t xml:space="preserve"> and ‘open’ economies.</w:t>
      </w:r>
    </w:p>
    <w:p w14:paraId="5B7A536B" w14:textId="77777777" w:rsidR="002B6090" w:rsidRPr="00B67543" w:rsidRDefault="002B6090" w:rsidP="002B6090">
      <w:pPr>
        <w:rPr>
          <w:rStyle w:val="StyleStyleBold12pt"/>
        </w:rPr>
      </w:pPr>
    </w:p>
    <w:p w14:paraId="7EDF0CA1" w14:textId="77777777" w:rsidR="002B6090" w:rsidRPr="00B67543" w:rsidRDefault="002B6090" w:rsidP="002B6090">
      <w:pPr>
        <w:rPr>
          <w:rStyle w:val="StyleStyleBold12pt"/>
        </w:rPr>
      </w:pPr>
      <w:r w:rsidRPr="00B67543">
        <w:rPr>
          <w:rStyle w:val="StyleStyleBold12pt"/>
        </w:rPr>
        <w:t xml:space="preserve">Growth empirically shields the environment </w:t>
      </w:r>
    </w:p>
    <w:p w14:paraId="4DF477BF" w14:textId="77777777" w:rsidR="002B6090" w:rsidRPr="00B67543" w:rsidRDefault="002B6090" w:rsidP="002B6090">
      <w:pPr>
        <w:rPr>
          <w:b/>
          <w:sz w:val="24"/>
        </w:rPr>
      </w:pPr>
      <w:proofErr w:type="spellStart"/>
      <w:r w:rsidRPr="00B67543">
        <w:rPr>
          <w:rStyle w:val="StyleStyleBold12pt"/>
        </w:rPr>
        <w:t>Norberg</w:t>
      </w:r>
      <w:proofErr w:type="spellEnd"/>
      <w:r w:rsidRPr="00B67543">
        <w:rPr>
          <w:rStyle w:val="StyleStyleBold12pt"/>
        </w:rPr>
        <w:t xml:space="preserve"> 3 </w:t>
      </w:r>
      <w:r w:rsidRPr="00B67543">
        <w:t xml:space="preserve">Johan </w:t>
      </w:r>
      <w:proofErr w:type="spellStart"/>
      <w:r w:rsidRPr="00B67543">
        <w:t>Norberg</w:t>
      </w:r>
      <w:proofErr w:type="spellEnd"/>
      <w:r w:rsidRPr="00B67543">
        <w:t xml:space="preserve">, MA in History Fellow at </w:t>
      </w:r>
      <w:proofErr w:type="spellStart"/>
      <w:r w:rsidRPr="00B67543">
        <w:t>Timbro</w:t>
      </w:r>
      <w:proofErr w:type="spellEnd"/>
      <w:r w:rsidRPr="00B67543">
        <w:t>, MA with a focus in economics and philosophy, In Defense of Global Capitalism, p. 225-237</w:t>
      </w:r>
    </w:p>
    <w:p w14:paraId="36A2AC95" w14:textId="77777777" w:rsidR="00876DC6" w:rsidRPr="00B67543" w:rsidRDefault="002B6090" w:rsidP="00876DC6">
      <w:r w:rsidRPr="00B67543">
        <w:t>All over the world</w:t>
      </w:r>
    </w:p>
    <w:p w14:paraId="19C3B3F0" w14:textId="77777777" w:rsidR="00876DC6" w:rsidRPr="00B67543" w:rsidRDefault="00876DC6" w:rsidP="00876DC6">
      <w:r w:rsidRPr="00B67543">
        <w:t>AND</w:t>
      </w:r>
    </w:p>
    <w:p w14:paraId="03DAAF92" w14:textId="77777777" w:rsidR="002B6090" w:rsidRPr="00B67543" w:rsidRDefault="002B6090" w:rsidP="00876DC6">
      <w:r w:rsidRPr="00B67543">
        <w:t xml:space="preserve"> </w:t>
      </w:r>
      <w:proofErr w:type="gramStart"/>
      <w:r w:rsidRPr="00B67543">
        <w:t>control</w:t>
      </w:r>
      <w:proofErr w:type="gramEnd"/>
      <w:r w:rsidRPr="00B67543">
        <w:t xml:space="preserve"> they gain over air pollution.   </w:t>
      </w:r>
    </w:p>
    <w:p w14:paraId="778E1C0C" w14:textId="77777777" w:rsidR="002B6090" w:rsidRPr="00B67543" w:rsidRDefault="002B6090" w:rsidP="002B6090">
      <w:pPr>
        <w:rPr>
          <w:rStyle w:val="StyleStyleBold12pt"/>
        </w:rPr>
      </w:pPr>
    </w:p>
    <w:p w14:paraId="21D6F86A" w14:textId="77777777" w:rsidR="002B6090" w:rsidRPr="00B67543" w:rsidRDefault="002B6090" w:rsidP="002B6090">
      <w:pPr>
        <w:rPr>
          <w:rStyle w:val="StyleStyleBold12pt"/>
        </w:rPr>
      </w:pPr>
      <w:r w:rsidRPr="00B67543">
        <w:rPr>
          <w:rStyle w:val="StyleStyleBold12pt"/>
        </w:rPr>
        <w:t>Transition fails and results in massive power wars</w:t>
      </w:r>
    </w:p>
    <w:p w14:paraId="4F04BE51" w14:textId="77777777" w:rsidR="002B6090" w:rsidRPr="00B67543" w:rsidRDefault="002B6090" w:rsidP="002B6090">
      <w:pPr>
        <w:pStyle w:val="citenon-bold"/>
        <w:rPr>
          <w:rFonts w:ascii="Times New Roman" w:hAnsi="Times New Roman"/>
          <w:b/>
          <w:bCs/>
          <w:sz w:val="24"/>
        </w:rPr>
      </w:pPr>
      <w:r w:rsidRPr="00B67543">
        <w:rPr>
          <w:rStyle w:val="StyleTimesNewRoman12ptBold"/>
        </w:rPr>
        <w:t xml:space="preserve">Aligica 3 </w:t>
      </w:r>
      <w:r w:rsidRPr="00B67543">
        <w:rPr>
          <w:rFonts w:ascii="Times New Roman" w:hAnsi="Times New Roman"/>
        </w:rPr>
        <w:t>(Paul Aligica, Fellow at the Mercatus Center at George Mason University and Adjunct Fellow at the Hudson Institute, “The Great Transition and the Social Limits to Growth: Herman Kahn on Social Change and Global Economic Development”, April 21, http://www.hudson.org/index.cfm</w:t>
      </w:r>
      <w:proofErr w:type="gramStart"/>
      <w:r w:rsidRPr="00B67543">
        <w:rPr>
          <w:rFonts w:ascii="Times New Roman" w:hAnsi="Times New Roman"/>
        </w:rPr>
        <w:t>?fuseaction</w:t>
      </w:r>
      <w:proofErr w:type="gramEnd"/>
      <w:r w:rsidRPr="00B67543">
        <w:rPr>
          <w:rFonts w:ascii="Times New Roman" w:hAnsi="Times New Roman"/>
        </w:rPr>
        <w:t>=publication_details&amp;id=2827)</w:t>
      </w:r>
    </w:p>
    <w:p w14:paraId="04061208" w14:textId="77777777" w:rsidR="00876DC6" w:rsidRPr="00B67543" w:rsidRDefault="002B6090" w:rsidP="00876DC6">
      <w:r w:rsidRPr="00B67543">
        <w:t xml:space="preserve">Stopping things would mean if not to </w:t>
      </w:r>
    </w:p>
    <w:p w14:paraId="77EE5FE5" w14:textId="77777777" w:rsidR="00876DC6" w:rsidRPr="00B67543" w:rsidRDefault="00876DC6" w:rsidP="00876DC6">
      <w:r w:rsidRPr="00B67543">
        <w:t>AND</w:t>
      </w:r>
    </w:p>
    <w:p w14:paraId="0EE1CDBA" w14:textId="77777777" w:rsidR="002B6090" w:rsidRPr="00B67543" w:rsidRDefault="002B6090" w:rsidP="00876DC6">
      <w:proofErr w:type="gramStart"/>
      <w:r w:rsidRPr="00B67543">
        <w:t>(Kahn, 1976, 210; 1984).</w:t>
      </w:r>
      <w:proofErr w:type="gramEnd"/>
    </w:p>
    <w:p w14:paraId="079E2407" w14:textId="77777777" w:rsidR="002B6090" w:rsidRPr="00B67543" w:rsidRDefault="002B6090" w:rsidP="002B6090">
      <w:pPr>
        <w:rPr>
          <w:rStyle w:val="StyleStyleBold12pt"/>
        </w:rPr>
      </w:pPr>
    </w:p>
    <w:p w14:paraId="58D8D0A5" w14:textId="77777777" w:rsidR="002B6090" w:rsidRPr="00B67543" w:rsidRDefault="002B6090" w:rsidP="002B6090">
      <w:pPr>
        <w:rPr>
          <w:rStyle w:val="StyleBoldUnderline"/>
        </w:rPr>
      </w:pPr>
    </w:p>
    <w:p w14:paraId="10C93B50" w14:textId="77777777" w:rsidR="002B6090" w:rsidRPr="00B67543" w:rsidRDefault="002B6090" w:rsidP="002B6090">
      <w:pPr>
        <w:rPr>
          <w:rStyle w:val="StyleStyleBold12pt"/>
        </w:rPr>
      </w:pPr>
      <w:r w:rsidRPr="00B67543">
        <w:rPr>
          <w:rStyle w:val="StyleStyleBold12pt"/>
        </w:rPr>
        <w:t>Alt fails in more cooperate further exacerbating neoliberalism</w:t>
      </w:r>
    </w:p>
    <w:p w14:paraId="12F518B9" w14:textId="77777777" w:rsidR="002B6090" w:rsidRPr="00B67543" w:rsidRDefault="002B6090" w:rsidP="002B6090">
      <w:r w:rsidRPr="00B67543">
        <w:rPr>
          <w:rStyle w:val="StyleStyleBold12pt"/>
        </w:rPr>
        <w:t>Legrain 2K</w:t>
      </w:r>
      <w:r w:rsidRPr="00B67543">
        <w:t xml:space="preserve"> (</w:t>
      </w:r>
      <w:proofErr w:type="spellStart"/>
      <w:r w:rsidRPr="00B67543">
        <w:t>Phillipe</w:t>
      </w:r>
      <w:proofErr w:type="spellEnd"/>
      <w:r w:rsidRPr="00B67543">
        <w:t xml:space="preserve"> Legrain, special adviser to the WTO director general Mike Moore, 2000, The WTO: Boon or Bane for the Developing World, p. http://www.focusweb.org/publications/2000/The%20WTOThe%20WTO-Boon%20or%20Bane%20for%20the%20Developing%20World.htm)</w:t>
      </w:r>
    </w:p>
    <w:p w14:paraId="5FC22E92" w14:textId="77777777" w:rsidR="00876DC6" w:rsidRPr="00B67543" w:rsidRDefault="002B6090" w:rsidP="00876DC6">
      <w:r w:rsidRPr="00B67543">
        <w:t xml:space="preserve">A convincing case for the WTO’s </w:t>
      </w:r>
    </w:p>
    <w:p w14:paraId="37818E2D" w14:textId="77777777" w:rsidR="00876DC6" w:rsidRPr="00B67543" w:rsidRDefault="00876DC6" w:rsidP="00876DC6">
      <w:r w:rsidRPr="00B67543">
        <w:t>AND</w:t>
      </w:r>
    </w:p>
    <w:p w14:paraId="003826D9" w14:textId="77777777" w:rsidR="002B6090" w:rsidRPr="00B67543" w:rsidRDefault="002B6090" w:rsidP="00876DC6">
      <w:proofErr w:type="gramStart"/>
      <w:r w:rsidRPr="00B67543">
        <w:t>their</w:t>
      </w:r>
      <w:proofErr w:type="gramEnd"/>
      <w:r w:rsidRPr="00B67543">
        <w:t xml:space="preserve"> counterparts 30 years ago. </w:t>
      </w:r>
    </w:p>
    <w:p w14:paraId="053705CA" w14:textId="77777777" w:rsidR="002B6090" w:rsidRPr="00B67543" w:rsidRDefault="002B6090" w:rsidP="002B6090">
      <w:pPr>
        <w:pStyle w:val="Heading2"/>
        <w:rPr>
          <w:rFonts w:ascii="Times New Roman" w:hAnsi="Times New Roman" w:cs="Times New Roman"/>
        </w:rPr>
      </w:pPr>
      <w:r w:rsidRPr="00B67543">
        <w:rPr>
          <w:rFonts w:ascii="Times New Roman" w:hAnsi="Times New Roman" w:cs="Times New Roman"/>
        </w:rPr>
        <w:t xml:space="preserve">2AC </w:t>
      </w:r>
      <w:r w:rsidR="00726D86" w:rsidRPr="00B67543">
        <w:rPr>
          <w:rFonts w:ascii="Times New Roman" w:hAnsi="Times New Roman" w:cs="Times New Roman"/>
        </w:rPr>
        <w:t>IPR Link Turn</w:t>
      </w:r>
    </w:p>
    <w:p w14:paraId="2AE5B748" w14:textId="77777777" w:rsidR="002B6090" w:rsidRPr="00B67543" w:rsidRDefault="002B6090" w:rsidP="002B6090">
      <w:pPr>
        <w:rPr>
          <w:rStyle w:val="StyleStyleBold12pt"/>
        </w:rPr>
      </w:pPr>
      <w:r w:rsidRPr="00B67543">
        <w:rPr>
          <w:rStyle w:val="StyleStyleBold12pt"/>
        </w:rPr>
        <w:t xml:space="preserve">IPR creates new forms of capitalization </w:t>
      </w:r>
      <w:r w:rsidR="00EC050A" w:rsidRPr="00B67543">
        <w:rPr>
          <w:rStyle w:val="StyleStyleBold12pt"/>
        </w:rPr>
        <w:t>–</w:t>
      </w:r>
      <w:r w:rsidRPr="00B67543">
        <w:rPr>
          <w:rStyle w:val="StyleStyleBold12pt"/>
        </w:rPr>
        <w:t xml:space="preserve"> solves your impact</w:t>
      </w:r>
    </w:p>
    <w:p w14:paraId="49B4FD0A" w14:textId="77777777" w:rsidR="002B6090" w:rsidRPr="00B67543" w:rsidRDefault="002B6090" w:rsidP="002B6090">
      <w:pPr>
        <w:rPr>
          <w:b/>
          <w:sz w:val="24"/>
        </w:rPr>
      </w:pPr>
      <w:r w:rsidRPr="00B67543">
        <w:rPr>
          <w:rStyle w:val="StyleStyleBold12pt"/>
        </w:rPr>
        <w:t xml:space="preserve">Lemley 9 </w:t>
      </w:r>
      <w:r w:rsidRPr="00B67543">
        <w:t xml:space="preserve">Mark A. Lemley, William H. </w:t>
      </w:r>
      <w:proofErr w:type="spellStart"/>
      <w:r w:rsidRPr="00B67543">
        <w:t>Neukom</w:t>
      </w:r>
      <w:proofErr w:type="spellEnd"/>
      <w:r w:rsidRPr="00B67543">
        <w:t xml:space="preserve"> Professor, Stanford Law School; partner, </w:t>
      </w:r>
      <w:proofErr w:type="spellStart"/>
      <w:r w:rsidRPr="00B67543">
        <w:t>Durie</w:t>
      </w:r>
      <w:proofErr w:type="spellEnd"/>
      <w:r w:rsidRPr="00B67543">
        <w:t xml:space="preserve"> </w:t>
      </w:r>
      <w:proofErr w:type="spellStart"/>
      <w:r w:rsidRPr="00B67543">
        <w:t>Tangri</w:t>
      </w:r>
      <w:proofErr w:type="spellEnd"/>
      <w:r w:rsidRPr="00B67543">
        <w:t xml:space="preserve"> LLP, San Francisco</w:t>
      </w:r>
      <w:proofErr w:type="gramStart"/>
      <w:r w:rsidRPr="00B67543">
        <w:t xml:space="preserve">, </w:t>
      </w:r>
      <w:r w:rsidRPr="00B67543">
        <w:rPr>
          <w:sz w:val="12"/>
        </w:rPr>
        <w:t xml:space="preserve"> </w:t>
      </w:r>
      <w:r w:rsidRPr="00B67543">
        <w:t>California</w:t>
      </w:r>
      <w:proofErr w:type="gramEnd"/>
      <w:r w:rsidRPr="00B67543">
        <w:t xml:space="preserve"> “Intellectual Oligopoly: A Cautious Defense of Intellectual Oligopoly With  Fringe Competition.” John M. Olin Program in Law and </w:t>
      </w:r>
      <w:proofErr w:type="gramStart"/>
      <w:r w:rsidRPr="00B67543">
        <w:t xml:space="preserve">Economics </w:t>
      </w:r>
      <w:r w:rsidRPr="00B67543">
        <w:rPr>
          <w:sz w:val="12"/>
        </w:rPr>
        <w:t xml:space="preserve"> </w:t>
      </w:r>
      <w:r w:rsidRPr="00B67543">
        <w:t>Stanford</w:t>
      </w:r>
      <w:proofErr w:type="gramEnd"/>
      <w:r w:rsidRPr="00B67543">
        <w:t xml:space="preserve"> Law School </w:t>
      </w:r>
      <w:r w:rsidRPr="00B67543">
        <w:rPr>
          <w:sz w:val="12"/>
        </w:rPr>
        <w:t xml:space="preserve"> </w:t>
      </w:r>
      <w:r w:rsidRPr="00B67543">
        <w:t xml:space="preserve">Working Paper No. 374. May 2009. </w:t>
      </w:r>
      <w:hyperlink r:id="rId11" w:history="1">
        <w:r w:rsidRPr="00B67543">
          <w:t>http://media.law.stanford.edu/publications/archive/pdf/Lemley%20Oligopoly.pdf</w:t>
        </w:r>
      </w:hyperlink>
      <w:r w:rsidRPr="00B67543">
        <w:t>)</w:t>
      </w:r>
    </w:p>
    <w:p w14:paraId="3F5C3EEA" w14:textId="77777777" w:rsidR="00876DC6" w:rsidRPr="00B67543" w:rsidRDefault="002B6090" w:rsidP="00876DC6">
      <w:r w:rsidRPr="00B67543">
        <w:t xml:space="preserve">Michele Boldrin and David Levine </w:t>
      </w:r>
    </w:p>
    <w:p w14:paraId="50E663BC" w14:textId="77777777" w:rsidR="00876DC6" w:rsidRPr="00B67543" w:rsidRDefault="00876DC6" w:rsidP="00876DC6">
      <w:r w:rsidRPr="00B67543">
        <w:t>AND</w:t>
      </w:r>
    </w:p>
    <w:p w14:paraId="318CFD23" w14:textId="77777777" w:rsidR="002B6090" w:rsidRPr="00B67543" w:rsidRDefault="002B6090" w:rsidP="00876DC6">
      <w:proofErr w:type="gramStart"/>
      <w:r w:rsidRPr="00B67543">
        <w:t>against</w:t>
      </w:r>
      <w:proofErr w:type="gramEnd"/>
      <w:r w:rsidRPr="00B67543">
        <w:t xml:space="preserve"> a blanket condemnation of IP.9</w:t>
      </w:r>
    </w:p>
    <w:p w14:paraId="08D7F964" w14:textId="77777777" w:rsidR="002B6090" w:rsidRPr="00B67543" w:rsidRDefault="002B6090" w:rsidP="002B6090"/>
    <w:p w14:paraId="6087245A" w14:textId="77777777" w:rsidR="002B6090" w:rsidRPr="00B67543" w:rsidRDefault="002B6090" w:rsidP="002B6090">
      <w:pPr>
        <w:rPr>
          <w:rStyle w:val="StyleStyleBold12pt"/>
        </w:rPr>
      </w:pPr>
      <w:r w:rsidRPr="00B67543">
        <w:rPr>
          <w:rStyle w:val="StyleStyleBold12pt"/>
        </w:rPr>
        <w:t>IPR solves your impacts – it’s the most ethical</w:t>
      </w:r>
    </w:p>
    <w:p w14:paraId="3B8A8549" w14:textId="77777777" w:rsidR="002B6090" w:rsidRPr="00B67543" w:rsidRDefault="002B6090" w:rsidP="002B6090">
      <w:pPr>
        <w:rPr>
          <w:b/>
          <w:sz w:val="24"/>
        </w:rPr>
      </w:pPr>
      <w:r w:rsidRPr="00B67543">
        <w:rPr>
          <w:rStyle w:val="StyleStyleBold12pt"/>
        </w:rPr>
        <w:t xml:space="preserve">May et al 13 </w:t>
      </w:r>
      <w:r w:rsidRPr="00B67543">
        <w:t xml:space="preserve">(Randolph J. May is President of the Free State Foundation, an independent, </w:t>
      </w:r>
      <w:proofErr w:type="gramStart"/>
      <w:r w:rsidRPr="00B67543">
        <w:t>nonpartisan  free</w:t>
      </w:r>
      <w:proofErr w:type="gramEnd"/>
      <w:r w:rsidRPr="00B67543">
        <w:t xml:space="preserve"> market-oriented think tank located in Rockville, Maryland. Seth L. Cooper is a Research Fellow of the Free State Foundation. “The Constitution's Approach to Copyright:  Anti-Monopoly, Pro-Intellectual Property Rights.” </w:t>
      </w:r>
      <w:proofErr w:type="gramStart"/>
      <w:r w:rsidRPr="00B67543">
        <w:t>Perspectives from FSF Scholars August 26, 2013 Vol. 8, No. 20.</w:t>
      </w:r>
      <w:proofErr w:type="gramEnd"/>
      <w:r w:rsidRPr="00B67543">
        <w:t xml:space="preserve"> The Free State Foundation (think tank based in Maryland). 8/26/2013. </w:t>
      </w:r>
      <w:hyperlink r:id="rId12" w:history="1">
        <w:r w:rsidRPr="00B67543">
          <w:t>http://www.freestatefoundation.org/images/The_Constitution_s_Approach_to_Copyright_-_Anti-Monopoly,_Pro-Intellectual_Property_Rights_082313.pdf</w:t>
        </w:r>
      </w:hyperlink>
      <w:r w:rsidRPr="00B67543">
        <w:t>)</w:t>
      </w:r>
    </w:p>
    <w:p w14:paraId="4C280D46" w14:textId="77777777" w:rsidR="00876DC6" w:rsidRPr="00B67543" w:rsidRDefault="002B6090" w:rsidP="00876DC6">
      <w:r w:rsidRPr="00B67543">
        <w:t xml:space="preserve">Conclusion Copyright and patent </w:t>
      </w:r>
    </w:p>
    <w:p w14:paraId="37920268" w14:textId="77777777" w:rsidR="00876DC6" w:rsidRPr="00B67543" w:rsidRDefault="00876DC6" w:rsidP="00876DC6">
      <w:r w:rsidRPr="00B67543">
        <w:t>AND</w:t>
      </w:r>
    </w:p>
    <w:p w14:paraId="777330A9" w14:textId="77777777" w:rsidR="002B6090" w:rsidRPr="00B67543" w:rsidRDefault="002B6090" w:rsidP="00876DC6">
      <w:proofErr w:type="gramStart"/>
      <w:r w:rsidRPr="00B67543">
        <w:t>anti</w:t>
      </w:r>
      <w:proofErr w:type="gramEnd"/>
      <w:r w:rsidRPr="00B67543">
        <w:t>-monopoly, pro-IP rights outlook.</w:t>
      </w:r>
    </w:p>
    <w:p w14:paraId="191EBE48" w14:textId="77777777" w:rsidR="00187ED5" w:rsidRPr="00B67543" w:rsidRDefault="002B6090" w:rsidP="00876DC6">
      <w:pPr>
        <w:pStyle w:val="Heading2"/>
        <w:rPr>
          <w:rStyle w:val="StyleStyleBold12pt"/>
          <w:rFonts w:ascii="Times New Roman" w:hAnsi="Times New Roman" w:cs="Times New Roman"/>
          <w:b/>
          <w:sz w:val="44"/>
          <w:u w:val="double"/>
        </w:rPr>
      </w:pPr>
      <w:r w:rsidRPr="00B67543">
        <w:rPr>
          <w:rFonts w:ascii="Times New Roman" w:hAnsi="Times New Roman" w:cs="Times New Roman"/>
        </w:rPr>
        <w:t>2AC Security</w:t>
      </w:r>
    </w:p>
    <w:p w14:paraId="4B767F70" w14:textId="77777777" w:rsidR="00412CB2" w:rsidRPr="00B67543" w:rsidRDefault="00412CB2" w:rsidP="00412CB2">
      <w:pPr>
        <w:rPr>
          <w:rStyle w:val="StyleStyleBold12pt"/>
        </w:rPr>
      </w:pPr>
      <w:r w:rsidRPr="00B67543">
        <w:rPr>
          <w:rStyle w:val="StyleStyleBold12pt"/>
        </w:rPr>
        <w:t>Making specific demands of government accountability is politically productive – Latin America proves</w:t>
      </w:r>
    </w:p>
    <w:p w14:paraId="1C03B6C5" w14:textId="77777777" w:rsidR="00412CB2" w:rsidRPr="00B67543" w:rsidRDefault="00412CB2" w:rsidP="00412CB2">
      <w:r w:rsidRPr="00B67543">
        <w:rPr>
          <w:rStyle w:val="StyleStyleBold12pt"/>
        </w:rPr>
        <w:t>Coronel 94</w:t>
      </w:r>
      <w:r w:rsidRPr="00B67543">
        <w:t xml:space="preserve"> Sheila, PhD, Columbia, 94 [THE ROLE OF THE MEDIA IN DEEPENING DEMOCRACY,” http://unpan1.un.org/intradoc/groups/public/documents/un/unpan010194.pdf]</w:t>
      </w:r>
    </w:p>
    <w:p w14:paraId="55875731" w14:textId="77777777" w:rsidR="00876DC6" w:rsidRPr="00B67543" w:rsidRDefault="00412CB2" w:rsidP="00876DC6">
      <w:r w:rsidRPr="00B67543">
        <w:t>IV. GOOD PRACTICES: HOW THE MEDIA HAVE PROMOTED DEMOCRACY AND GOOD</w:t>
      </w:r>
      <w:r w:rsidRPr="00B67543">
        <w:rPr>
          <w:sz w:val="12"/>
        </w:rPr>
        <w:t xml:space="preserve"> </w:t>
      </w:r>
      <w:r w:rsidRPr="00B67543">
        <w:t>GOVERNANCE</w:t>
      </w:r>
      <w:r w:rsidRPr="00B67543">
        <w:rPr>
          <w:sz w:val="12"/>
        </w:rPr>
        <w:t xml:space="preserve"> </w:t>
      </w:r>
      <w:r w:rsidRPr="00B67543">
        <w:t xml:space="preserve">IN MANY NEW democracies, </w:t>
      </w:r>
    </w:p>
    <w:p w14:paraId="4428D269" w14:textId="77777777" w:rsidR="00876DC6" w:rsidRPr="00B67543" w:rsidRDefault="00876DC6" w:rsidP="00876DC6">
      <w:r w:rsidRPr="00B67543">
        <w:t>AND</w:t>
      </w:r>
    </w:p>
    <w:p w14:paraId="6D1CD74A" w14:textId="77777777" w:rsidR="00412CB2" w:rsidRPr="00B67543" w:rsidRDefault="00412CB2" w:rsidP="00876DC6">
      <w:proofErr w:type="gramStart"/>
      <w:r w:rsidRPr="00B67543">
        <w:t>bring</w:t>
      </w:r>
      <w:proofErr w:type="gramEnd"/>
      <w:r w:rsidRPr="00B67543">
        <w:t xml:space="preserve"> down governments.</w:t>
      </w:r>
    </w:p>
    <w:p w14:paraId="067C2739" w14:textId="77777777" w:rsidR="002B6090" w:rsidRPr="00B67543" w:rsidRDefault="002B6090" w:rsidP="002B6090">
      <w:pPr>
        <w:rPr>
          <w:rStyle w:val="StyleStyleBold12pt"/>
        </w:rPr>
      </w:pPr>
    </w:p>
    <w:p w14:paraId="63F97A90" w14:textId="77777777" w:rsidR="00187ED5" w:rsidRPr="00B67543" w:rsidRDefault="00187ED5" w:rsidP="00187ED5">
      <w:pPr>
        <w:rPr>
          <w:rStyle w:val="StyleStyleBold12pt"/>
        </w:rPr>
      </w:pPr>
      <w:r w:rsidRPr="00B67543">
        <w:rPr>
          <w:rStyle w:val="StyleStyleBold12pt"/>
        </w:rPr>
        <w:t>Our epistemology is accurate and shouldn’t be prioritized</w:t>
      </w:r>
    </w:p>
    <w:p w14:paraId="74DFE3BD" w14:textId="77777777" w:rsidR="00187ED5" w:rsidRPr="00B67543" w:rsidRDefault="00187ED5" w:rsidP="00187ED5">
      <w:r w:rsidRPr="00B67543">
        <w:rPr>
          <w:rStyle w:val="StyleStyleBold12pt"/>
        </w:rPr>
        <w:t>Wendt 98</w:t>
      </w:r>
      <w:r w:rsidRPr="00B67543">
        <w:t xml:space="preserve"> (professor of international security – Ohio State University, Alexander, </w:t>
      </w:r>
      <w:r w:rsidRPr="00B67543">
        <w:rPr>
          <w:bCs/>
        </w:rPr>
        <w:t>“On Constitution and Causation in International Relations,” British International Studies Association)</w:t>
      </w:r>
      <w:r w:rsidRPr="00B67543">
        <w:rPr>
          <w:bCs/>
          <w:i/>
          <w:iCs/>
        </w:rPr>
        <w:t xml:space="preserve"> </w:t>
      </w:r>
    </w:p>
    <w:p w14:paraId="4C30CC69" w14:textId="77777777" w:rsidR="00EC31E5" w:rsidRPr="00B67543" w:rsidRDefault="00187ED5" w:rsidP="00EC31E5">
      <w:r w:rsidRPr="00B67543">
        <w:t xml:space="preserve">As a community, we in the academic study of international politics </w:t>
      </w:r>
    </w:p>
    <w:p w14:paraId="071EB0A3" w14:textId="77777777" w:rsidR="00EC31E5" w:rsidRPr="00B67543" w:rsidRDefault="00EC31E5" w:rsidP="00EC31E5">
      <w:r w:rsidRPr="00B67543">
        <w:t>AND</w:t>
      </w:r>
    </w:p>
    <w:p w14:paraId="3F6B248C" w14:textId="77777777" w:rsidR="00187ED5" w:rsidRPr="00B67543" w:rsidRDefault="00187ED5" w:rsidP="00EC31E5">
      <w:proofErr w:type="gramStart"/>
      <w:r w:rsidRPr="00B67543">
        <w:t>intolerant</w:t>
      </w:r>
      <w:proofErr w:type="gramEnd"/>
      <w:r w:rsidRPr="00B67543">
        <w:t xml:space="preserve"> caricatures of science.</w:t>
      </w:r>
    </w:p>
    <w:p w14:paraId="0C65E5B4" w14:textId="77777777" w:rsidR="002B6090" w:rsidRPr="00B67543" w:rsidRDefault="002B6090" w:rsidP="002B6090">
      <w:pPr>
        <w:rPr>
          <w:rStyle w:val="StyleStyleBold12pt"/>
        </w:rPr>
      </w:pPr>
    </w:p>
    <w:p w14:paraId="3C29F1DF" w14:textId="77777777" w:rsidR="002B6090" w:rsidRPr="00B67543" w:rsidRDefault="002B6090" w:rsidP="002B6090">
      <w:pPr>
        <w:rPr>
          <w:rStyle w:val="StyleStyleBold12pt"/>
        </w:rPr>
      </w:pPr>
      <w:r w:rsidRPr="00B67543">
        <w:rPr>
          <w:rStyle w:val="StyleStyleBold12pt"/>
        </w:rPr>
        <w:t>Securitizing in the context of Mexican economic engagement is good</w:t>
      </w:r>
    </w:p>
    <w:p w14:paraId="3030DCCB" w14:textId="77777777" w:rsidR="002B6090" w:rsidRPr="00B67543" w:rsidRDefault="002B6090" w:rsidP="002B6090">
      <w:pPr>
        <w:rPr>
          <w:sz w:val="16"/>
        </w:rPr>
      </w:pPr>
      <w:r w:rsidRPr="00B67543">
        <w:rPr>
          <w:rStyle w:val="StyleStyleBold12pt"/>
        </w:rPr>
        <w:t>Acosta et al 12</w:t>
      </w:r>
      <w:r w:rsidRPr="00B67543">
        <w:t xml:space="preserve"> (April 1st, 2012, </w:t>
      </w:r>
      <w:proofErr w:type="spellStart"/>
      <w:r w:rsidRPr="00B67543">
        <w:t>Mariaclaire</w:t>
      </w:r>
      <w:proofErr w:type="spellEnd"/>
      <w:r w:rsidRPr="00B67543">
        <w:t xml:space="preserve">, Project Director, Freedom House – Mexico, Bill Bratton, Chairman, Kroll Advisory Solutions, former Chief of the Los Angeles Police Department and former New York City Police Commissioner, </w:t>
      </w:r>
      <w:proofErr w:type="spellStart"/>
      <w:r w:rsidRPr="00B67543">
        <w:t>Geo</w:t>
      </w:r>
      <w:r w:rsidRPr="00B67543">
        <w:softHyphen/>
        <w:t>rey</w:t>
      </w:r>
      <w:proofErr w:type="spellEnd"/>
      <w:r w:rsidRPr="00B67543">
        <w:t xml:space="preserve"> Cowan, President, The Annenberg Foundation Trust at </w:t>
      </w:r>
      <w:proofErr w:type="spellStart"/>
      <w:r w:rsidRPr="00B67543">
        <w:t>Sunnylands</w:t>
      </w:r>
      <w:proofErr w:type="spellEnd"/>
      <w:r w:rsidRPr="00B67543">
        <w:t xml:space="preserve">, John </w:t>
      </w:r>
      <w:proofErr w:type="spellStart"/>
      <w:r w:rsidRPr="00B67543">
        <w:t>Engler</w:t>
      </w:r>
      <w:proofErr w:type="spellEnd"/>
      <w:r w:rsidRPr="00B67543">
        <w:t xml:space="preserve">, President, Business Roundtable, former Governor of Michigan, “Policy Recommendations for U.S.-Mexico Relations” Annenberg Retreat with the Woodrow Wilson International Center for Scholars, </w:t>
      </w:r>
      <w:hyperlink r:id="rId13" w:history="1">
        <w:r w:rsidRPr="00B67543">
          <w:t>http://sunnylands.org/files/posts/159/stronger_f.pdf</w:t>
        </w:r>
      </w:hyperlink>
      <w:r w:rsidRPr="00B67543">
        <w:t>)</w:t>
      </w:r>
    </w:p>
    <w:p w14:paraId="5D9316FC" w14:textId="77777777" w:rsidR="00EC31E5" w:rsidRPr="00B67543" w:rsidRDefault="002B6090" w:rsidP="00EC31E5">
      <w:r w:rsidRPr="00B67543">
        <w:t xml:space="preserve">The U.S.-Mexico relationship </w:t>
      </w:r>
    </w:p>
    <w:p w14:paraId="6EE5A712" w14:textId="77777777" w:rsidR="00EC31E5" w:rsidRPr="00B67543" w:rsidRDefault="00EC31E5" w:rsidP="00EC31E5">
      <w:r w:rsidRPr="00B67543">
        <w:t>AND</w:t>
      </w:r>
    </w:p>
    <w:p w14:paraId="7B476275" w14:textId="77777777" w:rsidR="002B6090" w:rsidRPr="00B67543" w:rsidRDefault="002B6090" w:rsidP="00EC31E5">
      <w:proofErr w:type="gramStart"/>
      <w:r w:rsidRPr="00B67543">
        <w:t>simultaneous</w:t>
      </w:r>
      <w:proofErr w:type="gramEnd"/>
      <w:r w:rsidRPr="00B67543">
        <w:t xml:space="preserve"> election years in 2000.</w:t>
      </w:r>
    </w:p>
    <w:p w14:paraId="7C992BB2" w14:textId="77777777" w:rsidR="002B6090" w:rsidRPr="00B67543" w:rsidRDefault="002B6090" w:rsidP="002B6090">
      <w:pPr>
        <w:rPr>
          <w:rStyle w:val="StyleStyleBold12pt"/>
        </w:rPr>
      </w:pPr>
    </w:p>
    <w:p w14:paraId="1B2E3BFC" w14:textId="77777777" w:rsidR="002B6090" w:rsidRPr="00B67543" w:rsidRDefault="002B6090" w:rsidP="002B6090">
      <w:pPr>
        <w:rPr>
          <w:rStyle w:val="StyleStyleBold12pt"/>
        </w:rPr>
      </w:pPr>
      <w:r w:rsidRPr="00B67543">
        <w:rPr>
          <w:rStyle w:val="StyleStyleBold12pt"/>
        </w:rPr>
        <w:t>Threats real and not constructed – rational risk assessment goes aff</w:t>
      </w:r>
    </w:p>
    <w:p w14:paraId="57BFF0D0" w14:textId="77777777" w:rsidR="002B6090" w:rsidRPr="00B67543" w:rsidRDefault="002B6090" w:rsidP="002B6090">
      <w:r w:rsidRPr="00B67543">
        <w:rPr>
          <w:rStyle w:val="StyleStyleBold12pt"/>
        </w:rPr>
        <w:t>Knudsen 1</w:t>
      </w:r>
      <w:r w:rsidRPr="00B67543">
        <w:t xml:space="preserve"> </w:t>
      </w:r>
      <w:proofErr w:type="spellStart"/>
      <w:r w:rsidRPr="00B67543">
        <w:t>PoliSci</w:t>
      </w:r>
      <w:proofErr w:type="spellEnd"/>
      <w:r w:rsidRPr="00B67543">
        <w:t xml:space="preserve"> Professor at </w:t>
      </w:r>
      <w:proofErr w:type="spellStart"/>
      <w:r w:rsidRPr="00B67543">
        <w:t>Sodertorn</w:t>
      </w:r>
      <w:proofErr w:type="spellEnd"/>
      <w:r w:rsidRPr="00B67543">
        <w:t xml:space="preserve"> (Olav, Post-Copenhagen Security Studies, Security Dialogue 32:3)</w:t>
      </w:r>
    </w:p>
    <w:p w14:paraId="7986333A" w14:textId="77777777" w:rsidR="00EC31E5" w:rsidRPr="00B67543" w:rsidRDefault="002B6090" w:rsidP="00EC31E5">
      <w:r w:rsidRPr="00B67543">
        <w:t xml:space="preserve">Moreover, I have a problem with </w:t>
      </w:r>
    </w:p>
    <w:p w14:paraId="2C6825D7" w14:textId="77777777" w:rsidR="00EC31E5" w:rsidRPr="00B67543" w:rsidRDefault="00EC31E5" w:rsidP="00EC31E5">
      <w:r w:rsidRPr="00B67543">
        <w:t>AND</w:t>
      </w:r>
    </w:p>
    <w:p w14:paraId="328086FE" w14:textId="77777777" w:rsidR="002B6090" w:rsidRPr="00B67543" w:rsidRDefault="002B6090" w:rsidP="00EC31E5">
      <w:proofErr w:type="gramStart"/>
      <w:r w:rsidRPr="00B67543">
        <w:t>democratic</w:t>
      </w:r>
      <w:proofErr w:type="gramEnd"/>
      <w:r w:rsidRPr="00B67543">
        <w:t xml:space="preserve"> procedures for dealing with them.</w:t>
      </w:r>
    </w:p>
    <w:p w14:paraId="07C7889B" w14:textId="77777777" w:rsidR="002B6090" w:rsidRPr="00B67543" w:rsidRDefault="002B6090" w:rsidP="002B6090">
      <w:pPr>
        <w:rPr>
          <w:rStyle w:val="StyleStyleBold12pt"/>
        </w:rPr>
      </w:pPr>
    </w:p>
    <w:p w14:paraId="0CD05CFB" w14:textId="77777777" w:rsidR="002B6090" w:rsidRPr="00B67543" w:rsidRDefault="002B6090" w:rsidP="002B6090">
      <w:pPr>
        <w:rPr>
          <w:rStyle w:val="StyleStyleBold12pt"/>
        </w:rPr>
      </w:pPr>
      <w:r w:rsidRPr="00B67543">
        <w:rPr>
          <w:rStyle w:val="StyleStyleBold12pt"/>
        </w:rPr>
        <w:t xml:space="preserve">Securitized rhetoric of disease is good – only way to create an effective public response </w:t>
      </w:r>
    </w:p>
    <w:p w14:paraId="308BC547" w14:textId="77777777" w:rsidR="002B6090" w:rsidRPr="00B67543" w:rsidRDefault="002B6090" w:rsidP="002B6090">
      <w:pPr>
        <w:rPr>
          <w:b/>
          <w:bCs/>
          <w:sz w:val="24"/>
        </w:rPr>
      </w:pPr>
      <w:proofErr w:type="spellStart"/>
      <w:r w:rsidRPr="00B67543">
        <w:rPr>
          <w:rStyle w:val="StyleStyleBold12pt"/>
        </w:rPr>
        <w:t>Selgelid</w:t>
      </w:r>
      <w:proofErr w:type="spellEnd"/>
      <w:r w:rsidRPr="00B67543">
        <w:rPr>
          <w:rStyle w:val="StyleStyleBold12pt"/>
        </w:rPr>
        <w:t xml:space="preserve"> and </w:t>
      </w:r>
      <w:proofErr w:type="spellStart"/>
      <w:r w:rsidRPr="00B67543">
        <w:rPr>
          <w:rStyle w:val="StyleStyleBold12pt"/>
        </w:rPr>
        <w:t>Enemark</w:t>
      </w:r>
      <w:proofErr w:type="spellEnd"/>
      <w:r w:rsidRPr="00B67543">
        <w:rPr>
          <w:rStyle w:val="StyleStyleBold12pt"/>
        </w:rPr>
        <w:t xml:space="preserve"> 08 </w:t>
      </w:r>
      <w:r w:rsidRPr="00B67543">
        <w:t xml:space="preserve">(Michael J, Christian. (Senior Research Fellow for Applied Philosophy and Public Ethics. </w:t>
      </w:r>
      <w:proofErr w:type="spellStart"/>
      <w:r w:rsidRPr="00B67543">
        <w:t>Enemark</w:t>
      </w:r>
      <w:proofErr w:type="spellEnd"/>
      <w:r w:rsidRPr="00B67543">
        <w:t xml:space="preserve"> is Lecturer in International Security, U of Sydney, and Visiting Fellow at John Curtin School of Medical </w:t>
      </w:r>
      <w:proofErr w:type="gramStart"/>
      <w:r w:rsidRPr="00B67543">
        <w:t>Research )</w:t>
      </w:r>
      <w:proofErr w:type="gramEnd"/>
      <w:r w:rsidRPr="00B67543">
        <w:t xml:space="preserve"> “Infectious Diseases, Security and Ethics: The Case of HIV/AIDS” Bioethics Volume 22, Number 9 </w:t>
      </w:r>
      <w:proofErr w:type="spellStart"/>
      <w:r w:rsidRPr="00B67543">
        <w:t>pp</w:t>
      </w:r>
      <w:proofErr w:type="spellEnd"/>
      <w:r w:rsidRPr="00B67543">
        <w:t xml:space="preserve"> 457-465)</w:t>
      </w:r>
    </w:p>
    <w:p w14:paraId="7D1C0231" w14:textId="77777777" w:rsidR="00EC31E5" w:rsidRPr="00B67543" w:rsidRDefault="002B6090" w:rsidP="00EC31E5">
      <w:r w:rsidRPr="00B67543">
        <w:t xml:space="preserve">The passage in 2000 of </w:t>
      </w:r>
    </w:p>
    <w:p w14:paraId="368D03FE" w14:textId="77777777" w:rsidR="00EC31E5" w:rsidRPr="00B67543" w:rsidRDefault="00EC31E5" w:rsidP="00EC31E5">
      <w:r w:rsidRPr="00B67543">
        <w:t>AND</w:t>
      </w:r>
    </w:p>
    <w:p w14:paraId="5ADEFA38" w14:textId="77777777" w:rsidR="002B6090" w:rsidRPr="00B67543" w:rsidRDefault="002B6090" w:rsidP="00EC31E5">
      <w:proofErr w:type="gramStart"/>
      <w:r w:rsidRPr="00B67543">
        <w:t>of</w:t>
      </w:r>
      <w:proofErr w:type="gramEnd"/>
      <w:r w:rsidRPr="00B67543">
        <w:t xml:space="preserve"> countries severely affected’.3</w:t>
      </w:r>
    </w:p>
    <w:p w14:paraId="3732131B" w14:textId="77777777" w:rsidR="002B6090" w:rsidRPr="00B67543" w:rsidRDefault="002B6090" w:rsidP="002B6090">
      <w:pPr>
        <w:rPr>
          <w:rStyle w:val="StyleStyleBold12pt"/>
        </w:rPr>
      </w:pPr>
    </w:p>
    <w:p w14:paraId="1713C7B5" w14:textId="77777777" w:rsidR="002B6090" w:rsidRPr="00B67543" w:rsidRDefault="002B6090" w:rsidP="002B6090">
      <w:pPr>
        <w:rPr>
          <w:rStyle w:val="StyleStyleBold12pt"/>
        </w:rPr>
      </w:pPr>
      <w:r w:rsidRPr="00B67543">
        <w:rPr>
          <w:rStyle w:val="StyleStyleBold12pt"/>
        </w:rPr>
        <w:t>China is a real threat that must be securitized against</w:t>
      </w:r>
    </w:p>
    <w:p w14:paraId="6CE11682" w14:textId="77777777" w:rsidR="002B6090" w:rsidRPr="00B67543" w:rsidRDefault="002B6090" w:rsidP="002B6090">
      <w:r w:rsidRPr="00B67543">
        <w:rPr>
          <w:rStyle w:val="StyleStyleBold12pt"/>
        </w:rPr>
        <w:t>Blumenthal et al 11</w:t>
      </w:r>
      <w:r w:rsidRPr="00B67543">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http://shadow.foreignpolicy.com/posts/2011/09/06/avoiding_armageddon_with_china</w:t>
      </w:r>
      <w:proofErr w:type="gramStart"/>
      <w:r w:rsidRPr="00B67543">
        <w:t>?wpisrc</w:t>
      </w:r>
      <w:proofErr w:type="gramEnd"/>
      <w:r w:rsidRPr="00B67543">
        <w:t>=obinsite)</w:t>
      </w:r>
    </w:p>
    <w:p w14:paraId="12297C6E" w14:textId="77777777" w:rsidR="00EC31E5" w:rsidRPr="00B67543" w:rsidRDefault="002B6090" w:rsidP="00EC31E5">
      <w:r w:rsidRPr="00B67543">
        <w:t xml:space="preserve">The balancing and hedging strategy </w:t>
      </w:r>
    </w:p>
    <w:p w14:paraId="5C973D89" w14:textId="77777777" w:rsidR="00EC31E5" w:rsidRPr="00B67543" w:rsidRDefault="00EC31E5" w:rsidP="00EC31E5">
      <w:r w:rsidRPr="00B67543">
        <w:t>AND</w:t>
      </w:r>
    </w:p>
    <w:p w14:paraId="312085BD" w14:textId="77777777" w:rsidR="002B6090" w:rsidRPr="00B67543" w:rsidRDefault="002B6090" w:rsidP="00EC31E5">
      <w:proofErr w:type="gramStart"/>
      <w:r w:rsidRPr="00B67543">
        <w:t>would</w:t>
      </w:r>
      <w:proofErr w:type="gramEnd"/>
      <w:r w:rsidRPr="00B67543">
        <w:t xml:space="preserve"> lead to Armageddon. </w:t>
      </w:r>
    </w:p>
    <w:p w14:paraId="47B77CC0" w14:textId="77777777" w:rsidR="002B6090" w:rsidRPr="00B67543" w:rsidRDefault="002B6090" w:rsidP="002B6090">
      <w:pPr>
        <w:rPr>
          <w:rStyle w:val="StyleStyleBold12pt"/>
        </w:rPr>
      </w:pPr>
    </w:p>
    <w:p w14:paraId="6539AA77" w14:textId="77777777" w:rsidR="002B6090" w:rsidRPr="00B67543" w:rsidRDefault="002B6090" w:rsidP="002B6090">
      <w:pPr>
        <w:rPr>
          <w:rStyle w:val="StyleStyleBold12pt"/>
        </w:rPr>
      </w:pPr>
      <w:r w:rsidRPr="00B67543">
        <w:rPr>
          <w:rStyle w:val="StyleStyleBold12pt"/>
        </w:rPr>
        <w:t xml:space="preserve">They’ve overdetermined the role of epistemology – even if threats are socially constructed, that construction is still real.  Their critical authors are equally guilty of the same epistemological bias and you should reject the </w:t>
      </w:r>
      <w:proofErr w:type="spellStart"/>
      <w:r w:rsidRPr="00B67543">
        <w:rPr>
          <w:rStyle w:val="StyleStyleBold12pt"/>
        </w:rPr>
        <w:t>neg’s</w:t>
      </w:r>
      <w:proofErr w:type="spellEnd"/>
      <w:r w:rsidRPr="00B67543">
        <w:rPr>
          <w:rStyle w:val="StyleStyleBold12pt"/>
        </w:rPr>
        <w:t xml:space="preserve"> methodology for not being specific enough to 1ac claims</w:t>
      </w:r>
    </w:p>
    <w:p w14:paraId="704D7377" w14:textId="77777777" w:rsidR="002B6090" w:rsidRPr="00B67543" w:rsidRDefault="002B6090" w:rsidP="002B6090">
      <w:pPr>
        <w:rPr>
          <w:rFonts w:eastAsia="Cambria"/>
        </w:rPr>
      </w:pPr>
      <w:r w:rsidRPr="00B67543">
        <w:rPr>
          <w:rStyle w:val="StyleStyleBold12pt"/>
        </w:rPr>
        <w:t>Lipshutz 2011</w:t>
      </w:r>
      <w:r w:rsidRPr="00B67543">
        <w:t xml:space="preserve"> (Prof of Politics at UC Santa Cruz, speaking after hearing a policy debate in which the affirmative read a straight up policy aff and the negative read a security criticism (Ronnie, Speaking about the final round at the California Round Robin, Feb 18, Accessed here: </w:t>
      </w:r>
      <w:hyperlink r:id="rId14" w:history="1">
        <w:r w:rsidRPr="00B67543">
          <w:t>http://nfltv.org/2011/02/24/cal-round-robin-policy/</w:t>
        </w:r>
      </w:hyperlink>
      <w:r w:rsidRPr="00B67543">
        <w:t>)</w:t>
      </w:r>
    </w:p>
    <w:p w14:paraId="66538D12" w14:textId="77777777" w:rsidR="00EC31E5" w:rsidRPr="00B67543" w:rsidRDefault="002B6090" w:rsidP="002B6090">
      <w:r w:rsidRPr="00B67543">
        <w:t xml:space="preserve">RONNIE LIPSCHUTZ: Well, many </w:t>
      </w:r>
      <w:proofErr w:type="spellStart"/>
      <w:r w:rsidRPr="00B67543">
        <w:t>many</w:t>
      </w:r>
      <w:proofErr w:type="spellEnd"/>
      <w:r w:rsidRPr="00B67543">
        <w:t xml:space="preserve"> years ago</w:t>
      </w:r>
    </w:p>
    <w:p w14:paraId="2E57DAA9" w14:textId="77777777" w:rsidR="00EC31E5" w:rsidRPr="00B67543" w:rsidRDefault="00EC31E5" w:rsidP="002B6090">
      <w:r w:rsidRPr="00B67543">
        <w:t>AND</w:t>
      </w:r>
    </w:p>
    <w:p w14:paraId="7B6C472E" w14:textId="77777777" w:rsidR="002B6090" w:rsidRPr="00B67543" w:rsidRDefault="002B6090" w:rsidP="002B6090">
      <w:pPr>
        <w:rPr>
          <w:rStyle w:val="StyleBoldUnderline"/>
        </w:rPr>
      </w:pPr>
      <w:r w:rsidRPr="00B67543">
        <w:t xml:space="preserve"> </w:t>
      </w:r>
      <w:proofErr w:type="gramStart"/>
      <w:r w:rsidRPr="00B67543">
        <w:t>probably</w:t>
      </w:r>
      <w:proofErr w:type="gramEnd"/>
      <w:r w:rsidRPr="00B67543">
        <w:t xml:space="preserve"> take a look at Bourdieu. I’m done.</w:t>
      </w:r>
      <w:r w:rsidRPr="00B67543">
        <w:rPr>
          <w:rStyle w:val="StyleBoldUnderline"/>
        </w:rPr>
        <w:t xml:space="preserve"> </w:t>
      </w:r>
    </w:p>
    <w:p w14:paraId="03F39BFC" w14:textId="77777777" w:rsidR="002B6090" w:rsidRPr="00B67543" w:rsidRDefault="002B6090" w:rsidP="002B6090">
      <w:pPr>
        <w:rPr>
          <w:rStyle w:val="StyleStyleBold12pt"/>
        </w:rPr>
      </w:pPr>
    </w:p>
    <w:p w14:paraId="33B3D828" w14:textId="77777777" w:rsidR="002B6090" w:rsidRPr="00B67543" w:rsidRDefault="002B6090" w:rsidP="002B6090">
      <w:pPr>
        <w:rPr>
          <w:rStyle w:val="StyleStyleBold12pt"/>
        </w:rPr>
      </w:pPr>
      <w:r w:rsidRPr="00B67543">
        <w:rPr>
          <w:rStyle w:val="StyleStyleBold12pt"/>
        </w:rPr>
        <w:t xml:space="preserve">The plan gives security transformative potential – alt alone fails and their impact is false </w:t>
      </w:r>
    </w:p>
    <w:p w14:paraId="1578468F" w14:textId="77777777" w:rsidR="002B6090" w:rsidRPr="00B67543" w:rsidRDefault="002B6090" w:rsidP="002B6090">
      <w:proofErr w:type="spellStart"/>
      <w:r w:rsidRPr="00B67543">
        <w:rPr>
          <w:rStyle w:val="Heading4Char"/>
          <w:rFonts w:ascii="Times New Roman" w:eastAsiaTheme="minorHAnsi" w:hAnsi="Times New Roman" w:cs="Times New Roman"/>
          <w:sz w:val="24"/>
        </w:rPr>
        <w:t>Nunes</w:t>
      </w:r>
      <w:proofErr w:type="spellEnd"/>
      <w:r w:rsidRPr="00B67543">
        <w:rPr>
          <w:rStyle w:val="Heading4Char"/>
          <w:rFonts w:ascii="Times New Roman" w:eastAsiaTheme="minorHAnsi" w:hAnsi="Times New Roman" w:cs="Times New Roman"/>
          <w:sz w:val="24"/>
        </w:rPr>
        <w:t xml:space="preserve"> 12</w:t>
      </w:r>
      <w:r w:rsidRPr="00B67543">
        <w:t xml:space="preserve"> [Reclaiming the political: Emancipation and critique in security studies, </w:t>
      </w:r>
      <w:proofErr w:type="spellStart"/>
      <w:r w:rsidRPr="00B67543">
        <w:t>João</w:t>
      </w:r>
      <w:proofErr w:type="spellEnd"/>
      <w:r w:rsidRPr="00B67543">
        <w:t xml:space="preserve"> </w:t>
      </w:r>
      <w:proofErr w:type="spellStart"/>
      <w:r w:rsidRPr="00B67543">
        <w:t>Nunes</w:t>
      </w:r>
      <w:proofErr w:type="spellEnd"/>
      <w:r w:rsidRPr="00B67543">
        <w:t xml:space="preserve">, Security Dialogue 2012 43: 345,Politics and International Studies, University of Warwick, UK, p. sage publications] </w:t>
      </w:r>
    </w:p>
    <w:p w14:paraId="42378F20" w14:textId="77777777" w:rsidR="00EC31E5" w:rsidRPr="00B67543" w:rsidRDefault="002B6090" w:rsidP="00EC31E5">
      <w:r w:rsidRPr="00B67543">
        <w:t xml:space="preserve">In the works of these authors, one can identify </w:t>
      </w:r>
    </w:p>
    <w:p w14:paraId="687A9AC9" w14:textId="77777777" w:rsidR="00EC31E5" w:rsidRPr="00B67543" w:rsidRDefault="00EC31E5" w:rsidP="00EC31E5">
      <w:r w:rsidRPr="00B67543">
        <w:t>AND</w:t>
      </w:r>
    </w:p>
    <w:p w14:paraId="4290FAE5" w14:textId="77777777" w:rsidR="002B6090" w:rsidRPr="00B67543" w:rsidRDefault="002B6090" w:rsidP="00EC31E5">
      <w:proofErr w:type="gramStart"/>
      <w:r w:rsidRPr="00B67543">
        <w:t>revisits</w:t>
      </w:r>
      <w:proofErr w:type="gramEnd"/>
      <w:r w:rsidRPr="00B67543">
        <w:t xml:space="preserve"> emancipatory understandings of security.</w:t>
      </w:r>
    </w:p>
    <w:p w14:paraId="4EF5EFEB" w14:textId="77777777" w:rsidR="002B6090" w:rsidRPr="00B67543" w:rsidRDefault="002B6090" w:rsidP="002B6090">
      <w:pPr>
        <w:rPr>
          <w:rStyle w:val="StyleStyleBold12pt"/>
        </w:rPr>
      </w:pPr>
    </w:p>
    <w:p w14:paraId="4C01E436" w14:textId="77777777" w:rsidR="002B6090" w:rsidRPr="00B67543" w:rsidRDefault="002B6090" w:rsidP="002B6090">
      <w:pPr>
        <w:rPr>
          <w:rStyle w:val="StyleStyleBold12pt"/>
        </w:rPr>
      </w:pPr>
      <w:r w:rsidRPr="00B67543">
        <w:rPr>
          <w:rStyle w:val="StyleStyleBold12pt"/>
        </w:rPr>
        <w:t>Alt fails in worse security</w:t>
      </w:r>
    </w:p>
    <w:p w14:paraId="7F9CBD49" w14:textId="77777777" w:rsidR="002B6090" w:rsidRPr="00B67543" w:rsidRDefault="002B6090" w:rsidP="002B6090">
      <w:proofErr w:type="spellStart"/>
      <w:r w:rsidRPr="00B67543">
        <w:rPr>
          <w:rStyle w:val="StyleStyleBold12pt"/>
        </w:rPr>
        <w:t>Nunes</w:t>
      </w:r>
      <w:proofErr w:type="spellEnd"/>
      <w:r w:rsidRPr="00B67543">
        <w:rPr>
          <w:rStyle w:val="StyleStyleBold12pt"/>
        </w:rPr>
        <w:t xml:space="preserve"> 7</w:t>
      </w:r>
      <w:r w:rsidRPr="00B67543">
        <w:t xml:space="preserve"> (Joao Reis </w:t>
      </w:r>
      <w:proofErr w:type="spellStart"/>
      <w:r w:rsidRPr="00B67543">
        <w:t>Nunes</w:t>
      </w:r>
      <w:proofErr w:type="spellEnd"/>
      <w:r w:rsidRPr="00B67543">
        <w:t xml:space="preserve">, Marie Curie Fellow and Ph. D. Candidate in International Politics at University of Wales, </w:t>
      </w:r>
      <w:proofErr w:type="spellStart"/>
      <w:r w:rsidRPr="00B67543">
        <w:t>Aberystwyth</w:t>
      </w:r>
      <w:proofErr w:type="spellEnd"/>
      <w:r w:rsidRPr="00B67543">
        <w:t xml:space="preserve">, September 2007, “Politics, Security, Critical Theory: A Contribution to Current Debates on Security,” online: </w:t>
      </w:r>
      <w:hyperlink r:id="rId15" w:history="1">
        <w:r w:rsidRPr="00B67543">
          <w:t>http://archive.sgir.eu/uploads/Nunes-joaonunes-politicssecuritycriticaltheory.pdf</w:t>
        </w:r>
      </w:hyperlink>
      <w:r w:rsidRPr="00B67543">
        <w:t>)</w:t>
      </w:r>
    </w:p>
    <w:p w14:paraId="3B169946" w14:textId="77777777" w:rsidR="00EC31E5" w:rsidRPr="00B67543" w:rsidRDefault="002B6090" w:rsidP="00EC31E5">
      <w:r w:rsidRPr="00B67543">
        <w:t xml:space="preserve">Yet, not all of the proponents of </w:t>
      </w:r>
    </w:p>
    <w:p w14:paraId="6D02E0BA" w14:textId="77777777" w:rsidR="00EC31E5" w:rsidRPr="00B67543" w:rsidRDefault="00EC31E5" w:rsidP="00EC31E5">
      <w:r w:rsidRPr="00B67543">
        <w:t>AND</w:t>
      </w:r>
    </w:p>
    <w:p w14:paraId="227438A8" w14:textId="77777777" w:rsidR="002B6090" w:rsidRPr="00B67543" w:rsidRDefault="002B6090" w:rsidP="00EC31E5">
      <w:proofErr w:type="gramStart"/>
      <w:r w:rsidRPr="00B67543">
        <w:t>rational</w:t>
      </w:r>
      <w:proofErr w:type="gramEnd"/>
      <w:r w:rsidRPr="00B67543">
        <w:t xml:space="preserve"> that the others14. [CSS=Critical Security Studies]</w:t>
      </w:r>
    </w:p>
    <w:p w14:paraId="5FAE4CE3" w14:textId="77777777" w:rsidR="00B45FE9" w:rsidRPr="00B67543" w:rsidRDefault="00B45FE9" w:rsidP="00B67543">
      <w:pPr>
        <w:pStyle w:val="Heading2"/>
        <w:rPr>
          <w:rFonts w:ascii="Times New Roman" w:hAnsi="Times New Roman" w:cs="Times New Roman"/>
        </w:rPr>
      </w:pPr>
    </w:p>
    <w:p w14:paraId="3CC881B9" w14:textId="77777777" w:rsidR="00B67543" w:rsidRPr="00B67543" w:rsidRDefault="00B67543" w:rsidP="00B67543">
      <w:pPr>
        <w:pStyle w:val="Heading2"/>
        <w:rPr>
          <w:rFonts w:ascii="Times New Roman" w:hAnsi="Times New Roman" w:cs="Times New Roman"/>
        </w:rPr>
      </w:pPr>
      <w:r w:rsidRPr="00B67543">
        <w:rPr>
          <w:rFonts w:ascii="Times New Roman" w:hAnsi="Times New Roman" w:cs="Times New Roman"/>
        </w:rPr>
        <w:t>1AR</w:t>
      </w:r>
    </w:p>
    <w:p w14:paraId="73256734" w14:textId="77777777" w:rsidR="00B67543" w:rsidRPr="00B67543" w:rsidRDefault="00B67543" w:rsidP="00B67543">
      <w:pPr>
        <w:rPr>
          <w:rStyle w:val="StyleStyleBold12pt"/>
        </w:rPr>
      </w:pPr>
      <w:r w:rsidRPr="00B67543">
        <w:rPr>
          <w:rStyle w:val="StyleStyleBold12pt"/>
        </w:rPr>
        <w:t>No cards</w:t>
      </w:r>
    </w:p>
    <w:bookmarkEnd w:id="0"/>
    <w:sectPr w:rsidR="00B67543" w:rsidRPr="00B6754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9130C" w14:textId="77777777" w:rsidR="00876DC6" w:rsidRDefault="00876DC6" w:rsidP="00E46E7E">
      <w:r>
        <w:separator/>
      </w:r>
    </w:p>
  </w:endnote>
  <w:endnote w:type="continuationSeparator" w:id="0">
    <w:p w14:paraId="38FD34D5" w14:textId="77777777" w:rsidR="00876DC6" w:rsidRDefault="00876DC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51D4A" w14:textId="77777777" w:rsidR="00876DC6" w:rsidRDefault="00876DC6" w:rsidP="00E46E7E">
      <w:r>
        <w:separator/>
      </w:r>
    </w:p>
  </w:footnote>
  <w:footnote w:type="continuationSeparator" w:id="0">
    <w:p w14:paraId="3A28D3FC" w14:textId="77777777" w:rsidR="00876DC6" w:rsidRDefault="00876DC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5F7"/>
    <w:rsid w:val="000140EC"/>
    <w:rsid w:val="00016A35"/>
    <w:rsid w:val="000C16B3"/>
    <w:rsid w:val="000F6FCE"/>
    <w:rsid w:val="001408C0"/>
    <w:rsid w:val="00142055"/>
    <w:rsid w:val="00143FD7"/>
    <w:rsid w:val="001463FB"/>
    <w:rsid w:val="00186DB7"/>
    <w:rsid w:val="00187ED5"/>
    <w:rsid w:val="001D7626"/>
    <w:rsid w:val="002613DA"/>
    <w:rsid w:val="002B6090"/>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CB2"/>
    <w:rsid w:val="00412F6D"/>
    <w:rsid w:val="00417A9C"/>
    <w:rsid w:val="00422EEE"/>
    <w:rsid w:val="0042635A"/>
    <w:rsid w:val="0046152E"/>
    <w:rsid w:val="00466B6F"/>
    <w:rsid w:val="004B3188"/>
    <w:rsid w:val="004B3DB3"/>
    <w:rsid w:val="004C63B5"/>
    <w:rsid w:val="004D461E"/>
    <w:rsid w:val="00517479"/>
    <w:rsid w:val="005A0BE5"/>
    <w:rsid w:val="005C0E1F"/>
    <w:rsid w:val="005E0D2B"/>
    <w:rsid w:val="005E2C99"/>
    <w:rsid w:val="006041A7"/>
    <w:rsid w:val="00672258"/>
    <w:rsid w:val="0067575B"/>
    <w:rsid w:val="00692C26"/>
    <w:rsid w:val="006F2D3D"/>
    <w:rsid w:val="00700835"/>
    <w:rsid w:val="007025F7"/>
    <w:rsid w:val="00706102"/>
    <w:rsid w:val="00726D86"/>
    <w:rsid w:val="00726F87"/>
    <w:rsid w:val="007333B9"/>
    <w:rsid w:val="00791B7D"/>
    <w:rsid w:val="007A3515"/>
    <w:rsid w:val="007A6D32"/>
    <w:rsid w:val="007D7924"/>
    <w:rsid w:val="007E470C"/>
    <w:rsid w:val="007E5F71"/>
    <w:rsid w:val="00821415"/>
    <w:rsid w:val="00821B0B"/>
    <w:rsid w:val="00831E4A"/>
    <w:rsid w:val="0083768F"/>
    <w:rsid w:val="00872493"/>
    <w:rsid w:val="00876DC6"/>
    <w:rsid w:val="0091595A"/>
    <w:rsid w:val="009165EA"/>
    <w:rsid w:val="009610A2"/>
    <w:rsid w:val="00962F05"/>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67543"/>
    <w:rsid w:val="00B84180"/>
    <w:rsid w:val="00BE63EA"/>
    <w:rsid w:val="00C22F8E"/>
    <w:rsid w:val="00C30158"/>
    <w:rsid w:val="00C42A3C"/>
    <w:rsid w:val="00CD2C6D"/>
    <w:rsid w:val="00CF1A0F"/>
    <w:rsid w:val="00D36252"/>
    <w:rsid w:val="00D4330B"/>
    <w:rsid w:val="00D460F1"/>
    <w:rsid w:val="00D51B44"/>
    <w:rsid w:val="00D6085D"/>
    <w:rsid w:val="00D60DB8"/>
    <w:rsid w:val="00D66D57"/>
    <w:rsid w:val="00D81480"/>
    <w:rsid w:val="00DA2E40"/>
    <w:rsid w:val="00DA5BF8"/>
    <w:rsid w:val="00DB292E"/>
    <w:rsid w:val="00DC71AA"/>
    <w:rsid w:val="00DD2FAB"/>
    <w:rsid w:val="00DE627C"/>
    <w:rsid w:val="00DF1850"/>
    <w:rsid w:val="00DF1E82"/>
    <w:rsid w:val="00E46E7E"/>
    <w:rsid w:val="00E93813"/>
    <w:rsid w:val="00E95631"/>
    <w:rsid w:val="00EC050A"/>
    <w:rsid w:val="00EC31E5"/>
    <w:rsid w:val="00EC527E"/>
    <w:rsid w:val="00EF51D4"/>
    <w:rsid w:val="00F02339"/>
    <w:rsid w:val="00F1173B"/>
    <w:rsid w:val="00F45F2E"/>
    <w:rsid w:val="00F50EA5"/>
    <w:rsid w:val="00F612B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C813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050A"/>
    <w:rPr>
      <w:rFonts w:ascii="Times New Roman" w:hAnsi="Times New Roman"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Shrunk,qualifications in card,qualifications,Bold Underline,bold underline"/>
    <w:basedOn w:val="DefaultParagraphFont"/>
    <w:uiPriority w:val="7"/>
    <w:qFormat/>
    <w:rsid w:val="00A35F4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customStyle="1" w:styleId="H2Hat">
    <w:name w:val="H2 Hat"/>
    <w:basedOn w:val="Normal"/>
    <w:next w:val="Normal"/>
    <w:autoRedefine/>
    <w:qFormat/>
    <w:rsid w:val="002B6090"/>
    <w:pPr>
      <w:keepNext/>
      <w:keepLines/>
      <w:pageBreakBefore/>
      <w:spacing w:before="480"/>
      <w:jc w:val="center"/>
      <w:outlineLvl w:val="1"/>
    </w:pPr>
    <w:rPr>
      <w:rFonts w:eastAsiaTheme="minorHAnsi"/>
      <w:b/>
      <w:sz w:val="44"/>
      <w:szCs w:val="22"/>
      <w:u w:val="double"/>
    </w:rPr>
  </w:style>
  <w:style w:type="character" w:customStyle="1" w:styleId="AuthorYear">
    <w:name w:val="AuthorYear"/>
    <w:uiPriority w:val="1"/>
    <w:qFormat/>
    <w:rsid w:val="002B6090"/>
    <w:rPr>
      <w:rFonts w:ascii="Georgia" w:hAnsi="Georgia"/>
      <w:b/>
      <w:sz w:val="24"/>
    </w:rPr>
  </w:style>
  <w:style w:type="paragraph" w:customStyle="1" w:styleId="citenon-bold">
    <w:name w:val="cite non-bold"/>
    <w:basedOn w:val="Normal"/>
    <w:link w:val="citenon-boldChar"/>
    <w:rsid w:val="002B6090"/>
    <w:rPr>
      <w:rFonts w:ascii="Georgia" w:eastAsia="Times New Roman" w:hAnsi="Georgia"/>
      <w:sz w:val="16"/>
      <w:szCs w:val="20"/>
    </w:rPr>
  </w:style>
  <w:style w:type="character" w:styleId="IntenseEmphasis">
    <w:name w:val="Intense Emphasis"/>
    <w:aliases w:val="Style Underline,Title Char2,Heading 3 Char Char Char Char Char,Citation Char Char Char Char Char,Citation Char1 Char Char Char,9.5 pt,UNDERLINE Char"/>
    <w:basedOn w:val="DefaultParagraphFont"/>
    <w:uiPriority w:val="1"/>
    <w:qFormat/>
    <w:rsid w:val="002B6090"/>
    <w:rPr>
      <w:b w:val="0"/>
      <w:bCs/>
      <w:sz w:val="22"/>
      <w:u w:val="single"/>
    </w:rPr>
  </w:style>
  <w:style w:type="character" w:customStyle="1" w:styleId="citenon-boldChar">
    <w:name w:val="cite non-bold Char"/>
    <w:link w:val="citenon-bold"/>
    <w:locked/>
    <w:rsid w:val="002B6090"/>
    <w:rPr>
      <w:rFonts w:ascii="Georgia" w:eastAsia="Times New Roman" w:hAnsi="Georgia" w:cs="Times New Roman"/>
      <w:sz w:val="16"/>
      <w:szCs w:val="20"/>
    </w:rPr>
  </w:style>
  <w:style w:type="character" w:customStyle="1" w:styleId="StyleTimesNewRoman12ptBold">
    <w:name w:val="Style Times New Roman 12 pt Bold"/>
    <w:rsid w:val="002B6090"/>
    <w:rPr>
      <w:rFonts w:ascii="Times New Roman" w:hAnsi="Times New Roman"/>
      <w:b/>
      <w:bCs/>
      <w:sz w:val="24"/>
    </w:rPr>
  </w:style>
  <w:style w:type="paragraph" w:customStyle="1" w:styleId="card">
    <w:name w:val="card"/>
    <w:basedOn w:val="Normal"/>
    <w:next w:val="Normal"/>
    <w:link w:val="cardChar"/>
    <w:qFormat/>
    <w:rsid w:val="002B6090"/>
    <w:pPr>
      <w:ind w:left="288" w:right="288"/>
    </w:pPr>
    <w:rPr>
      <w:rFonts w:eastAsia="Times New Roman"/>
      <w:sz w:val="16"/>
    </w:rPr>
  </w:style>
  <w:style w:type="character" w:customStyle="1" w:styleId="cardChar">
    <w:name w:val="card Char"/>
    <w:link w:val="card"/>
    <w:rsid w:val="002B6090"/>
    <w:rPr>
      <w:rFonts w:ascii="Times New Roman" w:eastAsia="Times New Roman" w:hAnsi="Times New Roman" w:cs="Times New Roman"/>
      <w:sz w:val="16"/>
    </w:rPr>
  </w:style>
  <w:style w:type="character" w:customStyle="1" w:styleId="cardtextChar">
    <w:name w:val="card text Char"/>
    <w:basedOn w:val="DefaultParagraphFont"/>
    <w:link w:val="cardtext"/>
    <w:locked/>
    <w:rsid w:val="00EC050A"/>
    <w:rPr>
      <w:rFonts w:ascii="Calibri" w:hAnsi="Calibri" w:cs="Calibri"/>
    </w:rPr>
  </w:style>
  <w:style w:type="paragraph" w:customStyle="1" w:styleId="cardtext">
    <w:name w:val="card text"/>
    <w:basedOn w:val="Normal"/>
    <w:link w:val="cardtextChar"/>
    <w:qFormat/>
    <w:rsid w:val="00EC050A"/>
    <w:pPr>
      <w:ind w:left="288" w:right="288"/>
    </w:pPr>
    <w:rPr>
      <w:rFonts w:ascii="Calibri" w:hAnsi="Calibri" w:cs="Calibr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050A"/>
    <w:rPr>
      <w:rFonts w:ascii="Times New Roman" w:hAnsi="Times New Roman"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Shrunk,qualifications in card,qualifications,Bold Underline,bold underline"/>
    <w:basedOn w:val="DefaultParagraphFont"/>
    <w:uiPriority w:val="7"/>
    <w:qFormat/>
    <w:rsid w:val="00A35F4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customStyle="1" w:styleId="H2Hat">
    <w:name w:val="H2 Hat"/>
    <w:basedOn w:val="Normal"/>
    <w:next w:val="Normal"/>
    <w:autoRedefine/>
    <w:qFormat/>
    <w:rsid w:val="002B6090"/>
    <w:pPr>
      <w:keepNext/>
      <w:keepLines/>
      <w:pageBreakBefore/>
      <w:spacing w:before="480"/>
      <w:jc w:val="center"/>
      <w:outlineLvl w:val="1"/>
    </w:pPr>
    <w:rPr>
      <w:rFonts w:eastAsiaTheme="minorHAnsi"/>
      <w:b/>
      <w:sz w:val="44"/>
      <w:szCs w:val="22"/>
      <w:u w:val="double"/>
    </w:rPr>
  </w:style>
  <w:style w:type="character" w:customStyle="1" w:styleId="AuthorYear">
    <w:name w:val="AuthorYear"/>
    <w:uiPriority w:val="1"/>
    <w:qFormat/>
    <w:rsid w:val="002B6090"/>
    <w:rPr>
      <w:rFonts w:ascii="Georgia" w:hAnsi="Georgia"/>
      <w:b/>
      <w:sz w:val="24"/>
    </w:rPr>
  </w:style>
  <w:style w:type="paragraph" w:customStyle="1" w:styleId="citenon-bold">
    <w:name w:val="cite non-bold"/>
    <w:basedOn w:val="Normal"/>
    <w:link w:val="citenon-boldChar"/>
    <w:rsid w:val="002B6090"/>
    <w:rPr>
      <w:rFonts w:ascii="Georgia" w:eastAsia="Times New Roman" w:hAnsi="Georgia"/>
      <w:sz w:val="16"/>
      <w:szCs w:val="20"/>
    </w:rPr>
  </w:style>
  <w:style w:type="character" w:styleId="IntenseEmphasis">
    <w:name w:val="Intense Emphasis"/>
    <w:aliases w:val="Style Underline,Title Char2,Heading 3 Char Char Char Char Char,Citation Char Char Char Char Char,Citation Char1 Char Char Char,9.5 pt,UNDERLINE Char"/>
    <w:basedOn w:val="DefaultParagraphFont"/>
    <w:uiPriority w:val="1"/>
    <w:qFormat/>
    <w:rsid w:val="002B6090"/>
    <w:rPr>
      <w:b w:val="0"/>
      <w:bCs/>
      <w:sz w:val="22"/>
      <w:u w:val="single"/>
    </w:rPr>
  </w:style>
  <w:style w:type="character" w:customStyle="1" w:styleId="citenon-boldChar">
    <w:name w:val="cite non-bold Char"/>
    <w:link w:val="citenon-bold"/>
    <w:locked/>
    <w:rsid w:val="002B6090"/>
    <w:rPr>
      <w:rFonts w:ascii="Georgia" w:eastAsia="Times New Roman" w:hAnsi="Georgia" w:cs="Times New Roman"/>
      <w:sz w:val="16"/>
      <w:szCs w:val="20"/>
    </w:rPr>
  </w:style>
  <w:style w:type="character" w:customStyle="1" w:styleId="StyleTimesNewRoman12ptBold">
    <w:name w:val="Style Times New Roman 12 pt Bold"/>
    <w:rsid w:val="002B6090"/>
    <w:rPr>
      <w:rFonts w:ascii="Times New Roman" w:hAnsi="Times New Roman"/>
      <w:b/>
      <w:bCs/>
      <w:sz w:val="24"/>
    </w:rPr>
  </w:style>
  <w:style w:type="paragraph" w:customStyle="1" w:styleId="card">
    <w:name w:val="card"/>
    <w:basedOn w:val="Normal"/>
    <w:next w:val="Normal"/>
    <w:link w:val="cardChar"/>
    <w:qFormat/>
    <w:rsid w:val="002B6090"/>
    <w:pPr>
      <w:ind w:left="288" w:right="288"/>
    </w:pPr>
    <w:rPr>
      <w:rFonts w:eastAsia="Times New Roman"/>
      <w:sz w:val="16"/>
    </w:rPr>
  </w:style>
  <w:style w:type="character" w:customStyle="1" w:styleId="cardChar">
    <w:name w:val="card Char"/>
    <w:link w:val="card"/>
    <w:rsid w:val="002B6090"/>
    <w:rPr>
      <w:rFonts w:ascii="Times New Roman" w:eastAsia="Times New Roman" w:hAnsi="Times New Roman" w:cs="Times New Roman"/>
      <w:sz w:val="16"/>
    </w:rPr>
  </w:style>
  <w:style w:type="character" w:customStyle="1" w:styleId="cardtextChar">
    <w:name w:val="card text Char"/>
    <w:basedOn w:val="DefaultParagraphFont"/>
    <w:link w:val="cardtext"/>
    <w:locked/>
    <w:rsid w:val="00EC050A"/>
    <w:rPr>
      <w:rFonts w:ascii="Calibri" w:hAnsi="Calibri" w:cs="Calibri"/>
    </w:rPr>
  </w:style>
  <w:style w:type="paragraph" w:customStyle="1" w:styleId="cardtext">
    <w:name w:val="card text"/>
    <w:basedOn w:val="Normal"/>
    <w:link w:val="cardtextChar"/>
    <w:qFormat/>
    <w:rsid w:val="00EC050A"/>
    <w:pPr>
      <w:ind w:left="288" w:right="288"/>
    </w:pPr>
    <w:rPr>
      <w:rFonts w:ascii="Calibri" w:hAnsi="Calibri"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dia.law.stanford.edu/publications/archive/pdf/Lemley%20Oligopoly.pdf" TargetMode="External"/><Relationship Id="rId12" Type="http://schemas.openxmlformats.org/officeDocument/2006/relationships/hyperlink" Target="http://www.freestatefoundation.org/images/The_Constitution_s_Approach_to_Copyright_-_Anti-Monopoly,_Pro-Intellectual_Property_Rights_082313.pdf" TargetMode="External"/><Relationship Id="rId13" Type="http://schemas.openxmlformats.org/officeDocument/2006/relationships/hyperlink" Target="http://sunnylands.org/files/posts/159/stronger_f.pdf" TargetMode="External"/><Relationship Id="rId14" Type="http://schemas.openxmlformats.org/officeDocument/2006/relationships/hyperlink" Target="http://nfltv.org/2011/02/24/cal-round-robin-policy/" TargetMode="External"/><Relationship Id="rId15" Type="http://schemas.openxmlformats.org/officeDocument/2006/relationships/hyperlink" Target="http://archive.sgir.eu/uploads/Nunes-joaonunes-politicssecuritycriticaltheory.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space.cigilibrary.org/jspui/bitstream/123456789/18245/1/Engaging%20Problem%20Countries.pdf" TargetMode="External"/><Relationship Id="rId9" Type="http://schemas.openxmlformats.org/officeDocument/2006/relationships/hyperlink" Target="http://scholar.googleusercontent.com/scholar?q=cache:8-3RqE0TzFMJ:scholar.google.com/+engagement+positive+incentives+bilateralandhl=enandas_sdt=0" TargetMode="External"/><Relationship Id="rId10" Type="http://schemas.openxmlformats.org/officeDocument/2006/relationships/hyperlink" Target="http://www.theatlantic.com/technology/archive/2012/03/were-underestimating-the-risk-of-human-extinction/2538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10</Pages>
  <Words>1828</Words>
  <Characters>10423</Characters>
  <Application>Microsoft Macintosh Word</Application>
  <DocSecurity>0</DocSecurity>
  <Lines>86</Lines>
  <Paragraphs>24</Paragraphs>
  <ScaleCrop>false</ScaleCrop>
  <Company>Whitman College</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2014-03-21T22:36:00Z</dcterms:created>
  <dcterms:modified xsi:type="dcterms:W3CDTF">2014-03-21T22:36:00Z</dcterms:modified>
</cp:coreProperties>
</file>