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DF1620" w:rsidP="00DF1620">
      <w:pPr>
        <w:pStyle w:val="Heading2"/>
      </w:pPr>
      <w:r>
        <w:t>Pic</w:t>
      </w:r>
    </w:p>
    <w:p w:rsidR="00DF1620" w:rsidRDefault="00DF1620" w:rsidP="00DF1620">
      <w:pPr>
        <w:pStyle w:val="Heading4"/>
      </w:pPr>
      <w:r>
        <w:t>Counter advocacy: We should engage in honoring the</w:t>
      </w:r>
      <w:r w:rsidRPr="00667533">
        <w:t xml:space="preserve"> celebration of El </w:t>
      </w:r>
      <w:proofErr w:type="spellStart"/>
      <w:r w:rsidRPr="00667533">
        <w:t>Día</w:t>
      </w:r>
      <w:proofErr w:type="spellEnd"/>
      <w:r w:rsidRPr="00667533">
        <w:t xml:space="preserve"> De Los </w:t>
      </w:r>
      <w:proofErr w:type="spellStart"/>
      <w:r w:rsidRPr="00667533">
        <w:t>Muertos</w:t>
      </w:r>
      <w:proofErr w:type="spellEnd"/>
    </w:p>
    <w:p w:rsidR="00DF1620" w:rsidRPr="003F4F84" w:rsidRDefault="00DF1620" w:rsidP="00DF1620">
      <w:pPr>
        <w:pStyle w:val="Heading4"/>
      </w:pPr>
      <w:r>
        <w:t xml:space="preserve">United States </w:t>
      </w:r>
      <w:r w:rsidRPr="003F4F84">
        <w:t xml:space="preserve">economic engagement with Latin America is </w:t>
      </w:r>
      <w:r>
        <w:t xml:space="preserve">a mechanism of reinstating 500 years of </w:t>
      </w:r>
      <w:proofErr w:type="spellStart"/>
      <w:r>
        <w:t>coloniality</w:t>
      </w:r>
      <w:proofErr w:type="spellEnd"/>
    </w:p>
    <w:p w:rsidR="00DF1620" w:rsidRPr="00980315" w:rsidRDefault="00DF1620" w:rsidP="00DF1620">
      <w:pPr>
        <w:rPr>
          <w:sz w:val="16"/>
          <w:szCs w:val="16"/>
        </w:rPr>
      </w:pPr>
      <w:proofErr w:type="spellStart"/>
      <w:r w:rsidRPr="00980315">
        <w:rPr>
          <w:rStyle w:val="StyleStyleBold12pt"/>
          <w:sz w:val="28"/>
        </w:rPr>
        <w:t>Mignolo</w:t>
      </w:r>
      <w:proofErr w:type="spellEnd"/>
      <w:r w:rsidRPr="00980315">
        <w:rPr>
          <w:rStyle w:val="StyleStyleBold12pt"/>
          <w:sz w:val="28"/>
        </w:rPr>
        <w:t xml:space="preserve"> 2005, </w:t>
      </w:r>
      <w:r w:rsidRPr="00980315">
        <w:rPr>
          <w:rStyle w:val="StyleStyleBold12pt"/>
          <w:b w:val="0"/>
          <w:sz w:val="16"/>
          <w:szCs w:val="16"/>
        </w:rPr>
        <w:t xml:space="preserve">(Walter, Duke University, “THE IDEA OF LATIN AMERICA”, 2005, 6/28/13|Ashwin) </w:t>
      </w:r>
    </w:p>
    <w:p w:rsidR="00DF1620" w:rsidRPr="00DF1620" w:rsidRDefault="00DF1620" w:rsidP="00DF1620">
      <w:r w:rsidRPr="00DF1620">
        <w:t xml:space="preserve">The logic of </w:t>
      </w:r>
      <w:proofErr w:type="spellStart"/>
      <w:r w:rsidRPr="00DF1620">
        <w:t>coloniality</w:t>
      </w:r>
      <w:proofErr w:type="spellEnd"/>
      <w:r w:rsidRPr="00DF1620">
        <w:t xml:space="preserve"> can be understood as working through four wide domains of human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very</w:t>
      </w:r>
      <w:proofErr w:type="gramEnd"/>
      <w:r w:rsidRPr="00DF1620">
        <w:t xml:space="preserve"> idea of both “America” and “Latin” America..</w:t>
      </w:r>
    </w:p>
    <w:p w:rsidR="00DF1620" w:rsidRPr="0085472B" w:rsidRDefault="00DF1620" w:rsidP="00DF1620">
      <w:pPr>
        <w:pStyle w:val="Heading4"/>
      </w:pPr>
      <w:r>
        <w:t xml:space="preserve">Inclusionary state practices are inherently violent – their plea to the state becomes fodder to expand the folds of empire, creating more exclusive lines of disposability </w:t>
      </w:r>
    </w:p>
    <w:p w:rsidR="00DF1620" w:rsidRDefault="00DF1620" w:rsidP="00DF1620">
      <w:proofErr w:type="spellStart"/>
      <w:proofErr w:type="gramStart"/>
      <w:r w:rsidRPr="006633EA">
        <w:rPr>
          <w:rStyle w:val="StyleStyleBold12pt"/>
        </w:rPr>
        <w:t>Agathangelou</w:t>
      </w:r>
      <w:proofErr w:type="spellEnd"/>
      <w:r w:rsidRPr="006633EA">
        <w:rPr>
          <w:rStyle w:val="StyleStyleBold12pt"/>
        </w:rPr>
        <w:t xml:space="preserve"> et al.</w:t>
      </w:r>
      <w:proofErr w:type="gramEnd"/>
      <w:r w:rsidRPr="006633EA">
        <w:rPr>
          <w:rStyle w:val="StyleStyleBold12pt"/>
        </w:rPr>
        <w:t xml:space="preserve">  2008</w:t>
      </w:r>
      <w:r>
        <w:t xml:space="preserve"> (Anna M. </w:t>
      </w:r>
      <w:r w:rsidRPr="00BB553F">
        <w:t>Associate Professor in the Departments of Political Science and Women's Studies at York University, Canada</w:t>
      </w:r>
      <w:r>
        <w:t xml:space="preserve">, M. Daniel </w:t>
      </w:r>
      <w:proofErr w:type="spellStart"/>
      <w:r>
        <w:t>Bassichis</w:t>
      </w:r>
      <w:proofErr w:type="spellEnd"/>
      <w:r>
        <w:t xml:space="preserve">, and Tamara L. </w:t>
      </w:r>
      <w:proofErr w:type="spellStart"/>
      <w:r>
        <w:t>Spira</w:t>
      </w:r>
      <w:proofErr w:type="spellEnd"/>
      <w:r>
        <w:t>,</w:t>
      </w:r>
      <w:r w:rsidRPr="00BB553F">
        <w:t xml:space="preserve"> UC President's Postdoctoral Fellow in Cultural Studies at UC Davis</w:t>
      </w:r>
      <w:r>
        <w:t xml:space="preserve">, “Intimate Investments: </w:t>
      </w:r>
    </w:p>
    <w:p w:rsidR="00DF1620" w:rsidRDefault="00DF1620" w:rsidP="00DF1620">
      <w:proofErr w:type="spellStart"/>
      <w:r>
        <w:t>Homonormativity</w:t>
      </w:r>
      <w:proofErr w:type="spellEnd"/>
      <w:r>
        <w:t xml:space="preserve">, Global Lockdown and the Seductions of Empire,” Radical History Review Issue 100 Winter 2008, </w:t>
      </w:r>
      <w:r w:rsidRPr="00BB553F">
        <w:t>http://www.makezine.enoughenough.org/intimateinvestments.pdf</w:t>
      </w:r>
      <w:r>
        <w:t>)</w:t>
      </w:r>
    </w:p>
    <w:p w:rsidR="00DF1620" w:rsidRDefault="00DF1620" w:rsidP="00DF1620"/>
    <w:p w:rsidR="00DF1620" w:rsidRPr="00DF1620" w:rsidRDefault="00DF1620" w:rsidP="00DF1620">
      <w:r w:rsidRPr="00DF1620">
        <w:t xml:space="preserve">To (re)consolidate itself, empire requires and solicits the production of certain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much</w:t>
      </w:r>
      <w:proofErr w:type="gramEnd"/>
      <w:r w:rsidRPr="00DF1620">
        <w:t xml:space="preserve"> of queer politics and longing from “Stonewall to the suburbs.”19</w:t>
      </w:r>
    </w:p>
    <w:p w:rsidR="00DF1620" w:rsidRDefault="00DF1620" w:rsidP="00DF1620">
      <w:pPr>
        <w:pStyle w:val="Heading2"/>
      </w:pPr>
      <w:r>
        <w:lastRenderedPageBreak/>
        <w:t>K</w:t>
      </w:r>
    </w:p>
    <w:p w:rsidR="00DF1620" w:rsidRPr="00FC74E4" w:rsidRDefault="00DF1620" w:rsidP="00DF1620">
      <w:pPr>
        <w:pStyle w:val="Heading4"/>
      </w:pPr>
      <w:r>
        <w:t>Our conception of debate produces an agonistic politics – finding the hardest debate and trying to win is critical to personal growth.</w:t>
      </w:r>
    </w:p>
    <w:p w:rsidR="00DF1620" w:rsidRPr="00FC74E4" w:rsidRDefault="00DF1620" w:rsidP="00DF1620">
      <w:pPr>
        <w:pStyle w:val="Cites"/>
      </w:pPr>
      <w:proofErr w:type="spellStart"/>
      <w:r w:rsidRPr="00FC74E4">
        <w:rPr>
          <w:rStyle w:val="Emphasis"/>
        </w:rPr>
        <w:t>Yovel</w:t>
      </w:r>
      <w:proofErr w:type="spellEnd"/>
      <w:r w:rsidRPr="00FC74E4">
        <w:t xml:space="preserve">, Assistant professor, Faculty of Law, and coordinator of the law and philosophy program, University of Haifa, Israel, </w:t>
      </w:r>
      <w:r w:rsidRPr="00FC74E4">
        <w:rPr>
          <w:rStyle w:val="Emphasis"/>
        </w:rPr>
        <w:t>in ‘3</w:t>
      </w:r>
    </w:p>
    <w:p w:rsidR="00DF1620" w:rsidRPr="00FC74E4" w:rsidRDefault="00DF1620" w:rsidP="00DF1620">
      <w:pPr>
        <w:pStyle w:val="Cites"/>
      </w:pPr>
      <w:r w:rsidRPr="00FC74E4">
        <w:t>[Jonathan, Cardozo Law Review, January, 24 Cardozo L. Rev. 635]</w:t>
      </w:r>
    </w:p>
    <w:p w:rsidR="00DF1620" w:rsidRPr="00DF1620" w:rsidRDefault="00DF1620" w:rsidP="00DF1620">
      <w:r w:rsidRPr="00DF1620">
        <w:t>While reactive forces respond to their context and in this way are dictated by them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the</w:t>
      </w:r>
      <w:proofErr w:type="gramEnd"/>
      <w:r w:rsidRPr="00DF1620">
        <w:t xml:space="preserve"> will to cast itself in the world, both natural and social.</w:t>
      </w:r>
    </w:p>
    <w:p w:rsidR="00DF1620" w:rsidRPr="002842EE" w:rsidRDefault="00DF1620" w:rsidP="00DF1620">
      <w:pPr>
        <w:pStyle w:val="Heading4"/>
      </w:pPr>
      <w:r w:rsidRPr="006E4921">
        <w:t xml:space="preserve">2. </w:t>
      </w:r>
      <w:r>
        <w:t>Agonistic politics demands that ground be based on tradition. Otherwise our political community becomes meaningless</w:t>
      </w:r>
    </w:p>
    <w:p w:rsidR="00DF1620" w:rsidRDefault="00DF1620" w:rsidP="00DF1620">
      <w:pPr>
        <w:pStyle w:val="Cites"/>
      </w:pPr>
      <w:r w:rsidRPr="00DD7906">
        <w:rPr>
          <w:rStyle w:val="Emphasis"/>
        </w:rPr>
        <w:t>Arendt</w:t>
      </w:r>
      <w:r>
        <w:t xml:space="preserve">, </w:t>
      </w:r>
      <w:proofErr w:type="gramStart"/>
      <w:r>
        <w:t>The</w:t>
      </w:r>
      <w:proofErr w:type="gramEnd"/>
      <w:r>
        <w:t xml:space="preserve"> New School for Social Research, </w:t>
      </w:r>
      <w:r w:rsidRPr="00DD7906">
        <w:rPr>
          <w:rStyle w:val="Emphasis"/>
        </w:rPr>
        <w:t>in ‘5</w:t>
      </w:r>
    </w:p>
    <w:p w:rsidR="00DF1620" w:rsidRPr="00FC74E4" w:rsidRDefault="00DF1620" w:rsidP="00DF1620">
      <w:pPr>
        <w:pStyle w:val="Cites"/>
      </w:pPr>
      <w:r>
        <w:t xml:space="preserve">[Hannah, </w:t>
      </w:r>
      <w:proofErr w:type="gramStart"/>
      <w:r>
        <w:t>The</w:t>
      </w:r>
      <w:proofErr w:type="gramEnd"/>
      <w:r>
        <w:t xml:space="preserve"> Promise of Politics, pg. 41-2]</w:t>
      </w:r>
    </w:p>
    <w:p w:rsidR="00DF1620" w:rsidRPr="00DF1620" w:rsidRDefault="00DF1620" w:rsidP="00DF1620">
      <w:r w:rsidRPr="00DF1620">
        <w:t xml:space="preserve">It lies in the nature of a tradition to be accepted and absorbed as it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shallowness</w:t>
      </w:r>
      <w:proofErr w:type="gramEnd"/>
      <w:r w:rsidRPr="00DF1620">
        <w:t xml:space="preserve"> which spreads a veil of meaninglessness over all spheres of modern life.</w:t>
      </w:r>
    </w:p>
    <w:p w:rsidR="00DF1620" w:rsidRDefault="00DF1620" w:rsidP="00DF1620">
      <w:pPr>
        <w:pStyle w:val="Heading4"/>
      </w:pPr>
      <w:r>
        <w:t>3. Switch side debate breaks down the ideology and prevents the slide into totalitarianism.</w:t>
      </w:r>
    </w:p>
    <w:p w:rsidR="00DF1620" w:rsidRDefault="00DF1620" w:rsidP="00DF1620">
      <w:pPr>
        <w:pStyle w:val="Cites"/>
      </w:pPr>
      <w:r w:rsidRPr="00BE440C">
        <w:rPr>
          <w:rStyle w:val="Emphasis"/>
        </w:rPr>
        <w:t>Roberts-Miller</w:t>
      </w:r>
      <w:r>
        <w:t xml:space="preserve">, University of Texas, </w:t>
      </w:r>
      <w:r w:rsidRPr="00BE440C">
        <w:rPr>
          <w:rStyle w:val="Emphasis"/>
        </w:rPr>
        <w:t>in ‘2</w:t>
      </w:r>
    </w:p>
    <w:p w:rsidR="00DF1620" w:rsidRDefault="00DF1620" w:rsidP="00DF1620">
      <w:pPr>
        <w:pStyle w:val="Cites"/>
      </w:pPr>
      <w:r>
        <w:t>[Patricia, “</w:t>
      </w:r>
      <w:r w:rsidRPr="0019442F">
        <w:t>Fi</w:t>
      </w:r>
      <w:r>
        <w:t xml:space="preserve">ghting Without Hatred: </w:t>
      </w:r>
      <w:proofErr w:type="gramStart"/>
      <w:r>
        <w:t>Hannah  Arendt'</w:t>
      </w:r>
      <w:r w:rsidRPr="0019442F">
        <w:t>s</w:t>
      </w:r>
      <w:proofErr w:type="gramEnd"/>
      <w:r w:rsidRPr="0019442F">
        <w:t xml:space="preserve"> Agonistic Rhetoric</w:t>
      </w:r>
      <w:r>
        <w:t>”, JAC, Vol. 22 No. 3]</w:t>
      </w:r>
    </w:p>
    <w:p w:rsidR="00DF1620" w:rsidRPr="00DF1620" w:rsidRDefault="00DF1620" w:rsidP="00DF1620">
      <w:r w:rsidRPr="00DF1620">
        <w:t>Arendt does not mean that group behavior is impossible in the realm of the social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but</w:t>
      </w:r>
      <w:proofErr w:type="gramEnd"/>
      <w:r w:rsidRPr="00DF1620">
        <w:t xml:space="preserve"> not relativist, adversarial but not violent, independent but not </w:t>
      </w:r>
      <w:proofErr w:type="spellStart"/>
      <w:r w:rsidRPr="00DF1620">
        <w:t>expressivist</w:t>
      </w:r>
      <w:proofErr w:type="spellEnd"/>
      <w:r w:rsidRPr="00DF1620">
        <w:t xml:space="preserve"> rhetoric</w:t>
      </w:r>
    </w:p>
    <w:p w:rsidR="00DF1620" w:rsidRPr="000D4CA5" w:rsidRDefault="00DF1620" w:rsidP="00DF1620">
      <w:pPr>
        <w:pStyle w:val="Heading4"/>
        <w:rPr>
          <w:sz w:val="24"/>
        </w:rPr>
      </w:pPr>
      <w:r>
        <w:t>5.</w:t>
      </w:r>
      <w:r w:rsidRPr="000D4CA5">
        <w:t xml:space="preserve"> Our</w:t>
      </w:r>
      <w:r w:rsidRPr="00FC74E4">
        <w:t xml:space="preserve"> understanding of politics can ins</w:t>
      </w:r>
      <w:r>
        <w:t>p</w:t>
      </w:r>
      <w:r w:rsidRPr="00FC74E4">
        <w:t>ire compassion.</w:t>
      </w:r>
    </w:p>
    <w:p w:rsidR="00DF1620" w:rsidRPr="000D4CA5" w:rsidRDefault="00DF1620" w:rsidP="00DF1620">
      <w:pPr>
        <w:pStyle w:val="Cites"/>
      </w:pPr>
      <w:proofErr w:type="gramStart"/>
      <w:r>
        <w:rPr>
          <w:rStyle w:val="Emphasis"/>
        </w:rPr>
        <w:t>Porter</w:t>
      </w:r>
      <w:r w:rsidRPr="000D4CA5">
        <w:t xml:space="preserve">, head of the School of International Studies at the University of South Australia, </w:t>
      </w:r>
      <w:r w:rsidRPr="000D4CA5">
        <w:rPr>
          <w:rStyle w:val="Emphasis"/>
        </w:rPr>
        <w:t>2006</w:t>
      </w:r>
      <w:r w:rsidRPr="000D4CA5">
        <w:t xml:space="preserve"> [Elisabeth, "Can politics practice compassion?"</w:t>
      </w:r>
      <w:proofErr w:type="gramEnd"/>
      <w:r w:rsidRPr="000D4CA5">
        <w:t xml:space="preserve"> </w:t>
      </w:r>
      <w:proofErr w:type="spellStart"/>
      <w:r w:rsidRPr="000D4CA5">
        <w:t>Hypatia</w:t>
      </w:r>
      <w:proofErr w:type="spellEnd"/>
      <w:r w:rsidRPr="000D4CA5">
        <w:t xml:space="preserve"> Sep, p project muse]</w:t>
      </w:r>
    </w:p>
    <w:p w:rsidR="00DF1620" w:rsidRPr="00DF1620" w:rsidRDefault="00DF1620" w:rsidP="00DF1620">
      <w:r w:rsidRPr="00DF1620">
        <w:t xml:space="preserve">As individuals, we have responsibilities beyond our personal connections to assist whenever it is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be</w:t>
      </w:r>
      <w:proofErr w:type="gramEnd"/>
      <w:r w:rsidRPr="00DF1620">
        <w:t xml:space="preserve"> observant, and understand the implications of a failure to practice compassion.</w:t>
      </w:r>
    </w:p>
    <w:p w:rsidR="00DF1620" w:rsidRPr="000D4CA5" w:rsidRDefault="00DF1620" w:rsidP="00DF1620">
      <w:pPr>
        <w:pStyle w:val="Heading4"/>
        <w:rPr>
          <w:rStyle w:val="Cites-AuthorDate"/>
        </w:rPr>
      </w:pPr>
      <w:proofErr w:type="gramStart"/>
      <w:r w:rsidRPr="00FC74E4">
        <w:t xml:space="preserve">And, </w:t>
      </w:r>
      <w:r>
        <w:t>especially in the</w:t>
      </w:r>
      <w:r w:rsidRPr="00FC74E4">
        <w:t xml:space="preserve"> context of policy debate.</w:t>
      </w:r>
      <w:proofErr w:type="gramEnd"/>
    </w:p>
    <w:p w:rsidR="00DF1620" w:rsidRPr="000D4CA5" w:rsidRDefault="00DF1620" w:rsidP="00DF1620">
      <w:pPr>
        <w:pStyle w:val="Cites"/>
      </w:pPr>
      <w:r>
        <w:rPr>
          <w:rStyle w:val="Emphasis"/>
        </w:rPr>
        <w:t>Greene</w:t>
      </w:r>
      <w:r w:rsidRPr="000D4CA5">
        <w:t xml:space="preserve">, Pf Rhetoric at Minnesota, </w:t>
      </w:r>
      <w:r w:rsidRPr="000D4CA5">
        <w:rPr>
          <w:rStyle w:val="Emphasis"/>
        </w:rPr>
        <w:t>in ‘05</w:t>
      </w:r>
    </w:p>
    <w:p w:rsidR="00DF1620" w:rsidRPr="000D4CA5" w:rsidRDefault="00DF1620" w:rsidP="00DF1620">
      <w:pPr>
        <w:pStyle w:val="Cites"/>
      </w:pPr>
      <w:r w:rsidRPr="000D4CA5">
        <w:t>(Ronald, Cultural Studies, Volume 19, Issue 1 January, pages 100 – 126)</w:t>
      </w:r>
    </w:p>
    <w:p w:rsidR="00DF1620" w:rsidRPr="00DF1620" w:rsidRDefault="00DF1620" w:rsidP="00DF1620">
      <w:r w:rsidRPr="00DF1620">
        <w:t xml:space="preserve">Nearly forty years after the debating-both-sides controversy erupted in the mid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r w:rsidRPr="00DF1620">
        <w:t xml:space="preserve">, helping to secure the possibility of respecting pluralism without risking moral relativism. </w:t>
      </w:r>
    </w:p>
    <w:p w:rsidR="00DF1620" w:rsidRPr="00DF1620" w:rsidRDefault="00DF1620" w:rsidP="00DF1620"/>
    <w:p w:rsidR="00DF1620" w:rsidRDefault="00DF1620" w:rsidP="00DF1620">
      <w:pPr>
        <w:pStyle w:val="Heading2"/>
      </w:pPr>
      <w:r>
        <w:lastRenderedPageBreak/>
        <w:t>T</w:t>
      </w:r>
    </w:p>
    <w:p w:rsidR="00DF1620" w:rsidRPr="00A304AE" w:rsidRDefault="00DF1620" w:rsidP="00DF1620">
      <w:pPr>
        <w:pStyle w:val="Heading4"/>
      </w:pPr>
      <w:r>
        <w:t xml:space="preserve">Interpretation – </w:t>
      </w:r>
      <w:r w:rsidRPr="00A304AE">
        <w:t>Economic engagement seeks behavior cha</w:t>
      </w:r>
      <w:r>
        <w:t>nge with economic instruments</w:t>
      </w:r>
    </w:p>
    <w:p w:rsidR="00DF1620" w:rsidRPr="00A304AE" w:rsidRDefault="00DF1620" w:rsidP="00DF1620">
      <w:proofErr w:type="spellStart"/>
      <w:r w:rsidRPr="00A304AE">
        <w:rPr>
          <w:rStyle w:val="StyleStyleBold12pt"/>
        </w:rPr>
        <w:t>Jakštaitė</w:t>
      </w:r>
      <w:proofErr w:type="spellEnd"/>
      <w:r w:rsidRPr="00A304AE">
        <w:rPr>
          <w:rStyle w:val="StyleStyleBold12pt"/>
        </w:rPr>
        <w:t xml:space="preserve">  10</w:t>
      </w:r>
      <w:r w:rsidRPr="00A304AE">
        <w:t xml:space="preserve">   </w:t>
      </w:r>
      <w:proofErr w:type="spellStart"/>
      <w:r w:rsidRPr="00A304AE">
        <w:t>Gerda</w:t>
      </w:r>
      <w:proofErr w:type="spellEnd"/>
      <w:r w:rsidRPr="00A304AE">
        <w:t xml:space="preserve"> </w:t>
      </w:r>
      <w:proofErr w:type="spellStart"/>
      <w:r w:rsidRPr="00A304AE">
        <w:t>Jakštaitė</w:t>
      </w:r>
      <w:proofErr w:type="spellEnd"/>
      <w:r w:rsidRPr="00A304AE">
        <w:t xml:space="preserve">, Doctoral Candidate </w:t>
      </w:r>
      <w:proofErr w:type="spellStart"/>
      <w:r w:rsidRPr="00A304AE">
        <w:t>Vytautas</w:t>
      </w:r>
      <w:proofErr w:type="spellEnd"/>
      <w:r w:rsidRPr="00A304AE">
        <w:t xml:space="preserve"> Magnus University Faculty of Political Sciences and Diplomacy, Lithuania    BALTIC JOURNAL OF LAW &amp; POLITICS, VOLUME 3, NUMBER 2    2010  CONTAINMENT AND ENGAGEMENT AS MIDDLE-RANGETHEORIES     </w:t>
      </w:r>
      <w:hyperlink r:id="rId10" w:history="1">
        <w:r w:rsidRPr="00A304AE">
          <w:rPr>
            <w:rStyle w:val="Hyperlink"/>
          </w:rPr>
          <w:t>http://versita.metapress.com/content/0w3157n438689417/fulltext.pdf</w:t>
        </w:r>
      </w:hyperlink>
    </w:p>
    <w:p w:rsidR="00DF1620" w:rsidRPr="00DF1620" w:rsidRDefault="00DF1620" w:rsidP="00DF1620">
      <w:r w:rsidRPr="00DF1620">
        <w:t xml:space="preserve">The approach to engagement as economic engagement focuses exclusively on economic instruments of foreign policy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exclude</w:t>
      </w:r>
      <w:proofErr w:type="gramEnd"/>
      <w:r w:rsidRPr="00DF1620">
        <w:t xml:space="preserve"> the possibility to realize economic engagement in relations with democratic  regimes.  97</w:t>
      </w:r>
    </w:p>
    <w:p w:rsidR="00DF1620" w:rsidRPr="000077CC" w:rsidRDefault="00DF1620" w:rsidP="00DF1620">
      <w:pPr>
        <w:pStyle w:val="Heading4"/>
      </w:pPr>
      <w:r>
        <w:t>It’s a voter – Limits are necessary for negative preparation and clash – the Aff makes the topic too big by making all economic relations topical.  Only by requiring efforts to change behavior is there a reasonable limit.</w:t>
      </w:r>
    </w:p>
    <w:p w:rsidR="00DF1620" w:rsidRPr="00A304AE" w:rsidRDefault="00DF1620" w:rsidP="00DF1620">
      <w:pPr>
        <w:rPr>
          <w:szCs w:val="20"/>
        </w:rPr>
      </w:pPr>
      <w:proofErr w:type="spellStart"/>
      <w:r w:rsidRPr="00A304AE">
        <w:rPr>
          <w:rStyle w:val="StyleStyleBold12pt"/>
        </w:rPr>
        <w:t>Haass</w:t>
      </w:r>
      <w:proofErr w:type="spellEnd"/>
      <w:r w:rsidRPr="00A304AE">
        <w:rPr>
          <w:rStyle w:val="StyleStyleBold12pt"/>
        </w:rPr>
        <w:t xml:space="preserve"> and </w:t>
      </w:r>
      <w:proofErr w:type="gramStart"/>
      <w:r w:rsidRPr="00A304AE">
        <w:rPr>
          <w:rStyle w:val="StyleStyleBold12pt"/>
        </w:rPr>
        <w:t>O’Sullivan  2K</w:t>
      </w:r>
      <w:proofErr w:type="gramEnd"/>
      <w:r w:rsidRPr="00A304AE">
        <w:rPr>
          <w:szCs w:val="20"/>
        </w:rPr>
        <w:t xml:space="preserve">   Richard N. </w:t>
      </w:r>
      <w:proofErr w:type="spellStart"/>
      <w:r w:rsidRPr="00A304AE">
        <w:rPr>
          <w:szCs w:val="20"/>
        </w:rPr>
        <w:t>Haass</w:t>
      </w:r>
      <w:proofErr w:type="spellEnd"/>
      <w:r w:rsidRPr="00A304AE">
        <w:rPr>
          <w:szCs w:val="20"/>
        </w:rPr>
        <w:t>, formerly a senior aide to President George Bush, is Vice President and Director of Foreign Policy Studies at the Brookings Institution AND Meghan L. O’Sullivan, is a Fellow in the Foreign Policy Studies Program at the Brookings Institution    Terms of Engagement: Alternatives to Punitive Policies   Survival, vol. 42, no. 2, Summer 2000, pp. 113–35    Taylor &amp; Francis online http://www.tandfonline.com/doi/abs/10.1093/survival/42.2.113#preview</w:t>
      </w:r>
    </w:p>
    <w:p w:rsidR="00DF1620" w:rsidRPr="00DF1620" w:rsidRDefault="00DF1620" w:rsidP="00DF1620">
      <w:r w:rsidRPr="00DF1620">
        <w:t xml:space="preserve">The term ‘engagement’ was </w:t>
      </w:r>
      <w:proofErr w:type="spellStart"/>
      <w:r w:rsidRPr="00DF1620">
        <w:t>popularised</w:t>
      </w:r>
      <w:proofErr w:type="spellEnd"/>
      <w:r w:rsidRPr="00DF1620">
        <w:t xml:space="preserve"> in the early 1980s amid </w:t>
      </w:r>
      <w:proofErr w:type="gramStart"/>
      <w:r w:rsidRPr="00DF1620">
        <w:t>controversy  about</w:t>
      </w:r>
      <w:proofErr w:type="gramEnd"/>
      <w:r w:rsidRPr="00DF1620">
        <w:t xml:space="preserve"> the Reagan </w:t>
      </w:r>
    </w:p>
    <w:p w:rsidR="00DF1620" w:rsidRPr="00DF1620" w:rsidRDefault="00DF1620" w:rsidP="00DF1620">
      <w:r w:rsidRPr="00DF1620">
        <w:t>AND</w:t>
      </w:r>
    </w:p>
    <w:p w:rsidR="00DF1620" w:rsidRPr="00DF1620" w:rsidRDefault="00DF1620" w:rsidP="00DF1620">
      <w:proofErr w:type="gramStart"/>
      <w:r w:rsidRPr="00DF1620">
        <w:t>to</w:t>
      </w:r>
      <w:proofErr w:type="gramEnd"/>
      <w:r w:rsidRPr="00DF1620">
        <w:t xml:space="preserve"> shape the </w:t>
      </w:r>
      <w:proofErr w:type="spellStart"/>
      <w:r w:rsidRPr="00DF1620">
        <w:t>behaviour</w:t>
      </w:r>
      <w:proofErr w:type="spellEnd"/>
      <w:r w:rsidRPr="00DF1620">
        <w:t xml:space="preserve"> of countries with which the US has important  disagreements.</w:t>
      </w:r>
      <w:bookmarkStart w:id="0" w:name="_GoBack"/>
      <w:bookmarkEnd w:id="0"/>
    </w:p>
    <w:sectPr w:rsidR="00DF1620" w:rsidRPr="00DF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FEC" w:rsidRDefault="001C0FEC" w:rsidP="005F5576">
      <w:r>
        <w:separator/>
      </w:r>
    </w:p>
  </w:endnote>
  <w:endnote w:type="continuationSeparator" w:id="0">
    <w:p w:rsidR="001C0FEC" w:rsidRDefault="001C0FE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FEC" w:rsidRDefault="001C0FEC" w:rsidP="005F5576">
      <w:r>
        <w:separator/>
      </w:r>
    </w:p>
  </w:footnote>
  <w:footnote w:type="continuationSeparator" w:id="0">
    <w:p w:rsidR="001C0FEC" w:rsidRDefault="001C0FE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2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0F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02ADE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F1620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no read,heading 2, Ch,Ch,No Spacing211,No Spacing12,No Spacing2111,Heading 2 Char2 Char,Heading 2 Char1 Char Char,TAG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Emphasis!!,Bold Underline,small,bold underline,Qualifications"/>
    <w:basedOn w:val="DefaultParagraphFont"/>
    <w:link w:val="textbold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Style,Bold Cite Char,Citation Char Char Char,ci,Underline Char,Intense Emphasis1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no read Char,heading 2 Char, Ch Char,Ch Char,No Spacing211 Char,No Spacing12 Char,No Spacing2111 Char,Heading 2 Char2 Char Char,Heading 2 Char1 Char Char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6"/>
    <w:qFormat/>
    <w:rsid w:val="00DF1620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DF1620"/>
    <w:pPr>
      <w:spacing w:before="240" w:after="60"/>
      <w:ind w:left="432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DF1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ld">
    <w:name w:val="text bold"/>
    <w:basedOn w:val="Normal"/>
    <w:link w:val="Emphasis"/>
    <w:uiPriority w:val="7"/>
    <w:rsid w:val="00DF1620"/>
    <w:pPr>
      <w:ind w:left="720"/>
      <w:jc w:val="both"/>
    </w:pPr>
    <w:rPr>
      <w:b/>
      <w:iCs/>
      <w:u w:val="single"/>
      <w:bdr w:val="single" w:sz="18" w:space="0" w:color="auto"/>
    </w:rPr>
  </w:style>
  <w:style w:type="paragraph" w:customStyle="1" w:styleId="CardIndented">
    <w:name w:val="Card (Indented)"/>
    <w:basedOn w:val="Normal"/>
    <w:qFormat/>
    <w:rsid w:val="00DF1620"/>
    <w:pPr>
      <w:ind w:left="288"/>
    </w:pPr>
  </w:style>
  <w:style w:type="character" w:customStyle="1" w:styleId="StyleUnderline">
    <w:name w:val="Style Underline"/>
    <w:basedOn w:val="DefaultParagraphFont"/>
    <w:rsid w:val="00DF1620"/>
    <w:rPr>
      <w:u w:val="thick"/>
    </w:rPr>
  </w:style>
  <w:style w:type="paragraph" w:customStyle="1" w:styleId="Cites">
    <w:name w:val="Cites"/>
    <w:basedOn w:val="Normal"/>
    <w:next w:val="Normal"/>
    <w:link w:val="CitesChar1"/>
    <w:qFormat/>
    <w:rsid w:val="00DF1620"/>
    <w:pPr>
      <w:autoSpaceDE w:val="0"/>
      <w:autoSpaceDN w:val="0"/>
      <w:adjustRightInd w:val="0"/>
    </w:pPr>
    <w:rPr>
      <w:rFonts w:cstheme="minorBidi"/>
      <w:b/>
      <w:sz w:val="18"/>
      <w:szCs w:val="20"/>
    </w:rPr>
  </w:style>
  <w:style w:type="character" w:customStyle="1" w:styleId="CitesChar1">
    <w:name w:val="Cites Char1"/>
    <w:link w:val="Cites"/>
    <w:rsid w:val="00DF1620"/>
    <w:rPr>
      <w:rFonts w:ascii="Calibri" w:hAnsi="Calibri"/>
      <w:b/>
      <w:sz w:val="18"/>
      <w:szCs w:val="20"/>
    </w:rPr>
  </w:style>
  <w:style w:type="character" w:customStyle="1" w:styleId="Cites-AuthorDate">
    <w:name w:val="Cites-Author/Date"/>
    <w:qFormat/>
    <w:rsid w:val="00DF1620"/>
    <w:rPr>
      <w:rFonts w:ascii="Helvetica" w:hAnsi="Helvetica"/>
      <w:sz w:val="22"/>
      <w:szCs w:val="24"/>
      <w:u w:val="thi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no read,heading 2, Ch,Ch,No Spacing211,No Spacing12,No Spacing2111,Heading 2 Char2 Char,Heading 2 Char1 Char Char,TAG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Emphasis!!,Bold Underline,small,bold underline,Qualifications"/>
    <w:basedOn w:val="DefaultParagraphFont"/>
    <w:link w:val="textbold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Style,Bold Cite Char,Citation Char Char Char,ci,Underline Char,Intense Emphasis1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no read Char,heading 2 Char, Ch Char,Ch Char,No Spacing211 Char,No Spacing12 Char,No Spacing2111 Char,Heading 2 Char2 Char Char,Heading 2 Char1 Char Char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TitleChar">
    <w:name w:val="Title Char"/>
    <w:basedOn w:val="DefaultParagraphFont"/>
    <w:link w:val="Title"/>
    <w:uiPriority w:val="6"/>
    <w:qFormat/>
    <w:rsid w:val="00DF1620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DF1620"/>
    <w:pPr>
      <w:spacing w:before="240" w:after="60"/>
      <w:ind w:left="432"/>
      <w:jc w:val="center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DF16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ld">
    <w:name w:val="text bold"/>
    <w:basedOn w:val="Normal"/>
    <w:link w:val="Emphasis"/>
    <w:uiPriority w:val="7"/>
    <w:rsid w:val="00DF1620"/>
    <w:pPr>
      <w:ind w:left="720"/>
      <w:jc w:val="both"/>
    </w:pPr>
    <w:rPr>
      <w:b/>
      <w:iCs/>
      <w:u w:val="single"/>
      <w:bdr w:val="single" w:sz="18" w:space="0" w:color="auto"/>
    </w:rPr>
  </w:style>
  <w:style w:type="paragraph" w:customStyle="1" w:styleId="CardIndented">
    <w:name w:val="Card (Indented)"/>
    <w:basedOn w:val="Normal"/>
    <w:qFormat/>
    <w:rsid w:val="00DF1620"/>
    <w:pPr>
      <w:ind w:left="288"/>
    </w:pPr>
  </w:style>
  <w:style w:type="character" w:customStyle="1" w:styleId="StyleUnderline">
    <w:name w:val="Style Underline"/>
    <w:basedOn w:val="DefaultParagraphFont"/>
    <w:rsid w:val="00DF1620"/>
    <w:rPr>
      <w:u w:val="thick"/>
    </w:rPr>
  </w:style>
  <w:style w:type="paragraph" w:customStyle="1" w:styleId="Cites">
    <w:name w:val="Cites"/>
    <w:basedOn w:val="Normal"/>
    <w:next w:val="Normal"/>
    <w:link w:val="CitesChar1"/>
    <w:qFormat/>
    <w:rsid w:val="00DF1620"/>
    <w:pPr>
      <w:autoSpaceDE w:val="0"/>
      <w:autoSpaceDN w:val="0"/>
      <w:adjustRightInd w:val="0"/>
    </w:pPr>
    <w:rPr>
      <w:rFonts w:cstheme="minorBidi"/>
      <w:b/>
      <w:sz w:val="18"/>
      <w:szCs w:val="20"/>
    </w:rPr>
  </w:style>
  <w:style w:type="character" w:customStyle="1" w:styleId="CitesChar1">
    <w:name w:val="Cites Char1"/>
    <w:link w:val="Cites"/>
    <w:rsid w:val="00DF1620"/>
    <w:rPr>
      <w:rFonts w:ascii="Calibri" w:hAnsi="Calibri"/>
      <w:b/>
      <w:sz w:val="18"/>
      <w:szCs w:val="20"/>
    </w:rPr>
  </w:style>
  <w:style w:type="character" w:customStyle="1" w:styleId="Cites-AuthorDate">
    <w:name w:val="Cites-Author/Date"/>
    <w:qFormat/>
    <w:rsid w:val="00DF1620"/>
    <w:rPr>
      <w:rFonts w:ascii="Helvetica" w:hAnsi="Helvetica"/>
      <w:sz w:val="22"/>
      <w:szCs w:val="24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versita.metapress.com/content/0w3157n438689417/fulltext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montero</dc:creator>
  <cp:lastModifiedBy>roberto montero</cp:lastModifiedBy>
  <cp:revision>1</cp:revision>
  <dcterms:created xsi:type="dcterms:W3CDTF">2013-10-10T01:46:00Z</dcterms:created>
  <dcterms:modified xsi:type="dcterms:W3CDTF">2013-10-10T01:51:00Z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