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85" w:rsidRDefault="00024685" w:rsidP="00024685">
      <w:pPr>
        <w:pStyle w:val="Heading4"/>
      </w:pPr>
      <w:r>
        <w:t>Education outweighs – we’re a prior question to any of their skills</w:t>
      </w:r>
    </w:p>
    <w:p w:rsidR="00024685" w:rsidRDefault="00024685" w:rsidP="00024685">
      <w:proofErr w:type="spellStart"/>
      <w:r w:rsidRPr="00DD43E6">
        <w:rPr>
          <w:rStyle w:val="StyleStyleBold12pt"/>
        </w:rPr>
        <w:t>Mignolo</w:t>
      </w:r>
      <w:proofErr w:type="spellEnd"/>
      <w:r w:rsidRPr="00DD43E6">
        <w:rPr>
          <w:rStyle w:val="StyleStyleBold12pt"/>
        </w:rPr>
        <w:t xml:space="preserve"> 13</w:t>
      </w:r>
      <w:r>
        <w:t xml:space="preserve"> </w:t>
      </w:r>
      <w:r w:rsidRPr="00DD43E6">
        <w:rPr>
          <w:sz w:val="16"/>
          <w:szCs w:val="16"/>
        </w:rPr>
        <w:t xml:space="preserve">(Walter, Professor at Duke University, Joint Appointments in Cultural Anthropology and Romance </w:t>
      </w:r>
      <w:proofErr w:type="gramStart"/>
      <w:r w:rsidRPr="00DD43E6">
        <w:rPr>
          <w:sz w:val="16"/>
          <w:szCs w:val="16"/>
        </w:rPr>
        <w:t>Studies ,</w:t>
      </w:r>
      <w:proofErr w:type="gramEnd"/>
      <w:r w:rsidRPr="00DD43E6">
        <w:rPr>
          <w:sz w:val="16"/>
          <w:szCs w:val="16"/>
        </w:rPr>
        <w:t xml:space="preserve"> “DECOLONIAL THINKING AND EDUCATION: FRAGMENTS OF A ¨TERTULIA”, waltermignolo.com/ 1/25/13)</w:t>
      </w:r>
    </w:p>
    <w:p w:rsidR="00024685" w:rsidRPr="00244031" w:rsidRDefault="00024685" w:rsidP="00024685"/>
    <w:p w:rsidR="00024685" w:rsidRPr="00E570D5" w:rsidRDefault="00024685" w:rsidP="00024685">
      <w:pPr>
        <w:rPr>
          <w:rStyle w:val="StyleBoldUnderline"/>
        </w:rPr>
      </w:pPr>
      <w:r w:rsidRPr="00423E6D">
        <w:rPr>
          <w:sz w:val="16"/>
        </w:rPr>
        <w:t xml:space="preserve">On December 26, 2012 was held in Buenos Aires a </w:t>
      </w:r>
      <w:proofErr w:type="spellStart"/>
      <w:r w:rsidRPr="00423E6D">
        <w:rPr>
          <w:sz w:val="16"/>
        </w:rPr>
        <w:t>Tertulia</w:t>
      </w:r>
      <w:proofErr w:type="spellEnd"/>
      <w:r w:rsidRPr="00423E6D">
        <w:rPr>
          <w:sz w:val="16"/>
        </w:rPr>
        <w:t xml:space="preserve">, convened by Walter </w:t>
      </w:r>
      <w:proofErr w:type="spellStart"/>
      <w:r w:rsidRPr="00423E6D">
        <w:rPr>
          <w:sz w:val="16"/>
        </w:rPr>
        <w:t>Mignolo</w:t>
      </w:r>
      <w:proofErr w:type="spellEnd"/>
      <w:r w:rsidRPr="00423E6D">
        <w:rPr>
          <w:sz w:val="16"/>
        </w:rPr>
        <w:t xml:space="preserve"> (Duke University) and Cecilia Hecht (</w:t>
      </w:r>
      <w:proofErr w:type="spellStart"/>
      <w:r w:rsidRPr="00423E6D">
        <w:rPr>
          <w:sz w:val="16"/>
        </w:rPr>
        <w:t>BioeconTV</w:t>
      </w:r>
      <w:proofErr w:type="spellEnd"/>
      <w:r w:rsidRPr="00423E6D">
        <w:rPr>
          <w:sz w:val="16"/>
        </w:rPr>
        <w:t xml:space="preserve">) in a legendary cafe on </w:t>
      </w:r>
      <w:proofErr w:type="spellStart"/>
      <w:r w:rsidRPr="00423E6D">
        <w:rPr>
          <w:sz w:val="16"/>
        </w:rPr>
        <w:t>Avenida</w:t>
      </w:r>
      <w:proofErr w:type="spellEnd"/>
      <w:r w:rsidRPr="00423E6D">
        <w:rPr>
          <w:sz w:val="16"/>
        </w:rPr>
        <w:t xml:space="preserve"> Corrientes, a ¨</w:t>
      </w:r>
      <w:proofErr w:type="spellStart"/>
      <w:r w:rsidRPr="00423E6D">
        <w:rPr>
          <w:sz w:val="16"/>
        </w:rPr>
        <w:t>tertulia</w:t>
      </w:r>
      <w:proofErr w:type="spellEnd"/>
      <w:r w:rsidRPr="00423E6D">
        <w:rPr>
          <w:sz w:val="16"/>
        </w:rPr>
        <w:t xml:space="preserve">¨ on </w:t>
      </w:r>
      <w:hyperlink r:id="rId10" w:tgtFrame="_blank" w:history="1">
        <w:proofErr w:type="spellStart"/>
        <w:r w:rsidRPr="00423E6D">
          <w:rPr>
            <w:rStyle w:val="Hyperlink"/>
            <w:sz w:val="16"/>
          </w:rPr>
          <w:t>decolonial</w:t>
        </w:r>
        <w:proofErr w:type="spellEnd"/>
        <w:r w:rsidRPr="00423E6D">
          <w:rPr>
            <w:rStyle w:val="Hyperlink"/>
            <w:sz w:val="16"/>
          </w:rPr>
          <w:t xml:space="preserve"> thinking, cashless economy and education. </w:t>
        </w:r>
      </w:hyperlink>
      <w:r w:rsidRPr="00423E6D">
        <w:rPr>
          <w:sz w:val="16"/>
        </w:rPr>
        <w:t xml:space="preserve">The conversation focused on education. The topic was introduced by a quotation from the book of Ivan </w:t>
      </w:r>
      <w:proofErr w:type="spellStart"/>
      <w:r w:rsidRPr="00423E6D">
        <w:rPr>
          <w:sz w:val="16"/>
        </w:rPr>
        <w:t>Ilyich</w:t>
      </w:r>
      <w:proofErr w:type="spellEnd"/>
      <w:r w:rsidRPr="00423E6D">
        <w:rPr>
          <w:sz w:val="16"/>
        </w:rPr>
        <w:t xml:space="preserve"> (</w:t>
      </w:r>
      <w:proofErr w:type="spellStart"/>
      <w:r>
        <w:fldChar w:fldCharType="begin"/>
      </w:r>
      <w:r>
        <w:instrText xml:space="preserve"> HYPERLINK "http://www.preservenet.com/theory/Illich/Deschooling/intro.html" \t "_blank" </w:instrText>
      </w:r>
      <w:r>
        <w:fldChar w:fldCharType="separate"/>
      </w:r>
      <w:r w:rsidRPr="00423E6D">
        <w:rPr>
          <w:rStyle w:val="Hyperlink"/>
          <w:sz w:val="16"/>
        </w:rPr>
        <w:t>Deschooling</w:t>
      </w:r>
      <w:proofErr w:type="spellEnd"/>
      <w:r w:rsidRPr="00423E6D">
        <w:rPr>
          <w:rStyle w:val="Hyperlink"/>
          <w:sz w:val="16"/>
        </w:rPr>
        <w:t xml:space="preserve"> Society</w:t>
      </w:r>
      <w:r>
        <w:rPr>
          <w:rStyle w:val="Hyperlink"/>
          <w:sz w:val="16"/>
        </w:rPr>
        <w:fldChar w:fldCharType="end"/>
      </w:r>
      <w:r w:rsidRPr="00423E6D">
        <w:rPr>
          <w:sz w:val="16"/>
        </w:rPr>
        <w:t xml:space="preserve">) published in the early 70s. The initial paragraphs clearly state the </w:t>
      </w:r>
      <w:proofErr w:type="spellStart"/>
      <w:r w:rsidRPr="00423E6D">
        <w:rPr>
          <w:sz w:val="16"/>
        </w:rPr>
        <w:t>doble</w:t>
      </w:r>
      <w:proofErr w:type="spellEnd"/>
      <w:r w:rsidRPr="00423E6D">
        <w:rPr>
          <w:sz w:val="16"/>
        </w:rPr>
        <w:t xml:space="preserve"> side of modernity/</w:t>
      </w:r>
      <w:proofErr w:type="spellStart"/>
      <w:r w:rsidRPr="00423E6D">
        <w:rPr>
          <w:sz w:val="16"/>
        </w:rPr>
        <w:t>coloniality</w:t>
      </w:r>
      <w:proofErr w:type="spellEnd"/>
      <w:r w:rsidRPr="00423E6D">
        <w:rPr>
          <w:sz w:val="16"/>
        </w:rPr>
        <w:t xml:space="preserve">, although </w:t>
      </w:r>
      <w:proofErr w:type="spellStart"/>
      <w:r w:rsidRPr="00423E6D">
        <w:rPr>
          <w:sz w:val="16"/>
        </w:rPr>
        <w:t>Illich</w:t>
      </w:r>
      <w:proofErr w:type="spellEnd"/>
      <w:r w:rsidRPr="00423E6D">
        <w:rPr>
          <w:sz w:val="16"/>
        </w:rPr>
        <w:t xml:space="preserve"> doesn´t use this vocabulary. However, he was thinking the double side of development: </w:t>
      </w:r>
      <w:r w:rsidRPr="00547021">
        <w:rPr>
          <w:rStyle w:val="StyleBoldUnderline"/>
        </w:rPr>
        <w:t xml:space="preserve">the </w:t>
      </w:r>
      <w:proofErr w:type="spellStart"/>
      <w:r w:rsidRPr="00547021">
        <w:rPr>
          <w:rStyle w:val="StyleBoldUnderline"/>
        </w:rPr>
        <w:t>salvationist</w:t>
      </w:r>
      <w:proofErr w:type="spellEnd"/>
      <w:r w:rsidRPr="00547021">
        <w:rPr>
          <w:rStyle w:val="StyleBoldUnderline"/>
        </w:rPr>
        <w:t xml:space="preserve"> rhetoric of modernity</w:t>
      </w:r>
      <w:r w:rsidRPr="00423E6D">
        <w:rPr>
          <w:sz w:val="16"/>
        </w:rPr>
        <w:t xml:space="preserve"> that </w:t>
      </w:r>
      <w:r w:rsidRPr="00547021">
        <w:rPr>
          <w:rStyle w:val="StyleBoldUnderline"/>
        </w:rPr>
        <w:t xml:space="preserve">conceals the imperial logic of </w:t>
      </w:r>
      <w:proofErr w:type="spellStart"/>
      <w:r w:rsidRPr="00547021">
        <w:rPr>
          <w:rStyle w:val="StyleBoldUnderline"/>
        </w:rPr>
        <w:t>coloniality</w:t>
      </w:r>
      <w:proofErr w:type="spellEnd"/>
      <w:r w:rsidRPr="00547021">
        <w:rPr>
          <w:rStyle w:val="StyleBoldUnderline"/>
        </w:rPr>
        <w:t>.</w:t>
      </w:r>
      <w:r w:rsidRPr="00423E6D">
        <w:rPr>
          <w:sz w:val="16"/>
        </w:rPr>
        <w:t xml:space="preserve"> By </w:t>
      </w:r>
      <w:proofErr w:type="spellStart"/>
      <w:r>
        <w:rPr>
          <w:sz w:val="16"/>
        </w:rPr>
        <w:t>u</w:t>
      </w:r>
      <w:r w:rsidRPr="00423E6D">
        <w:rPr>
          <w:sz w:val="16"/>
        </w:rPr>
        <w:t>day’s</w:t>
      </w:r>
      <w:proofErr w:type="spellEnd"/>
      <w:r w:rsidRPr="00423E6D">
        <w:rPr>
          <w:sz w:val="16"/>
        </w:rPr>
        <w:t xml:space="preserve"> end and in closing the conversation, a series of points remain open for future ¨</w:t>
      </w:r>
      <w:proofErr w:type="spellStart"/>
      <w:r w:rsidRPr="00423E6D">
        <w:rPr>
          <w:sz w:val="16"/>
        </w:rPr>
        <w:t>tertulias</w:t>
      </w:r>
      <w:proofErr w:type="spellEnd"/>
      <w:r w:rsidRPr="00423E6D">
        <w:rPr>
          <w:sz w:val="16"/>
        </w:rPr>
        <w:t>.¨</w:t>
      </w:r>
      <w:r w:rsidRPr="00423E6D">
        <w:rPr>
          <w:sz w:val="12"/>
        </w:rPr>
        <w:t>¶</w:t>
      </w:r>
      <w:r w:rsidRPr="00423E6D">
        <w:rPr>
          <w:sz w:val="16"/>
        </w:rPr>
        <w:t xml:space="preserve"> What are the spaces in which the </w:t>
      </w:r>
      <w:proofErr w:type="spellStart"/>
      <w:r w:rsidRPr="00423E6D">
        <w:rPr>
          <w:sz w:val="16"/>
        </w:rPr>
        <w:t>coloniality</w:t>
      </w:r>
      <w:proofErr w:type="spellEnd"/>
      <w:r w:rsidRPr="00423E6D">
        <w:rPr>
          <w:sz w:val="16"/>
        </w:rPr>
        <w:t xml:space="preserve"> can be effective</w:t>
      </w:r>
      <w:r w:rsidRPr="000F5BE9">
        <w:rPr>
          <w:sz w:val="16"/>
        </w:rPr>
        <w:t>?</w:t>
      </w:r>
      <w:r w:rsidRPr="000F5BE9">
        <w:rPr>
          <w:sz w:val="12"/>
        </w:rPr>
        <w:t>¶</w:t>
      </w:r>
      <w:r w:rsidRPr="000F5BE9">
        <w:rPr>
          <w:sz w:val="16"/>
        </w:rPr>
        <w:t xml:space="preserve"> </w:t>
      </w:r>
      <w:r w:rsidRPr="000F5BE9">
        <w:rPr>
          <w:rStyle w:val="StyleBoldUnderline"/>
        </w:rPr>
        <w:t>The overall project</w:t>
      </w:r>
      <w:r w:rsidRPr="000F5BE9">
        <w:rPr>
          <w:sz w:val="16"/>
        </w:rPr>
        <w:t xml:space="preserve">, long term, </w:t>
      </w:r>
      <w:r w:rsidRPr="000F5BE9">
        <w:rPr>
          <w:rStyle w:val="StyleBoldUnderline"/>
        </w:rPr>
        <w:t>is to decolonize all areas of the colonial matrix</w:t>
      </w:r>
      <w:r w:rsidRPr="000F5BE9">
        <w:rPr>
          <w:sz w:val="16"/>
        </w:rPr>
        <w:t xml:space="preserve"> (or patron) </w:t>
      </w:r>
      <w:r w:rsidRPr="000F5BE9">
        <w:rPr>
          <w:rStyle w:val="StyleBoldUnderline"/>
        </w:rPr>
        <w:t>of power to release the fullness of human relationships. This requires a horizon of life that displaces the horizon of growth</w:t>
      </w:r>
      <w:r w:rsidRPr="006445D9">
        <w:rPr>
          <w:rStyle w:val="StyleBoldUnderline"/>
        </w:rPr>
        <w:t xml:space="preserve"> / enrichment / corruption</w:t>
      </w:r>
      <w:r w:rsidRPr="00547021">
        <w:rPr>
          <w:rStyle w:val="StyleBoldUnderline"/>
        </w:rPr>
        <w:t xml:space="preserve"> with growth management </w:t>
      </w:r>
      <w:r w:rsidRPr="006445D9">
        <w:rPr>
          <w:rStyle w:val="StyleBoldUnderline"/>
        </w:rPr>
        <w:t xml:space="preserve">to live in harmony rather than in </w:t>
      </w:r>
      <w:hyperlink r:id="rId11" w:tgtFrame="_blank" w:history="1">
        <w:r w:rsidRPr="006445D9">
          <w:rPr>
            <w:rStyle w:val="StyleBoldUnderline"/>
            <w:sz w:val="16"/>
          </w:rPr>
          <w:t>competition</w:t>
        </w:r>
        <w:r w:rsidRPr="006445D9">
          <w:rPr>
            <w:rStyle w:val="Hyperlink"/>
            <w:sz w:val="16"/>
          </w:rPr>
          <w:t xml:space="preserve"> to have more.</w:t>
        </w:r>
      </w:hyperlink>
      <w:r w:rsidRPr="00423E6D">
        <w:rPr>
          <w:sz w:val="12"/>
        </w:rPr>
        <w:t>¶</w:t>
      </w:r>
      <w:r w:rsidRPr="00423E6D">
        <w:rPr>
          <w:sz w:val="16"/>
        </w:rPr>
        <w:t xml:space="preserve"> </w:t>
      </w:r>
      <w:proofErr w:type="gramStart"/>
      <w:r w:rsidRPr="00547021">
        <w:rPr>
          <w:rStyle w:val="StyleBoldUnderline"/>
        </w:rPr>
        <w:t>The</w:t>
      </w:r>
      <w:proofErr w:type="gramEnd"/>
      <w:r w:rsidRPr="00547021">
        <w:rPr>
          <w:rStyle w:val="StyleBoldUnderline"/>
        </w:rPr>
        <w:t xml:space="preserve"> sphere of </w:t>
      </w:r>
      <w:r w:rsidRPr="006445D9">
        <w:rPr>
          <w:rStyle w:val="Emphasis"/>
          <w:highlight w:val="green"/>
        </w:rPr>
        <w:t>knowledge is critical</w:t>
      </w:r>
      <w:r w:rsidRPr="00423E6D">
        <w:rPr>
          <w:sz w:val="16"/>
        </w:rPr>
        <w:t xml:space="preserve"> since </w:t>
      </w:r>
      <w:r w:rsidRPr="00384385">
        <w:rPr>
          <w:rStyle w:val="StyleBoldUnderline"/>
          <w:highlight w:val="green"/>
        </w:rPr>
        <w:t>controlling knowledge means to control subjectivities</w:t>
      </w:r>
      <w:r w:rsidRPr="00423E6D">
        <w:rPr>
          <w:sz w:val="16"/>
          <w:highlight w:val="green"/>
        </w:rPr>
        <w:t>.</w:t>
      </w:r>
      <w:r w:rsidRPr="00423E6D">
        <w:rPr>
          <w:sz w:val="16"/>
        </w:rPr>
        <w:t xml:space="preserve"> </w:t>
      </w:r>
      <w:hyperlink r:id="rId12" w:tgtFrame="_blank" w:history="1">
        <w:r w:rsidRPr="00384385">
          <w:rPr>
            <w:rStyle w:val="StyleBoldUnderline"/>
            <w:highlight w:val="green"/>
          </w:rPr>
          <w:t>Decolonizing epistemolog</w:t>
        </w:r>
      </w:hyperlink>
      <w:r w:rsidRPr="00384385">
        <w:rPr>
          <w:rStyle w:val="StyleBoldUnderline"/>
          <w:highlight w:val="green"/>
        </w:rPr>
        <w:t>y is necessary</w:t>
      </w:r>
      <w:r w:rsidRPr="00547021">
        <w:rPr>
          <w:rStyle w:val="StyleBoldUnderline"/>
        </w:rPr>
        <w:t xml:space="preserve"> to release sensing and thinking from the prison house of aesthetics and philosophy.</w:t>
      </w:r>
      <w:r w:rsidRPr="00423E6D">
        <w:rPr>
          <w:sz w:val="16"/>
        </w:rPr>
        <w:t xml:space="preserve"> So </w:t>
      </w:r>
      <w:r w:rsidRPr="00384385">
        <w:rPr>
          <w:rStyle w:val="StyleBoldUnderline"/>
          <w:highlight w:val="green"/>
        </w:rPr>
        <w:t>to decolonize knowledge is tantamount with</w:t>
      </w:r>
      <w:r w:rsidRPr="00E570D5">
        <w:rPr>
          <w:rStyle w:val="StyleBoldUnderline"/>
        </w:rPr>
        <w:t xml:space="preserve"> </w:t>
      </w:r>
      <w:hyperlink r:id="rId13" w:tgtFrame="_blank" w:history="1">
        <w:r w:rsidRPr="00384385">
          <w:rPr>
            <w:rStyle w:val="StyleBoldUnderline"/>
            <w:highlight w:val="green"/>
          </w:rPr>
          <w:t>decolonizing</w:t>
        </w:r>
        <w:r w:rsidRPr="00E570D5">
          <w:rPr>
            <w:rStyle w:val="StyleBoldUnderline"/>
          </w:rPr>
          <w:t xml:space="preserve"> </w:t>
        </w:r>
        <w:r w:rsidRPr="00384385">
          <w:rPr>
            <w:rStyle w:val="StyleBoldUnderline"/>
            <w:highlight w:val="green"/>
          </w:rPr>
          <w:t>being</w:t>
        </w:r>
        <w:r w:rsidRPr="00E570D5">
          <w:rPr>
            <w:rStyle w:val="StyleBoldUnderline"/>
          </w:rPr>
          <w:t>, subjectivity.</w:t>
        </w:r>
      </w:hyperlink>
      <w:r w:rsidRPr="00423E6D">
        <w:rPr>
          <w:sz w:val="12"/>
        </w:rPr>
        <w:t>¶</w:t>
      </w:r>
      <w:r w:rsidRPr="00423E6D">
        <w:rPr>
          <w:sz w:val="16"/>
        </w:rPr>
        <w:t xml:space="preserve"> </w:t>
      </w:r>
      <w:proofErr w:type="gramStart"/>
      <w:r w:rsidRPr="00423E6D">
        <w:rPr>
          <w:sz w:val="16"/>
        </w:rPr>
        <w:t>In</w:t>
      </w:r>
      <w:proofErr w:type="gramEnd"/>
      <w:r w:rsidRPr="00423E6D">
        <w:rPr>
          <w:sz w:val="16"/>
        </w:rPr>
        <w:t xml:space="preserve"> this process, </w:t>
      </w:r>
      <w:r w:rsidRPr="00384385">
        <w:rPr>
          <w:rStyle w:val="Emphasis"/>
          <w:highlight w:val="green"/>
        </w:rPr>
        <w:t>education is key</w:t>
      </w:r>
      <w:r w:rsidRPr="00423E6D">
        <w:rPr>
          <w:sz w:val="16"/>
        </w:rPr>
        <w:t xml:space="preserve">. </w:t>
      </w:r>
      <w:r w:rsidRPr="00E570D5">
        <w:rPr>
          <w:rStyle w:val="StyleBoldUnderline"/>
        </w:rPr>
        <w:t xml:space="preserve">This is necessary and possible </w:t>
      </w:r>
      <w:r w:rsidRPr="00423E6D">
        <w:rPr>
          <w:rStyle w:val="Emphasis"/>
          <w:highlight w:val="green"/>
        </w:rPr>
        <w:t>to decolonize education</w:t>
      </w:r>
      <w:r w:rsidRPr="00423E6D">
        <w:rPr>
          <w:rStyle w:val="StyleBoldUnderline"/>
          <w:highlight w:val="green"/>
        </w:rPr>
        <w:t xml:space="preserve"> as schooling </w:t>
      </w:r>
      <w:r w:rsidRPr="00423E6D">
        <w:rPr>
          <w:rStyle w:val="Emphasis"/>
          <w:highlight w:val="green"/>
        </w:rPr>
        <w:t>to free learning and creativity</w:t>
      </w:r>
      <w:r w:rsidRPr="00E570D5">
        <w:rPr>
          <w:rStyle w:val="StyleBoldUnderline"/>
        </w:rPr>
        <w:t xml:space="preserve"> from global/imperial and local/state managements.</w:t>
      </w:r>
      <w:r w:rsidRPr="00423E6D">
        <w:rPr>
          <w:sz w:val="16"/>
        </w:rPr>
        <w:t xml:space="preserve"> </w:t>
      </w:r>
      <w:r w:rsidRPr="00E570D5">
        <w:rPr>
          <w:rStyle w:val="StyleBoldUnderline"/>
        </w:rPr>
        <w:t xml:space="preserve">The process of </w:t>
      </w:r>
      <w:r w:rsidRPr="00423E6D">
        <w:rPr>
          <w:rStyle w:val="StyleBoldUnderline"/>
          <w:highlight w:val="green"/>
        </w:rPr>
        <w:t>learning shall focus on the plenitude of people</w:t>
      </w:r>
      <w:r w:rsidRPr="00E570D5">
        <w:rPr>
          <w:rStyle w:val="StyleBoldUnderline"/>
        </w:rPr>
        <w:t xml:space="preserve"> and </w:t>
      </w:r>
      <w:r w:rsidRPr="00423E6D">
        <w:rPr>
          <w:rStyle w:val="StyleBoldUnderline"/>
          <w:highlight w:val="green"/>
        </w:rPr>
        <w:t>it should take precedence over the formation of ¨experts¨ and ¨citizens¨ at the service of the state</w:t>
      </w:r>
      <w:r w:rsidRPr="00E570D5">
        <w:rPr>
          <w:rStyle w:val="StyleBoldUnderline"/>
        </w:rPr>
        <w:t>.</w:t>
      </w:r>
      <w:r w:rsidRPr="00423E6D">
        <w:rPr>
          <w:rStyle w:val="StyleBoldUnderline"/>
          <w:sz w:val="12"/>
          <w:u w:val="none"/>
        </w:rPr>
        <w:t>¶</w:t>
      </w:r>
      <w:r w:rsidRPr="00E570D5">
        <w:rPr>
          <w:rStyle w:val="StyleBoldUnderline"/>
        </w:rPr>
        <w:t xml:space="preserve"> </w:t>
      </w:r>
    </w:p>
    <w:p w:rsidR="00024685" w:rsidRPr="00106863" w:rsidRDefault="00024685" w:rsidP="00024685">
      <w:pPr>
        <w:pStyle w:val="Heading4"/>
      </w:pPr>
      <w:r>
        <w:t>Dissent turns switch side</w:t>
      </w:r>
    </w:p>
    <w:p w:rsidR="00024685" w:rsidRPr="0039425C" w:rsidRDefault="00024685" w:rsidP="00024685">
      <w:r w:rsidRPr="00C51ECC">
        <w:rPr>
          <w:rStyle w:val="StyleStyleBold12pt"/>
        </w:rPr>
        <w:t>Feinberg &amp; Nemeth 08</w:t>
      </w:r>
      <w:r w:rsidRPr="00106863">
        <w:t xml:space="preserve"> </w:t>
      </w:r>
      <w:r>
        <w:t>(</w:t>
      </w:r>
      <w:r w:rsidRPr="00106863">
        <w:t xml:space="preserve">Matthew Feinberg and </w:t>
      </w:r>
      <w:proofErr w:type="spellStart"/>
      <w:r w:rsidRPr="00106863">
        <w:t>Charlan</w:t>
      </w:r>
      <w:proofErr w:type="spellEnd"/>
      <w:r w:rsidRPr="00106863">
        <w:t xml:space="preserve"> J. Nemeth Department of Psychology University of California, Berkeley Institute for Research on Labor and Employment </w:t>
      </w:r>
      <w:proofErr w:type="gramStart"/>
      <w:r w:rsidRPr="00106863">
        <w:t>The</w:t>
      </w:r>
      <w:proofErr w:type="gramEnd"/>
      <w:r w:rsidRPr="00106863">
        <w:t xml:space="preserve"> “Rules” of Brainstorming: An Impediment to Creativity? </w:t>
      </w:r>
      <w:hyperlink r:id="rId14" w:history="1">
        <w:r w:rsidRPr="00106863">
          <w:rPr>
            <w:rStyle w:val="Hyperlink"/>
          </w:rPr>
          <w:t>http://www.irle.berkeley.edu/workingpapers/167-08.pdf</w:t>
        </w:r>
      </w:hyperlink>
      <w:r>
        <w:t>)</w:t>
      </w:r>
    </w:p>
    <w:p w:rsidR="00024685" w:rsidRDefault="00024685" w:rsidP="00024685">
      <w:pPr>
        <w:pStyle w:val="card"/>
        <w:ind w:left="0"/>
        <w:rPr>
          <w:rFonts w:ascii="Georgia" w:eastAsia="Calibri" w:hAnsi="Georgia"/>
          <w:b/>
          <w:bCs/>
          <w:sz w:val="26"/>
          <w:szCs w:val="22"/>
        </w:rPr>
      </w:pPr>
    </w:p>
    <w:p w:rsidR="00024685" w:rsidRDefault="00024685" w:rsidP="00024685">
      <w:r w:rsidRPr="0039425C">
        <w:t>In contrast to such literature, there is some theoretical reasons and recent evidence to suggest th</w:t>
      </w:r>
      <w:r w:rsidRPr="00106863">
        <w:t xml:space="preserve">at these </w:t>
      </w:r>
      <w:r w:rsidRPr="00106863">
        <w:rPr>
          <w:rStyle w:val="StyleBoldUnderline"/>
        </w:rPr>
        <w:t>rules</w:t>
      </w:r>
      <w:r w:rsidRPr="00106863">
        <w:t xml:space="preserve"> and, in particular, the rule “not to criticize” may </w:t>
      </w:r>
      <w:r w:rsidRPr="00106863">
        <w:rPr>
          <w:rStyle w:val="StyleBoldUnderline"/>
        </w:rPr>
        <w:t>actually inhibit creativity</w:t>
      </w:r>
      <w:r w:rsidRPr="00106863">
        <w:t>. Rather</w:t>
      </w:r>
      <w:r w:rsidRPr="0039425C">
        <w:t xml:space="preserve">, there is evidence of the value of debate even criticism in the stimulation of creative thought. </w:t>
      </w:r>
      <w:r w:rsidRPr="00106863">
        <w:rPr>
          <w:rStyle w:val="StyleBoldUnderline"/>
        </w:rPr>
        <w:t>A variety of studies demonstrates</w:t>
      </w:r>
      <w:r w:rsidRPr="0039425C">
        <w:rPr>
          <w:rStyle w:val="StyleBoldUnderline"/>
        </w:rPr>
        <w:t xml:space="preserve"> that </w:t>
      </w:r>
      <w:r w:rsidRPr="0039425C">
        <w:rPr>
          <w:rStyle w:val="StyleBoldUnderline"/>
          <w:highlight w:val="green"/>
        </w:rPr>
        <w:t>exposure to</w:t>
      </w:r>
      <w:r w:rsidRPr="0039425C">
        <w:rPr>
          <w:rStyle w:val="StyleBoldUnderline"/>
        </w:rPr>
        <w:t xml:space="preserve"> </w:t>
      </w:r>
      <w:r w:rsidRPr="00106863">
        <w:rPr>
          <w:rStyle w:val="StyleBoldUnderline"/>
        </w:rPr>
        <w:t>a</w:t>
      </w:r>
      <w:r w:rsidRPr="0039425C">
        <w:rPr>
          <w:rStyle w:val="StyleBoldUnderline"/>
        </w:rPr>
        <w:t xml:space="preserve"> persistent </w:t>
      </w:r>
      <w:r w:rsidRPr="00106863">
        <w:rPr>
          <w:rStyle w:val="StyleBoldUnderline"/>
        </w:rPr>
        <w:t xml:space="preserve">minority </w:t>
      </w:r>
      <w:r w:rsidRPr="0039425C">
        <w:rPr>
          <w:rStyle w:val="StyleBoldUnderline"/>
          <w:highlight w:val="green"/>
        </w:rPr>
        <w:t>dissent</w:t>
      </w:r>
      <w:r w:rsidRPr="00106863">
        <w:rPr>
          <w:rStyle w:val="StyleBoldUnderline"/>
        </w:rPr>
        <w:t>er</w:t>
      </w:r>
      <w:r w:rsidRPr="0039425C">
        <w:rPr>
          <w:rStyle w:val="StyleBoldUnderline"/>
        </w:rPr>
        <w:t xml:space="preserve"> </w:t>
      </w:r>
      <w:r w:rsidRPr="0039425C">
        <w:rPr>
          <w:rStyle w:val="StyleBoldUnderline"/>
          <w:highlight w:val="green"/>
        </w:rPr>
        <w:t>sparks</w:t>
      </w:r>
      <w:r w:rsidRPr="0039425C">
        <w:rPr>
          <w:rStyle w:val="StyleBoldUnderline"/>
        </w:rPr>
        <w:t xml:space="preserve"> more </w:t>
      </w:r>
      <w:r w:rsidRPr="0039425C">
        <w:rPr>
          <w:rStyle w:val="StyleBoldUnderline"/>
          <w:highlight w:val="green"/>
        </w:rPr>
        <w:t>flexible</w:t>
      </w:r>
      <w:r w:rsidRPr="0039425C">
        <w:rPr>
          <w:rStyle w:val="StyleBoldUnderline"/>
        </w:rPr>
        <w:t xml:space="preserve">, </w:t>
      </w:r>
      <w:r w:rsidRPr="0039425C">
        <w:rPr>
          <w:rStyle w:val="StyleBoldUnderline"/>
          <w:highlight w:val="green"/>
        </w:rPr>
        <w:t>open-minded</w:t>
      </w:r>
      <w:r w:rsidRPr="0039425C">
        <w:rPr>
          <w:rStyle w:val="StyleBoldUnderline"/>
        </w:rPr>
        <w:t xml:space="preserve">, and multi-perspective </w:t>
      </w:r>
      <w:r w:rsidRPr="0039425C">
        <w:rPr>
          <w:rStyle w:val="StyleBoldUnderline"/>
          <w:highlight w:val="green"/>
        </w:rPr>
        <w:t>thinking</w:t>
      </w:r>
      <w:r w:rsidRPr="0039425C">
        <w:rPr>
          <w:rStyle w:val="StyleBoldUnderline"/>
        </w:rPr>
        <w:t xml:space="preserve"> </w:t>
      </w:r>
      <w:r w:rsidRPr="0039425C">
        <w:rPr>
          <w:rStyle w:val="StyleBoldUnderline"/>
          <w:highlight w:val="green"/>
        </w:rPr>
        <w:t>which</w:t>
      </w:r>
      <w:r w:rsidRPr="0039425C">
        <w:rPr>
          <w:rStyle w:val="StyleBoldUnderline"/>
        </w:rPr>
        <w:t xml:space="preserve">, in turn, </w:t>
      </w:r>
      <w:r w:rsidRPr="0039425C">
        <w:rPr>
          <w:rStyle w:val="StyleBoldUnderline"/>
          <w:highlight w:val="green"/>
        </w:rPr>
        <w:t>produces</w:t>
      </w:r>
      <w:r w:rsidRPr="0039425C">
        <w:rPr>
          <w:rStyle w:val="StyleBoldUnderline"/>
        </w:rPr>
        <w:t xml:space="preserve"> less conformist and more </w:t>
      </w:r>
      <w:r w:rsidRPr="0039425C">
        <w:rPr>
          <w:rStyle w:val="StyleBoldUnderline"/>
          <w:highlight w:val="green"/>
        </w:rPr>
        <w:t>creative outcomes</w:t>
      </w:r>
      <w:r w:rsidRPr="0039425C">
        <w:t xml:space="preserve"> (e.g., Peterson &amp; Nemeth, 1996; Nemeth &amp; Chiles, 1988; Nemeth &amp; Kwan, 1985). This line of research maintains that </w:t>
      </w:r>
      <w:r w:rsidRPr="0039425C">
        <w:rPr>
          <w:rStyle w:val="StyleBoldUnderline"/>
        </w:rPr>
        <w:t xml:space="preserve">the </w:t>
      </w:r>
      <w:r w:rsidRPr="0039425C">
        <w:rPr>
          <w:rStyle w:val="StyleBoldUnderline"/>
          <w:highlight w:val="green"/>
        </w:rPr>
        <w:t>benefits of dissent stem from the cognitive conflict it generates</w:t>
      </w:r>
      <w:r w:rsidRPr="0039425C">
        <w:rPr>
          <w:rStyle w:val="StyleBoldUnderline"/>
        </w:rPr>
        <w:t xml:space="preserve">; the dissent compels those in the majority to search for possible explanations as to why the dissenter is willing to openly disagree and suffer the rejection that often accompanies such disagreement. </w:t>
      </w:r>
      <w:r w:rsidRPr="0039425C">
        <w:rPr>
          <w:rStyle w:val="StyleBoldUnderline"/>
          <w:highlight w:val="green"/>
        </w:rPr>
        <w:t>This search for explanation</w:t>
      </w:r>
      <w:r w:rsidRPr="0039425C">
        <w:rPr>
          <w:rStyle w:val="StyleBoldUnderline"/>
        </w:rPr>
        <w:t xml:space="preserve">s then </w:t>
      </w:r>
      <w:r w:rsidRPr="0039425C">
        <w:rPr>
          <w:rStyle w:val="StyleBoldUnderline"/>
          <w:highlight w:val="green"/>
        </w:rPr>
        <w:t>fosters</w:t>
      </w:r>
      <w:r w:rsidRPr="004611D9">
        <w:rPr>
          <w:rStyle w:val="StyleBoldUnderline"/>
          <w:b/>
          <w:highlight w:val="green"/>
        </w:rPr>
        <w:t xml:space="preserve"> thinking on all sides of the issue</w:t>
      </w:r>
      <w:r w:rsidRPr="0039425C">
        <w:t xml:space="preserve"> (Nemeth, 2003). People search for information on all sides of the issue, use multiple strategies in problem solving and detect solutions that otherwise would have gone undetected (Nemeth, 1995).</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896" w:rsidRDefault="00727896" w:rsidP="005F5576">
      <w:r>
        <w:separator/>
      </w:r>
    </w:p>
  </w:endnote>
  <w:endnote w:type="continuationSeparator" w:id="0">
    <w:p w:rsidR="00727896" w:rsidRDefault="007278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896" w:rsidRDefault="00727896" w:rsidP="005F5576">
      <w:r>
        <w:separator/>
      </w:r>
    </w:p>
  </w:footnote>
  <w:footnote w:type="continuationSeparator" w:id="0">
    <w:p w:rsidR="00727896" w:rsidRDefault="007278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685"/>
    <w:rsid w:val="000022F2"/>
    <w:rsid w:val="0000459F"/>
    <w:rsid w:val="00004EB4"/>
    <w:rsid w:val="0002196C"/>
    <w:rsid w:val="00021F29"/>
    <w:rsid w:val="00024685"/>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88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46F"/>
    <w:rsid w:val="00723F91"/>
    <w:rsid w:val="00725623"/>
    <w:rsid w:val="0072789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3F4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C5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7C7"/>
    <w:rsid w:val="00F634D6"/>
    <w:rsid w:val="00F64385"/>
    <w:rsid w:val="00F6473F"/>
    <w:rsid w:val="00F76366"/>
    <w:rsid w:val="00F805C0"/>
    <w:rsid w:val="00F878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68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TAG Char1,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basedOn w:val="DefaultParagraphFont"/>
    <w:link w:val="card"/>
    <w:locked/>
    <w:rsid w:val="00024685"/>
    <w:rPr>
      <w:rFonts w:ascii="Times New Roman" w:eastAsia="Times New Roman" w:hAnsi="Times New Roman" w:cs="Times New Roman"/>
      <w:kern w:val="32"/>
      <w:sz w:val="20"/>
      <w:szCs w:val="20"/>
    </w:rPr>
  </w:style>
  <w:style w:type="paragraph" w:customStyle="1" w:styleId="card">
    <w:name w:val="card"/>
    <w:basedOn w:val="Normal"/>
    <w:link w:val="cardChar"/>
    <w:qFormat/>
    <w:rsid w:val="00024685"/>
    <w:pPr>
      <w:ind w:left="288" w:right="288"/>
    </w:pPr>
    <w:rPr>
      <w:rFonts w:ascii="Times New Roman" w:eastAsia="Times New Roman" w:hAnsi="Times New Roman" w:cs="Times New Roman"/>
      <w:kern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68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TAG Char1,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cardChar">
    <w:name w:val="card Char"/>
    <w:basedOn w:val="DefaultParagraphFont"/>
    <w:link w:val="card"/>
    <w:locked/>
    <w:rsid w:val="00024685"/>
    <w:rPr>
      <w:rFonts w:ascii="Times New Roman" w:eastAsia="Times New Roman" w:hAnsi="Times New Roman" w:cs="Times New Roman"/>
      <w:kern w:val="32"/>
      <w:sz w:val="20"/>
      <w:szCs w:val="20"/>
    </w:rPr>
  </w:style>
  <w:style w:type="paragraph" w:customStyle="1" w:styleId="card">
    <w:name w:val="card"/>
    <w:basedOn w:val="Normal"/>
    <w:link w:val="cardChar"/>
    <w:qFormat/>
    <w:rsid w:val="00024685"/>
    <w:pPr>
      <w:ind w:left="288" w:right="288"/>
    </w:pPr>
    <w:rPr>
      <w:rFonts w:ascii="Times New Roman" w:eastAsia="Times New Roman" w:hAnsi="Times New Roman" w:cs="Times New Roman"/>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colonialtranslation.com/english/maldonado-on-the-coloniality-of-bein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books/978082324934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pfdc.org/economics/883-w-mignolo-the-economy-of-more-is-no-longer-sustainable"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vimeo.com/5801137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rle.berkeley.edu/workingpapers/167-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Ryan McCoy, Team 2010</cp:lastModifiedBy>
  <cp:revision>1</cp:revision>
  <dcterms:created xsi:type="dcterms:W3CDTF">2013-11-24T01:05:00Z</dcterms:created>
  <dcterms:modified xsi:type="dcterms:W3CDTF">2013-11-24T01:06:00Z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