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DD3" w:rsidRPr="00193E46" w:rsidRDefault="00065DD3" w:rsidP="00065DD3">
      <w:pPr>
        <w:pStyle w:val="Heading3"/>
      </w:pPr>
      <w:r>
        <w:t>QPQ</w:t>
      </w:r>
    </w:p>
    <w:p w:rsidR="00065DD3" w:rsidRPr="008D5A27" w:rsidRDefault="00065DD3" w:rsidP="00065DD3">
      <w:pPr>
        <w:keepNext/>
        <w:keepLines/>
        <w:spacing w:before="200"/>
        <w:outlineLvl w:val="3"/>
        <w:rPr>
          <w:rFonts w:eastAsia="MS Gothic"/>
          <w:b/>
          <w:bCs/>
          <w:iCs/>
        </w:rPr>
      </w:pPr>
      <w:r>
        <w:rPr>
          <w:rFonts w:eastAsia="MS Gothic"/>
          <w:b/>
        </w:rPr>
        <w:t>WM- Conditions are required for every ExIm loan</w:t>
      </w:r>
    </w:p>
    <w:p w:rsidR="00065DD3" w:rsidRPr="008D5A27" w:rsidRDefault="00065DD3" w:rsidP="00065DD3">
      <w:pPr>
        <w:rPr>
          <w:rFonts w:eastAsia="Cambria"/>
        </w:rPr>
      </w:pPr>
      <w:r w:rsidRPr="008D5A27">
        <w:rPr>
          <w:rFonts w:eastAsia="Cambria"/>
          <w:b/>
          <w:bCs/>
        </w:rPr>
        <w:t>Brannon 11</w:t>
      </w:r>
      <w:r w:rsidRPr="008D5A27">
        <w:rPr>
          <w:rFonts w:eastAsia="Cambria"/>
        </w:rPr>
        <w:t xml:space="preserve"> – PhD in Economics @ Indiana</w:t>
      </w:r>
    </w:p>
    <w:p w:rsidR="00065DD3" w:rsidRPr="008D5A27" w:rsidRDefault="00065DD3" w:rsidP="00065DD3">
      <w:pPr>
        <w:rPr>
          <w:rFonts w:eastAsia="Cambria"/>
        </w:rPr>
      </w:pPr>
      <w:r w:rsidRPr="008D5A27">
        <w:rPr>
          <w:rFonts w:eastAsia="Cambria"/>
        </w:rPr>
        <w:t>(Ike and Elizabeth Lowell, “Export-Import Bank: Obstacles and Options for Reform,” American Action Forum, http://americanactionforum.org/sites/default/files/Ex-Im%20Final%20Draft21.pdf)</w:t>
      </w:r>
    </w:p>
    <w:p w:rsidR="00065DD3" w:rsidRPr="008D5A27" w:rsidRDefault="00065DD3" w:rsidP="00065DD3">
      <w:pPr>
        <w:ind w:left="288" w:right="288"/>
        <w:rPr>
          <w:rFonts w:eastAsia="Times New Roman"/>
          <w:sz w:val="16"/>
          <w:szCs w:val="16"/>
        </w:rPr>
      </w:pPr>
      <w:r w:rsidRPr="008D5A27">
        <w:rPr>
          <w:rFonts w:eastAsia="MS Gothic"/>
          <w:szCs w:val="24"/>
          <w:highlight w:val="cyan"/>
          <w:u w:val="single"/>
        </w:rPr>
        <w:t xml:space="preserve">Congress imposes a </w:t>
      </w:r>
      <w:r w:rsidRPr="008D5A27">
        <w:rPr>
          <w:rFonts w:eastAsia="MS Gothic"/>
          <w:b/>
          <w:iCs/>
          <w:szCs w:val="24"/>
          <w:highlight w:val="cyan"/>
          <w:u w:val="single"/>
          <w:bdr w:val="single" w:sz="18" w:space="0" w:color="auto"/>
        </w:rPr>
        <w:t>host</w:t>
      </w:r>
      <w:r w:rsidRPr="008D5A27">
        <w:rPr>
          <w:rFonts w:eastAsia="MS Gothic"/>
          <w:szCs w:val="24"/>
          <w:highlight w:val="cyan"/>
          <w:u w:val="single"/>
        </w:rPr>
        <w:t xml:space="preserve"> of criteria that Ex-Im must </w:t>
      </w:r>
      <w:r w:rsidRPr="008D5A27">
        <w:rPr>
          <w:rFonts w:eastAsia="MS Gothic"/>
          <w:sz w:val="12"/>
          <w:szCs w:val="24"/>
          <w:highlight w:val="cyan"/>
        </w:rPr>
        <w:t>¶</w:t>
      </w:r>
      <w:r w:rsidRPr="008D5A27">
        <w:rPr>
          <w:rFonts w:eastAsia="MS Gothic"/>
          <w:szCs w:val="24"/>
          <w:highlight w:val="cyan"/>
          <w:u w:val="single"/>
        </w:rPr>
        <w:t xml:space="preserve"> take into account before providing financing, such as</w:t>
      </w:r>
      <w:r w:rsidRPr="008D5A27">
        <w:rPr>
          <w:rFonts w:eastAsia="MS Gothic"/>
          <w:sz w:val="12"/>
          <w:szCs w:val="24"/>
          <w:highlight w:val="cyan"/>
        </w:rPr>
        <w:t>¶</w:t>
      </w:r>
      <w:r w:rsidRPr="008D5A27">
        <w:rPr>
          <w:rFonts w:eastAsia="MS Gothic"/>
          <w:szCs w:val="24"/>
          <w:highlight w:val="cyan"/>
          <w:u w:val="single"/>
        </w:rPr>
        <w:t xml:space="preserve"> requirements for</w:t>
      </w:r>
      <w:r w:rsidRPr="008D5A27">
        <w:rPr>
          <w:rFonts w:eastAsia="Times New Roman"/>
          <w:sz w:val="16"/>
          <w:szCs w:val="16"/>
        </w:rPr>
        <w:t xml:space="preserve"> reasonable assurance of </w:t>
      </w:r>
      <w:r w:rsidRPr="008D5A27">
        <w:rPr>
          <w:rFonts w:eastAsia="MS Gothic"/>
          <w:szCs w:val="24"/>
          <w:highlight w:val="cyan"/>
          <w:u w:val="single"/>
        </w:rPr>
        <w:t>repayment</w:t>
      </w:r>
      <w:r w:rsidRPr="008D5A27">
        <w:rPr>
          <w:rFonts w:eastAsia="Times New Roman"/>
          <w:sz w:val="16"/>
          <w:szCs w:val="16"/>
        </w:rPr>
        <w:t xml:space="preserve"> </w:t>
      </w:r>
      <w:r w:rsidRPr="008D5A27">
        <w:rPr>
          <w:rFonts w:eastAsia="Times New Roman"/>
          <w:sz w:val="12"/>
          <w:szCs w:val="24"/>
        </w:rPr>
        <w:t xml:space="preserve">¶ </w:t>
      </w:r>
      <w:r w:rsidRPr="008D5A27">
        <w:rPr>
          <w:rFonts w:eastAsia="Times New Roman"/>
          <w:sz w:val="16"/>
          <w:szCs w:val="16"/>
        </w:rPr>
        <w:t xml:space="preserve">without competing with private capital, foreign </w:t>
      </w:r>
      <w:r w:rsidRPr="008D5A27">
        <w:rPr>
          <w:rFonts w:eastAsia="Times New Roman"/>
          <w:sz w:val="12"/>
          <w:szCs w:val="24"/>
        </w:rPr>
        <w:t xml:space="preserve">¶ </w:t>
      </w:r>
      <w:r w:rsidRPr="008D5A27">
        <w:rPr>
          <w:rFonts w:eastAsia="MS Gothic"/>
          <w:szCs w:val="24"/>
          <w:highlight w:val="cyan"/>
          <w:u w:val="single"/>
        </w:rPr>
        <w:t>content restrictions</w:t>
      </w:r>
      <w:r w:rsidRPr="008D5A27">
        <w:rPr>
          <w:rFonts w:eastAsia="Times New Roman"/>
          <w:sz w:val="16"/>
          <w:szCs w:val="16"/>
          <w:highlight w:val="cyan"/>
        </w:rPr>
        <w:t xml:space="preserve">, </w:t>
      </w:r>
      <w:r w:rsidRPr="008D5A27">
        <w:rPr>
          <w:rFonts w:eastAsia="Times New Roman"/>
          <w:sz w:val="16"/>
          <w:szCs w:val="16"/>
        </w:rPr>
        <w:t xml:space="preserve">transportation of exports using </w:t>
      </w:r>
      <w:r w:rsidRPr="008D5A27">
        <w:rPr>
          <w:rFonts w:eastAsia="Times New Roman"/>
          <w:sz w:val="12"/>
          <w:szCs w:val="24"/>
        </w:rPr>
        <w:t xml:space="preserve">¶ </w:t>
      </w:r>
      <w:r w:rsidRPr="008D5A27">
        <w:rPr>
          <w:rFonts w:eastAsia="Times New Roman"/>
          <w:sz w:val="16"/>
          <w:szCs w:val="16"/>
        </w:rPr>
        <w:t xml:space="preserve">U.S. vessels, exclusion of military products, </w:t>
      </w:r>
      <w:r w:rsidRPr="008D5A27">
        <w:rPr>
          <w:rFonts w:eastAsia="Times New Roman"/>
          <w:sz w:val="12"/>
          <w:szCs w:val="24"/>
        </w:rPr>
        <w:t xml:space="preserve">¶ </w:t>
      </w:r>
      <w:r w:rsidRPr="008D5A27">
        <w:rPr>
          <w:rFonts w:eastAsia="MS Gothic"/>
          <w:szCs w:val="24"/>
          <w:highlight w:val="cyan"/>
          <w:u w:val="single"/>
        </w:rPr>
        <w:t>consideration of environmental impact</w:t>
      </w:r>
      <w:r w:rsidRPr="008D5A27">
        <w:rPr>
          <w:rFonts w:eastAsia="Times New Roman"/>
          <w:sz w:val="16"/>
          <w:szCs w:val="16"/>
        </w:rPr>
        <w:t xml:space="preserve">, and </w:t>
      </w:r>
      <w:r w:rsidRPr="008D5A27">
        <w:rPr>
          <w:rFonts w:eastAsia="Times New Roman"/>
          <w:sz w:val="12"/>
          <w:szCs w:val="24"/>
        </w:rPr>
        <w:t xml:space="preserve">¶ </w:t>
      </w:r>
      <w:r w:rsidRPr="008D5A27">
        <w:rPr>
          <w:rFonts w:eastAsia="Times New Roman"/>
          <w:sz w:val="16"/>
          <w:szCs w:val="16"/>
        </w:rPr>
        <w:t xml:space="preserve">allocation of 10 percent of financing for renewable </w:t>
      </w:r>
      <w:r w:rsidRPr="008D5A27">
        <w:rPr>
          <w:rFonts w:eastAsia="Times New Roman"/>
          <w:sz w:val="12"/>
          <w:szCs w:val="24"/>
        </w:rPr>
        <w:t xml:space="preserve">¶ </w:t>
      </w:r>
      <w:r w:rsidRPr="008D5A27">
        <w:rPr>
          <w:rFonts w:eastAsia="Times New Roman"/>
          <w:sz w:val="16"/>
          <w:szCs w:val="16"/>
        </w:rPr>
        <w:t>energy and energy-efficient products and 20 percent</w:t>
      </w:r>
      <w:r w:rsidRPr="008D5A27">
        <w:rPr>
          <w:rFonts w:eastAsia="Times New Roman"/>
          <w:sz w:val="12"/>
          <w:szCs w:val="24"/>
        </w:rPr>
        <w:t xml:space="preserve">¶ </w:t>
      </w:r>
      <w:r w:rsidRPr="008D5A27">
        <w:rPr>
          <w:rFonts w:eastAsia="Times New Roman"/>
          <w:sz w:val="16"/>
          <w:szCs w:val="16"/>
        </w:rPr>
        <w:t>for small businesses.</w:t>
      </w:r>
    </w:p>
    <w:p w:rsidR="00065DD3" w:rsidRPr="00193E46" w:rsidRDefault="00065DD3" w:rsidP="00065DD3"/>
    <w:p w:rsidR="00065DD3" w:rsidRPr="007737D1" w:rsidRDefault="00065DD3" w:rsidP="00065DD3">
      <w:pPr>
        <w:pStyle w:val="Heading4"/>
        <w:rPr>
          <w:rFonts w:cs="Times New Roman"/>
        </w:rPr>
      </w:pPr>
      <w:r>
        <w:rPr>
          <w:rFonts w:cs="Times New Roman"/>
          <w:bCs w:val="0"/>
          <w:iCs w:val="0"/>
        </w:rPr>
        <w:t xml:space="preserve">C/I: Economic Engagement can be both </w:t>
      </w:r>
    </w:p>
    <w:p w:rsidR="00065DD3" w:rsidRPr="007737D1" w:rsidRDefault="00065DD3" w:rsidP="00065DD3">
      <w:r w:rsidRPr="007737D1">
        <w:rPr>
          <w:rStyle w:val="StyleStyleBold12pt"/>
        </w:rPr>
        <w:t>Kane 8</w:t>
      </w:r>
      <w:r w:rsidRPr="007737D1">
        <w:t xml:space="preserve"> – Major USMC</w:t>
      </w:r>
    </w:p>
    <w:p w:rsidR="00065DD3" w:rsidRPr="007737D1" w:rsidRDefault="00065DD3" w:rsidP="00065DD3">
      <w:r w:rsidRPr="007737D1">
        <w:t>Brian, “Comprehensive Engagement: A Winning Strategy,” MA Thesis, http://www.dtic.mil/dtic/tr/fulltext/u2/a504901.pdf</w:t>
      </w:r>
    </w:p>
    <w:p w:rsidR="00065DD3" w:rsidRDefault="00065DD3" w:rsidP="00065DD3">
      <w:r w:rsidRPr="00065DD3">
        <w:t xml:space="preserve">Engagement strategies are not new. Since the end of the Cold War, engagement </w:t>
      </w:r>
    </w:p>
    <w:p w:rsidR="00065DD3" w:rsidRDefault="00065DD3" w:rsidP="00065DD3">
      <w:r>
        <w:t>AND</w:t>
      </w:r>
    </w:p>
    <w:p w:rsidR="00065DD3" w:rsidRPr="00065DD3" w:rsidRDefault="00065DD3" w:rsidP="00065DD3">
      <w:r w:rsidRPr="00065DD3">
        <w:t>10¶ This definition of engagement has been the most successful historically.11</w:t>
      </w:r>
    </w:p>
    <w:p w:rsidR="00065DD3" w:rsidRPr="00ED11E8" w:rsidRDefault="00065DD3" w:rsidP="00065DD3">
      <w:pPr>
        <w:pStyle w:val="Heading4"/>
      </w:pPr>
      <w:r w:rsidRPr="00ED11E8">
        <w:t>Toward means ‘in the direction of’</w:t>
      </w:r>
    </w:p>
    <w:p w:rsidR="00065DD3" w:rsidRPr="00ED11E8" w:rsidRDefault="00065DD3" w:rsidP="00065DD3">
      <w:r w:rsidRPr="00ED11E8">
        <w:rPr>
          <w:rStyle w:val="StyleBoldUnderline"/>
        </w:rPr>
        <w:t>to·ward</w:t>
      </w:r>
      <w:r>
        <w:t xml:space="preserve"> </w:t>
      </w:r>
      <w:r w:rsidRPr="00ED11E8">
        <w:t>(tôrd, trd, t-wôrd) KEY</w:t>
      </w:r>
      <w:r>
        <w:t xml:space="preserve"> </w:t>
      </w:r>
      <w:r w:rsidRPr="00ED11E8">
        <w:t>PREPOSITION:</w:t>
      </w:r>
      <w:r>
        <w:t xml:space="preserve"> </w:t>
      </w:r>
      <w:r w:rsidRPr="00ED11E8">
        <w:t>also to·wards</w:t>
      </w:r>
      <w:r>
        <w:t xml:space="preserve"> </w:t>
      </w:r>
      <w:r w:rsidRPr="00ED11E8">
        <w:t>(tôrdz, trdz, t-wôrdz) KEY</w:t>
      </w:r>
      <w:r>
        <w:t xml:space="preserve"> </w:t>
      </w:r>
      <w:r w:rsidRPr="005F7760">
        <w:rPr>
          <w:rStyle w:val="StyleBoldUnderline"/>
          <w:highlight w:val="green"/>
        </w:rPr>
        <w:t>In the direction of</w:t>
      </w:r>
      <w:r w:rsidRPr="00ED11E8">
        <w:t>: driving toward home.</w:t>
      </w:r>
    </w:p>
    <w:p w:rsidR="00065DD3" w:rsidRPr="00ED11E8" w:rsidRDefault="00065DD3" w:rsidP="00065DD3">
      <w:r>
        <w:rPr>
          <w:b/>
        </w:rPr>
        <w:t xml:space="preserve">That’s </w:t>
      </w:r>
      <w:r w:rsidRPr="00ED11E8">
        <w:rPr>
          <w:b/>
        </w:rPr>
        <w:t xml:space="preserve">American Heritage, 9 </w:t>
      </w:r>
      <w:r w:rsidRPr="00ED11E8">
        <w:t xml:space="preserve">(‘toward’, </w:t>
      </w:r>
      <w:hyperlink r:id="rId10" w:history="1">
        <w:r w:rsidRPr="00ED11E8">
          <w:rPr>
            <w:rStyle w:val="Hyperlink"/>
          </w:rPr>
          <w:t>http://education.yahoo.com/reference/dictionary/entry/toward</w:t>
        </w:r>
      </w:hyperlink>
      <w:r w:rsidRPr="00ED11E8">
        <w:t>)</w:t>
      </w:r>
    </w:p>
    <w:p w:rsidR="00065DD3" w:rsidRDefault="00065DD3" w:rsidP="00065DD3"/>
    <w:p w:rsidR="00065DD3" w:rsidRPr="00856E68" w:rsidRDefault="00065DD3" w:rsidP="00065DD3"/>
    <w:p w:rsidR="00065DD3" w:rsidRPr="00017BBE" w:rsidRDefault="00065DD3" w:rsidP="00065DD3"/>
    <w:p w:rsidR="00065DD3" w:rsidRDefault="00065DD3" w:rsidP="00065DD3">
      <w:pPr>
        <w:pStyle w:val="Heading3"/>
      </w:pPr>
      <w:r>
        <w:lastRenderedPageBreak/>
        <w:t>Direct Talks</w:t>
      </w:r>
    </w:p>
    <w:p w:rsidR="00065DD3" w:rsidRPr="00C76D75" w:rsidRDefault="00065DD3" w:rsidP="00065DD3">
      <w:pPr>
        <w:pStyle w:val="Heading4"/>
      </w:pPr>
      <w:r>
        <w:rPr>
          <w:bCs w:val="0"/>
          <w:iCs w:val="0"/>
        </w:rPr>
        <w:t>C/I – economic incentives</w:t>
      </w:r>
    </w:p>
    <w:p w:rsidR="00065DD3" w:rsidRPr="00C76D75" w:rsidRDefault="00065DD3" w:rsidP="00065DD3">
      <w:r w:rsidRPr="00C76D75">
        <w:rPr>
          <w:rStyle w:val="StyleStyleBold12pt"/>
        </w:rPr>
        <w:t>Haass and O’Sullivan 2k</w:t>
      </w:r>
      <w:r w:rsidRPr="00C76D75">
        <w:t xml:space="preserve"> - *Vice President and Director of Foreign Policy Studies at the Brookings Institution AND **a Fellow with the Foreign Policy Studies Program at the Brookings Institution </w:t>
      </w:r>
    </w:p>
    <w:p w:rsidR="00065DD3" w:rsidRPr="00C76D75" w:rsidRDefault="00065DD3" w:rsidP="00065DD3">
      <w:r w:rsidRPr="00C76D75">
        <w:t xml:space="preserve">(Richard and Meghan, “Terms of Engagement: Alternatives to Punitive Policies” Survival,, vol. 42, no. 2, Summer, </w:t>
      </w:r>
      <w:hyperlink r:id="rId11" w:history="1">
        <w:r w:rsidRPr="00C76D75">
          <w:rPr>
            <w:rStyle w:val="Hyperlink"/>
          </w:rPr>
          <w:t>http://www.brookings.edu/~/media/research/files/articles/2000/6/summer%20haass/2000survival.pdf</w:t>
        </w:r>
      </w:hyperlink>
      <w:r w:rsidRPr="00C76D75">
        <w:t>)</w:t>
      </w:r>
    </w:p>
    <w:p w:rsidR="00065DD3" w:rsidRDefault="00065DD3" w:rsidP="00065DD3">
      <w:r w:rsidRPr="00065DD3">
        <w:t xml:space="preserve">Architects of engagement strategies can choose from a wide variety of incentives. Economic engagement </w:t>
      </w:r>
    </w:p>
    <w:p w:rsidR="00065DD3" w:rsidRDefault="00065DD3" w:rsidP="00065DD3">
      <w:r>
        <w:t>AND</w:t>
      </w:r>
    </w:p>
    <w:p w:rsidR="00065DD3" w:rsidRPr="00065DD3" w:rsidRDefault="00065DD3" w:rsidP="00065DD3">
      <w:r w:rsidRPr="00065DD3">
        <w:t>are just some of the possible incentives used in the form of engagement.</w:t>
      </w:r>
    </w:p>
    <w:p w:rsidR="00065DD3" w:rsidRPr="00C76D75" w:rsidRDefault="00065DD3" w:rsidP="00065DD3">
      <w:pPr>
        <w:pStyle w:val="Heading4"/>
      </w:pPr>
      <w:r>
        <w:rPr>
          <w:bCs w:val="0"/>
          <w:iCs w:val="0"/>
        </w:rPr>
        <w:t>Ex-Im</w:t>
      </w:r>
      <w:r w:rsidRPr="00C76D75">
        <w:rPr>
          <w:bCs w:val="0"/>
          <w:iCs w:val="0"/>
        </w:rPr>
        <w:t xml:space="preserve"> meet</w:t>
      </w:r>
      <w:r>
        <w:rPr>
          <w:bCs w:val="0"/>
          <w:iCs w:val="0"/>
        </w:rPr>
        <w:t xml:space="preserve">s that </w:t>
      </w:r>
    </w:p>
    <w:p w:rsidR="00065DD3" w:rsidRDefault="00065DD3" w:rsidP="00065DD3">
      <w:r w:rsidRPr="00065DD3">
        <w:t>Sheppard 3 – JD, represents clients before the IRS regarding foreign financial accounts (</w:t>
      </w:r>
    </w:p>
    <w:p w:rsidR="00065DD3" w:rsidRDefault="00065DD3" w:rsidP="00065DD3">
      <w:r>
        <w:t>AND</w:t>
      </w:r>
    </w:p>
    <w:p w:rsidR="00065DD3" w:rsidRPr="00065DD3" w:rsidRDefault="00065DD3" w:rsidP="00065DD3">
      <w:r w:rsidRPr="00065DD3">
        <w:t>Chance Compliance Initiative (LCCI), and Offshore Voluntary Disclosure Program (OVDP)</w:t>
      </w:r>
    </w:p>
    <w:p w:rsidR="00065DD3" w:rsidRPr="00C76D75" w:rsidRDefault="00065DD3" w:rsidP="00065DD3">
      <w:r w:rsidRPr="00C76D75">
        <w:t xml:space="preserve">(Hale, “Revamping the Export-Import Bank in 2002: The Impact of This Interim Solution on the United States and Latin America,” 6 N.Y.U. J. Legis. &amp; Pub. Pol'y 130, Hein Online) </w:t>
      </w:r>
    </w:p>
    <w:p w:rsidR="00065DD3" w:rsidRDefault="00065DD3" w:rsidP="00065DD3">
      <w:r w:rsidRPr="00065DD3">
        <w:t xml:space="preserve">The Ex-Im Bank promotes the export of U.S. goods and </w:t>
      </w:r>
    </w:p>
    <w:p w:rsidR="00065DD3" w:rsidRDefault="00065DD3" w:rsidP="00065DD3">
      <w:r>
        <w:t>AND</w:t>
      </w:r>
    </w:p>
    <w:p w:rsidR="00065DD3" w:rsidRPr="00065DD3" w:rsidRDefault="00065DD3" w:rsidP="00065DD3">
      <w:r w:rsidRPr="00065DD3">
        <w:t>S. export transactions,¶ ninety percent of which involved small businesses.13</w:t>
      </w:r>
    </w:p>
    <w:p w:rsidR="00065DD3" w:rsidRDefault="00065DD3" w:rsidP="00065DD3"/>
    <w:p w:rsidR="00065DD3" w:rsidRDefault="00065DD3" w:rsidP="00065DD3">
      <w:pPr>
        <w:pStyle w:val="Heading3"/>
      </w:pPr>
      <w:r>
        <w:lastRenderedPageBreak/>
        <w:t>Oil</w:t>
      </w:r>
    </w:p>
    <w:p w:rsidR="00065DD3" w:rsidRPr="007737D1" w:rsidRDefault="00065DD3" w:rsidP="00065DD3">
      <w:pPr>
        <w:pStyle w:val="Heading4"/>
      </w:pPr>
      <w:r w:rsidRPr="007737D1">
        <w:rPr>
          <w:bCs w:val="0"/>
          <w:iCs w:val="0"/>
        </w:rPr>
        <w:t>Warming collapses the economy</w:t>
      </w:r>
    </w:p>
    <w:p w:rsidR="00065DD3" w:rsidRPr="007737D1" w:rsidRDefault="00065DD3" w:rsidP="00065DD3">
      <w:r w:rsidRPr="007737D1">
        <w:rPr>
          <w:rStyle w:val="StyleStyleBold12pt"/>
        </w:rPr>
        <w:t>Purvis 8</w:t>
      </w:r>
      <w:r w:rsidRPr="007737D1">
        <w:t xml:space="preserve"> – Senior Fellow at the United Nations Foundation and research position @ Brookings</w:t>
      </w:r>
    </w:p>
    <w:p w:rsidR="00065DD3" w:rsidRPr="007737D1" w:rsidRDefault="00065DD3" w:rsidP="00065DD3">
      <w:r w:rsidRPr="007737D1">
        <w:t>(Nigel, “U.S. Global Leadership to Safeguard our Climate, Security, and Economy,” http://www.globalproblems-globalsolutions-files.org/unf_website/PDF/2008_purvis_climatechange.pdf)</w:t>
      </w:r>
    </w:p>
    <w:p w:rsidR="00065DD3" w:rsidRDefault="00065DD3" w:rsidP="00065DD3">
      <w:r w:rsidRPr="00065DD3">
        <w:t xml:space="preserve">Climate change is one of the greatest global threats to the United States. The </w:t>
      </w:r>
    </w:p>
    <w:p w:rsidR="00065DD3" w:rsidRDefault="00065DD3" w:rsidP="00065DD3">
      <w:r>
        <w:t>AND</w:t>
      </w:r>
    </w:p>
    <w:p w:rsidR="00065DD3" w:rsidRPr="00065DD3" w:rsidRDefault="00065DD3" w:rsidP="00065DD3">
      <w:r w:rsidRPr="00065DD3">
        <w:t>self-reinforcing, spiraling out of control to make the planet uninhabitable.</w:t>
      </w:r>
    </w:p>
    <w:p w:rsidR="00065DD3" w:rsidRDefault="00065DD3" w:rsidP="00065DD3"/>
    <w:p w:rsidR="00065DD3" w:rsidRPr="00BB5758" w:rsidRDefault="00065DD3" w:rsidP="00065DD3">
      <w:pPr>
        <w:pStyle w:val="Heading4"/>
        <w:rPr>
          <w:szCs w:val="26"/>
        </w:rPr>
      </w:pPr>
      <w:r>
        <w:rPr>
          <w:szCs w:val="26"/>
        </w:rPr>
        <w:t xml:space="preserve">Mexico is key to the US economy </w:t>
      </w:r>
    </w:p>
    <w:p w:rsidR="00065DD3" w:rsidRPr="003D30B7" w:rsidRDefault="00065DD3" w:rsidP="00065DD3">
      <w:r w:rsidRPr="00BB5758">
        <w:rPr>
          <w:rStyle w:val="StyleStyleBold12pt"/>
        </w:rPr>
        <w:t>Wilson 12</w:t>
      </w:r>
      <w:r w:rsidRPr="003D30B7">
        <w:t xml:space="preserve"> —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(“U.S. Competitiveness: The Mexican Connection,” </w:t>
      </w:r>
      <w:r w:rsidRPr="003D30B7">
        <w:rPr>
          <w:i/>
        </w:rPr>
        <w:t>Issues in Science &amp; Technology</w:t>
      </w:r>
      <w:r w:rsidRPr="003D30B7">
        <w:t xml:space="preserve">, Volume 28, Issue 4, Summer, Available Online at </w:t>
      </w:r>
      <w:hyperlink r:id="rId12" w:history="1">
        <w:r w:rsidRPr="003D30B7">
          <w:rPr>
            <w:rStyle w:val="Hyperlink"/>
          </w:rPr>
          <w:t>http://www.issues.org/28.4/p_wilson.html</w:t>
        </w:r>
      </w:hyperlink>
      <w:r w:rsidRPr="003D30B7">
        <w:t>, Accessed 05-14-2013)</w:t>
      </w:r>
    </w:p>
    <w:p w:rsidR="00065DD3" w:rsidRDefault="00065DD3" w:rsidP="00065DD3">
      <w:r w:rsidRPr="00065DD3">
        <w:t xml:space="preserve">A “giant sucking sound” was the memorable description made by presidential candidate Ross </w:t>
      </w:r>
    </w:p>
    <w:p w:rsidR="00065DD3" w:rsidRDefault="00065DD3" w:rsidP="00065DD3">
      <w:r>
        <w:t>AND</w:t>
      </w:r>
    </w:p>
    <w:p w:rsidR="00065DD3" w:rsidRPr="00065DD3" w:rsidRDefault="00065DD3" w:rsidP="00065DD3">
      <w:r w:rsidRPr="00065DD3">
        <w:t>increase regional competitiveness vis-à-vis the rest of the world.</w:t>
      </w:r>
    </w:p>
    <w:p w:rsidR="00065DD3" w:rsidRPr="00426A4A" w:rsidRDefault="00065DD3" w:rsidP="00065DD3"/>
    <w:p w:rsidR="00065DD3" w:rsidRPr="0006095A" w:rsidRDefault="00065DD3" w:rsidP="00065DD3">
      <w:pPr>
        <w:pStyle w:val="Heading4"/>
      </w:pPr>
      <w:r w:rsidRPr="0006095A">
        <w:t xml:space="preserve">Federal biofuel policy now – RFS </w:t>
      </w:r>
    </w:p>
    <w:p w:rsidR="00065DD3" w:rsidRPr="0006095A" w:rsidRDefault="00065DD3" w:rsidP="00065DD3">
      <w:pPr>
        <w:rPr>
          <w:sz w:val="16"/>
          <w:szCs w:val="16"/>
        </w:rPr>
      </w:pPr>
      <w:r w:rsidRPr="0006095A">
        <w:rPr>
          <w:b/>
        </w:rPr>
        <w:t>Schnepf* and Yacobucci** 13</w:t>
      </w:r>
      <w:r w:rsidRPr="0006095A">
        <w:rPr>
          <w:sz w:val="16"/>
          <w:szCs w:val="16"/>
        </w:rPr>
        <w:t xml:space="preserve"> – *Specialist in Agricultural Policy and **Section Research Manager (Randy Schnepf and Brent D. Yacobucci, “Renewable Fuel Standard (RFS): </w:t>
      </w:r>
      <w:r w:rsidRPr="0006095A">
        <w:rPr>
          <w:sz w:val="12"/>
        </w:rPr>
        <w:t xml:space="preserve">¶ </w:t>
      </w:r>
      <w:r w:rsidRPr="0006095A">
        <w:rPr>
          <w:sz w:val="16"/>
          <w:szCs w:val="16"/>
        </w:rPr>
        <w:t xml:space="preserve">Overview and Issues” CRS, March 14 2013, </w:t>
      </w:r>
      <w:hyperlink r:id="rId13" w:history="1">
        <w:r w:rsidRPr="0006095A">
          <w:rPr>
            <w:rStyle w:val="Hyperlink"/>
          </w:rPr>
          <w:t>http://www.fas.org/sgp/crs/misc/R40155.pdf</w:t>
        </w:r>
      </w:hyperlink>
      <w:r w:rsidRPr="0006095A">
        <w:rPr>
          <w:sz w:val="16"/>
          <w:szCs w:val="16"/>
        </w:rPr>
        <w:t xml:space="preserve">) </w:t>
      </w:r>
    </w:p>
    <w:p w:rsidR="00065DD3" w:rsidRDefault="00065DD3" w:rsidP="00065DD3">
      <w:r w:rsidRPr="00065DD3">
        <w:t>Federal policy has played a key role in the emergence of the U.S</w:t>
      </w:r>
    </w:p>
    <w:p w:rsidR="00065DD3" w:rsidRDefault="00065DD3" w:rsidP="00065DD3">
      <w:r>
        <w:t>AND</w:t>
      </w:r>
    </w:p>
    <w:p w:rsidR="00065DD3" w:rsidRPr="00065DD3" w:rsidRDefault="00065DD3" w:rsidP="00065DD3">
      <w:r w:rsidRPr="00065DD3">
        <w:t>an amended definition of renewable biomass, including ¶ certain land use restrictions.</w:t>
      </w:r>
    </w:p>
    <w:p w:rsidR="00065DD3" w:rsidRPr="00856E68" w:rsidRDefault="00065DD3" w:rsidP="00065DD3"/>
    <w:p w:rsidR="00065DD3" w:rsidRPr="00E335B3" w:rsidRDefault="00065DD3" w:rsidP="00065DD3">
      <w:pPr>
        <w:keepNext/>
        <w:keepLines/>
        <w:spacing w:before="200"/>
        <w:outlineLvl w:val="3"/>
        <w:rPr>
          <w:rFonts w:eastAsia="Times New Roman"/>
          <w:b/>
          <w:bCs/>
          <w:iCs/>
          <w:u w:val="single"/>
        </w:rPr>
      </w:pPr>
      <w:r w:rsidRPr="00E335B3">
        <w:rPr>
          <w:rFonts w:eastAsia="Times New Roman"/>
          <w:b/>
          <w:bCs/>
          <w:iCs/>
        </w:rPr>
        <w:t xml:space="preserve">Fundamentally incorrect – the oil price cycle will be broken soon – that means that surplus capacity will drive prices low and they’ll </w:t>
      </w:r>
      <w:r w:rsidRPr="00E335B3">
        <w:rPr>
          <w:rFonts w:eastAsia="Times New Roman"/>
          <w:b/>
          <w:bCs/>
          <w:iCs/>
          <w:u w:val="single"/>
        </w:rPr>
        <w:t>stay low</w:t>
      </w:r>
    </w:p>
    <w:p w:rsidR="00065DD3" w:rsidRPr="00E335B3" w:rsidRDefault="00065DD3" w:rsidP="00065DD3">
      <w:pPr>
        <w:rPr>
          <w:rFonts w:eastAsia="Calibri"/>
        </w:rPr>
      </w:pPr>
      <w:r w:rsidRPr="00E335B3">
        <w:rPr>
          <w:rFonts w:eastAsia="Calibri"/>
          <w:b/>
        </w:rPr>
        <w:t>Rapier, 6/4</w:t>
      </w:r>
      <w:r w:rsidRPr="00E335B3">
        <w:rPr>
          <w:rFonts w:eastAsia="Calibri"/>
        </w:rPr>
        <w:t>/13 (Robert, Director, Engineering, Projects, and Development for the Energy Collective, Master’s Degree in chemical engineering from Texas A&amp;M University, Chief Technology Officer and Executive Vice President for Merica International, “About Those Plunging Oil Prices”, Energy Trend Insider, June 4, 2013, http://www.energytrendsinsider.com/2013/06/04/about-those-plunging-oil-prices/, JKahn)</w:t>
      </w:r>
    </w:p>
    <w:p w:rsidR="00065DD3" w:rsidRDefault="00065DD3" w:rsidP="00065DD3">
      <w:r w:rsidRPr="00065DD3">
        <w:t xml:space="preserve">Over the past three weeks, there have been numerous headlines insinuating that a freefall </w:t>
      </w:r>
    </w:p>
    <w:p w:rsidR="00065DD3" w:rsidRDefault="00065DD3" w:rsidP="00065DD3">
      <w:r>
        <w:t>AND</w:t>
      </w:r>
    </w:p>
    <w:p w:rsidR="00065DD3" w:rsidRPr="00065DD3" w:rsidRDefault="00065DD3" w:rsidP="00065DD3">
      <w:r w:rsidRPr="00065DD3">
        <w:t xml:space="preserve">of oil traders could drive prices down in a hurry in that situation. </w:t>
      </w:r>
    </w:p>
    <w:p w:rsidR="00065DD3" w:rsidRDefault="00065DD3" w:rsidP="00065DD3"/>
    <w:p w:rsidR="00065DD3" w:rsidRDefault="00065DD3" w:rsidP="00065DD3">
      <w:pPr>
        <w:pStyle w:val="Heading3"/>
      </w:pPr>
      <w:r>
        <w:lastRenderedPageBreak/>
        <w:t>CP</w:t>
      </w:r>
    </w:p>
    <w:p w:rsidR="00065DD3" w:rsidRPr="00BB17B5" w:rsidRDefault="00065DD3" w:rsidP="00065DD3">
      <w:pPr>
        <w:pStyle w:val="Heading4"/>
        <w:rPr>
          <w:rFonts w:eastAsia="Calibri"/>
        </w:rPr>
      </w:pPr>
      <w:r w:rsidRPr="00BB17B5">
        <w:rPr>
          <w:rFonts w:eastAsia="Calibri"/>
        </w:rPr>
        <w:t>Tax credits for renewables fail</w:t>
      </w:r>
    </w:p>
    <w:p w:rsidR="00065DD3" w:rsidRPr="00BB17B5" w:rsidRDefault="00065DD3" w:rsidP="00065DD3">
      <w:pPr>
        <w:rPr>
          <w:rFonts w:eastAsia="Cambria"/>
        </w:rPr>
      </w:pPr>
      <w:r w:rsidRPr="00BB17B5">
        <w:rPr>
          <w:rFonts w:eastAsia="Cambria"/>
          <w:b/>
        </w:rPr>
        <w:t>Kauffman 10</w:t>
      </w:r>
      <w:r w:rsidRPr="00BB17B5">
        <w:rPr>
          <w:rFonts w:eastAsia="Cambria"/>
        </w:rPr>
        <w:t xml:space="preserve"> – MA in IR from Yale, Fellow @ CFR</w:t>
      </w:r>
    </w:p>
    <w:p w:rsidR="00065DD3" w:rsidRPr="00BB17B5" w:rsidRDefault="00065DD3" w:rsidP="00065DD3">
      <w:pPr>
        <w:rPr>
          <w:rFonts w:eastAsia="Cambria"/>
          <w:sz w:val="16"/>
        </w:rPr>
      </w:pPr>
      <w:r w:rsidRPr="00BB17B5">
        <w:rPr>
          <w:rFonts w:eastAsia="Cambria"/>
          <w:sz w:val="16"/>
        </w:rPr>
        <w:t>Richard, lecturer in finance and financial accounting at the Yale School of Management and a teaching fellow in foreign policy at Yale College, served on the Yale School of Management Board of Advisors, ENERGY CHALLENGES; COMMITTEE: HOUSE SELECT ENERGY INDEPENDENCE AND GLOBAL WARMING, CQ Testimony, Lexis</w:t>
      </w:r>
    </w:p>
    <w:p w:rsidR="00065DD3" w:rsidRDefault="00065DD3" w:rsidP="00065DD3">
      <w:r w:rsidRPr="00065DD3">
        <w:t xml:space="preserve">1. Tax credits. The USG gives incentives to renewables in the form of </w:t>
      </w:r>
    </w:p>
    <w:p w:rsidR="00065DD3" w:rsidRDefault="00065DD3" w:rsidP="00065DD3">
      <w:r>
        <w:t>AND</w:t>
      </w:r>
    </w:p>
    <w:p w:rsidR="00065DD3" w:rsidRPr="00065DD3" w:rsidRDefault="00065DD3" w:rsidP="00065DD3">
      <w:r w:rsidRPr="00065DD3">
        <w:t>comparison to the FIT used internationally makes investing in US projects less attractive.</w:t>
      </w:r>
    </w:p>
    <w:p w:rsidR="00065DD3" w:rsidRPr="00BB17B5" w:rsidRDefault="00065DD3" w:rsidP="00065DD3">
      <w:pPr>
        <w:rPr>
          <w:rFonts w:eastAsia="Calibri"/>
        </w:rPr>
      </w:pPr>
    </w:p>
    <w:p w:rsidR="00065DD3" w:rsidRDefault="00065DD3" w:rsidP="00065DD3"/>
    <w:p w:rsidR="00065DD3" w:rsidRPr="00B15960" w:rsidRDefault="00065DD3" w:rsidP="00065DD3">
      <w:pPr>
        <w:pStyle w:val="Heading4"/>
      </w:pPr>
      <w:r w:rsidRPr="00B15960">
        <w:t>Anti-management results in extinction</w:t>
      </w:r>
    </w:p>
    <w:p w:rsidR="00065DD3" w:rsidRPr="00B15960" w:rsidRDefault="00065DD3" w:rsidP="00065DD3">
      <w:pPr>
        <w:rPr>
          <w:rStyle w:val="StyleStyleBold12pt"/>
        </w:rPr>
      </w:pPr>
      <w:r w:rsidRPr="00B15960">
        <w:rPr>
          <w:rStyle w:val="StyleStyleBold12pt"/>
        </w:rPr>
        <w:t>Soule 95  - Professor of Environmental Studies</w:t>
      </w:r>
    </w:p>
    <w:p w:rsidR="00065DD3" w:rsidRPr="00B15960" w:rsidRDefault="00065DD3" w:rsidP="00065DD3">
      <w:r w:rsidRPr="00B15960">
        <w:t>Michael E., Professor and Chair of Environmental Studies, UC-Santa Cruz, REINVITING NATURE? RESPONSES TO POSTMODERN DECONSTRUCTION, Eds: Michael E. Soule and Gary Lease, p. 159-160</w:t>
      </w:r>
    </w:p>
    <w:p w:rsidR="00065DD3" w:rsidRDefault="00065DD3" w:rsidP="00065DD3">
      <w:r w:rsidRPr="00065DD3">
        <w:t xml:space="preserve">Should We Actively Manage Wildlands and Wild Waters? The decision has already been made </w:t>
      </w:r>
    </w:p>
    <w:p w:rsidR="00065DD3" w:rsidRDefault="00065DD3" w:rsidP="00065DD3">
      <w:r>
        <w:t>AND</w:t>
      </w:r>
    </w:p>
    <w:p w:rsidR="00065DD3" w:rsidRPr="00065DD3" w:rsidRDefault="00065DD3" w:rsidP="00065DD3">
      <w:r w:rsidRPr="00065DD3">
        <w:t xml:space="preserve">So if we must manage, where do we look for ethical guidance? </w:t>
      </w:r>
    </w:p>
    <w:p w:rsidR="00065DD3" w:rsidRPr="00B15960" w:rsidRDefault="00065DD3" w:rsidP="00065DD3">
      <w:pPr>
        <w:rPr>
          <w:b/>
        </w:rPr>
      </w:pPr>
    </w:p>
    <w:p w:rsidR="00065DD3" w:rsidRPr="00B15960" w:rsidRDefault="00065DD3" w:rsidP="00065DD3"/>
    <w:p w:rsidR="00065DD3" w:rsidRPr="0063562E" w:rsidRDefault="00065DD3" w:rsidP="00065DD3"/>
    <w:p w:rsidR="00065DD3" w:rsidRPr="00AE4808" w:rsidRDefault="00065DD3" w:rsidP="00065DD3">
      <w:pPr>
        <w:pStyle w:val="Heading3"/>
        <w:rPr>
          <w:rFonts w:eastAsia="MS Gothic"/>
        </w:rPr>
      </w:pPr>
      <w:bookmarkStart w:id="0" w:name="_GoBack"/>
      <w:bookmarkEnd w:id="0"/>
      <w:r>
        <w:rPr>
          <w:rFonts w:eastAsia="MS Gothic"/>
        </w:rPr>
        <w:lastRenderedPageBreak/>
        <w:t>K</w:t>
      </w:r>
    </w:p>
    <w:p w:rsidR="00065DD3" w:rsidRPr="00AE4808" w:rsidRDefault="00065DD3" w:rsidP="00065DD3">
      <w:pPr>
        <w:keepNext/>
        <w:keepLines/>
        <w:spacing w:before="200"/>
        <w:outlineLvl w:val="3"/>
        <w:rPr>
          <w:rFonts w:eastAsia="MS Gothic"/>
          <w:b/>
          <w:bCs/>
          <w:iCs/>
          <w:sz w:val="26"/>
          <w:szCs w:val="24"/>
        </w:rPr>
      </w:pPr>
      <w:r w:rsidRPr="00AE4808">
        <w:rPr>
          <w:rFonts w:eastAsia="MS Gothic"/>
          <w:b/>
          <w:bCs/>
          <w:iCs/>
          <w:sz w:val="26"/>
          <w:szCs w:val="24"/>
        </w:rPr>
        <w:t>Don’t sanction extinction for the moral cause</w:t>
      </w:r>
    </w:p>
    <w:p w:rsidR="00065DD3" w:rsidRPr="00AE4808" w:rsidRDefault="00065DD3" w:rsidP="00065DD3">
      <w:pPr>
        <w:ind w:right="-72"/>
        <w:rPr>
          <w:rFonts w:eastAsia="Calibri"/>
        </w:rPr>
      </w:pPr>
      <w:r w:rsidRPr="00AE4808">
        <w:rPr>
          <w:rFonts w:eastAsia="Calibri"/>
          <w:b/>
          <w:szCs w:val="28"/>
        </w:rPr>
        <w:t>Isaac, 2002</w:t>
      </w:r>
      <w:r w:rsidRPr="00AE4808">
        <w:rPr>
          <w:rFonts w:eastAsia="Calibri"/>
        </w:rPr>
        <w:t xml:space="preserve"> </w:t>
      </w:r>
    </w:p>
    <w:p w:rsidR="00065DD3" w:rsidRPr="00AE4808" w:rsidRDefault="00065DD3" w:rsidP="00065DD3">
      <w:pPr>
        <w:ind w:right="-72"/>
        <w:rPr>
          <w:rFonts w:eastAsia="Calibri"/>
          <w:sz w:val="18"/>
          <w:szCs w:val="18"/>
        </w:rPr>
      </w:pPr>
      <w:r w:rsidRPr="00AE4808">
        <w:rPr>
          <w:rFonts w:eastAsia="Calibri"/>
          <w:sz w:val="18"/>
          <w:szCs w:val="18"/>
        </w:rPr>
        <w:t>[Jeffrey, James H. Rudy Professor of Political Science and director of the Center for the Study of Democracy and Public Life at Indiana University, Blo</w:t>
      </w:r>
      <w:r w:rsidRPr="00AE4808">
        <w:rPr>
          <w:rFonts w:eastAsia="Calibri"/>
        </w:rPr>
        <w:t>omington, Dissent, vol. 49, no. 2, Spring]</w:t>
      </w:r>
    </w:p>
    <w:p w:rsidR="00065DD3" w:rsidRDefault="00065DD3" w:rsidP="00065DD3">
      <w:r w:rsidRPr="00065DD3">
        <w:t xml:space="preserve">As writers such as Niccolo Machiavelli, Max Weber, Reinhold Niebuhr, and Hannah </w:t>
      </w:r>
    </w:p>
    <w:p w:rsidR="00065DD3" w:rsidRDefault="00065DD3" w:rsidP="00065DD3">
      <w:r>
        <w:t>AND</w:t>
      </w:r>
    </w:p>
    <w:p w:rsidR="00065DD3" w:rsidRPr="00065DD3" w:rsidRDefault="00065DD3" w:rsidP="00065DD3">
      <w:r w:rsidRPr="00065DD3">
        <w:t xml:space="preserve">choices. But it should never be mistaken for a serious political commitment. </w:t>
      </w:r>
    </w:p>
    <w:p w:rsidR="00065DD3" w:rsidRPr="00CC59F7" w:rsidRDefault="00065DD3" w:rsidP="00065DD3">
      <w:pPr>
        <w:pStyle w:val="Heading4"/>
      </w:pPr>
      <w:r>
        <w:t>The white cat is more than a failed form of solidarity – it actively disrupts the effectiveness of pro-black revolutions by de-racializing them – the illusion than they can step outside of their whiteness demonstrates the naivety of the belief that they one of few white people who “get it” – this undermines the entire movement by causing internal fracturing, authenticity tests, and turning the revolution from one based on race to one that is merely liberal</w:t>
      </w:r>
    </w:p>
    <w:p w:rsidR="00065DD3" w:rsidRPr="00CC59F7" w:rsidRDefault="00065DD3" w:rsidP="00065DD3">
      <w:r w:rsidRPr="00C940B9">
        <w:rPr>
          <w:rStyle w:val="StyleStyleBold12pt"/>
        </w:rPr>
        <w:t>McCorkel</w:t>
      </w:r>
      <w:r>
        <w:t xml:space="preserve">, Professor Sociology at Villanova, </w:t>
      </w:r>
      <w:r w:rsidRPr="00C940B9">
        <w:rPr>
          <w:rStyle w:val="StyleStyleBold12pt"/>
        </w:rPr>
        <w:t>and Rodriguez</w:t>
      </w:r>
      <w:r>
        <w:t xml:space="preserve">, PhD Sociology from University of Massachusetts–Amherst, </w:t>
      </w:r>
      <w:r w:rsidRPr="00C940B9">
        <w:rPr>
          <w:rStyle w:val="StyleStyleBold12pt"/>
        </w:rPr>
        <w:t>‘9</w:t>
      </w:r>
      <w:r>
        <w:t xml:space="preserve"> (Jill and Jason, May, “‘Are You an African?’ The Politics of Self-Construction in Status-Based Social Movements” Social Problems, Vol 56 No 2, p 357-384, JSTOR)</w:t>
      </w:r>
    </w:p>
    <w:p w:rsidR="00065DD3" w:rsidRDefault="00065DD3" w:rsidP="00065DD3">
      <w:r w:rsidRPr="00065DD3">
        <w:t xml:space="preserve">Conclusion: Critical Selves in Status-Based Social Movements Contemporary debates over the character </w:t>
      </w:r>
    </w:p>
    <w:p w:rsidR="00065DD3" w:rsidRDefault="00065DD3" w:rsidP="00065DD3">
      <w:r>
        <w:t>AND</w:t>
      </w:r>
    </w:p>
    <w:p w:rsidR="00065DD3" w:rsidRPr="00065DD3" w:rsidRDefault="00065DD3" w:rsidP="00065DD3">
      <w:r w:rsidRPr="00065DD3">
        <w:t>they can overcome racial fault lines and facilitate the emergence of critical selves.</w:t>
      </w:r>
    </w:p>
    <w:p w:rsidR="00065DD3" w:rsidRDefault="00065DD3" w:rsidP="00065DD3"/>
    <w:p w:rsidR="00065DD3" w:rsidRPr="00AE4808" w:rsidRDefault="00065DD3" w:rsidP="00065DD3">
      <w:pPr>
        <w:keepNext/>
        <w:keepLines/>
        <w:spacing w:before="200"/>
        <w:outlineLvl w:val="3"/>
        <w:rPr>
          <w:rFonts w:eastAsiaTheme="majorEastAsia" w:cstheme="majorBidi"/>
          <w:b/>
          <w:bCs/>
          <w:iCs/>
        </w:rPr>
      </w:pPr>
      <w:r w:rsidRPr="00AE4808">
        <w:rPr>
          <w:rFonts w:eastAsiaTheme="majorEastAsia" w:cstheme="majorBidi"/>
          <w:b/>
          <w:bCs/>
          <w:iCs/>
        </w:rPr>
        <w:t>Armed violence fails and accelerates the repressive power of the state</w:t>
      </w:r>
      <w:r>
        <w:rPr>
          <w:rFonts w:eastAsiaTheme="majorEastAsia" w:cstheme="majorBidi"/>
          <w:b/>
          <w:bCs/>
          <w:iCs/>
        </w:rPr>
        <w:t xml:space="preserve"> </w:t>
      </w:r>
    </w:p>
    <w:p w:rsidR="00065DD3" w:rsidRPr="00AE4808" w:rsidRDefault="00065DD3" w:rsidP="00065DD3">
      <w:r w:rsidRPr="00AE4808">
        <w:rPr>
          <w:b/>
          <w:bCs/>
        </w:rPr>
        <w:t>Martin 6</w:t>
      </w:r>
      <w:r w:rsidRPr="00AE4808">
        <w:t xml:space="preserve"> – BA from Rice University, PhD from Sydney University, associate professor in the School of Social Sciences, Media and Communication at the University of Wollongong, Australia (Brian, “Paths to social change: conventional politics, violence and nonviolence” Nonviolent Alternatives for Social Change, 2006, http://www.bmartin.cc/pubs/06eolss.html#3) </w:t>
      </w:r>
    </w:p>
    <w:p w:rsidR="00065DD3" w:rsidRDefault="00065DD3" w:rsidP="00065DD3">
      <w:r w:rsidRPr="00065DD3">
        <w:t xml:space="preserve">The record of armed struggle in industrialized countries is one of repeated failure, without </w:t>
      </w:r>
    </w:p>
    <w:p w:rsidR="00065DD3" w:rsidRDefault="00065DD3" w:rsidP="00065DD3">
      <w:r>
        <w:t>AND</w:t>
      </w:r>
    </w:p>
    <w:p w:rsidR="00065DD3" w:rsidRPr="00065DD3" w:rsidRDefault="00065DD3" w:rsidP="00065DD3">
      <w:r w:rsidRPr="00065DD3">
        <w:t>has been a key factor in bringing about beneficial change within representative systems.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472" w:rsidRDefault="00E72472" w:rsidP="005F5576">
      <w:r>
        <w:separator/>
      </w:r>
    </w:p>
  </w:endnote>
  <w:endnote w:type="continuationSeparator" w:id="0">
    <w:p w:rsidR="00E72472" w:rsidRDefault="00E724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472" w:rsidRDefault="00E72472" w:rsidP="005F5576">
      <w:r>
        <w:separator/>
      </w:r>
    </w:p>
  </w:footnote>
  <w:footnote w:type="continuationSeparator" w:id="0">
    <w:p w:rsidR="00E72472" w:rsidRDefault="00E7247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32E"/>
    <w:multiLevelType w:val="hybridMultilevel"/>
    <w:tmpl w:val="230E2138"/>
    <w:lvl w:ilvl="0" w:tplc="2670FEF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64DB6"/>
    <w:multiLevelType w:val="hybridMultilevel"/>
    <w:tmpl w:val="59100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B1B18"/>
    <w:multiLevelType w:val="hybridMultilevel"/>
    <w:tmpl w:val="E5C6A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D603C15"/>
    <w:multiLevelType w:val="hybridMultilevel"/>
    <w:tmpl w:val="B7689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567D65"/>
    <w:multiLevelType w:val="hybridMultilevel"/>
    <w:tmpl w:val="ECD8B5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D3"/>
    <w:rsid w:val="000022F2"/>
    <w:rsid w:val="0000459F"/>
    <w:rsid w:val="00004EB4"/>
    <w:rsid w:val="0002196C"/>
    <w:rsid w:val="00021F29"/>
    <w:rsid w:val="00027EED"/>
    <w:rsid w:val="0003041D"/>
    <w:rsid w:val="00033028"/>
    <w:rsid w:val="000360A7"/>
    <w:rsid w:val="00052A1D"/>
    <w:rsid w:val="00055E12"/>
    <w:rsid w:val="00064A59"/>
    <w:rsid w:val="00065DD3"/>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D2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868"/>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48C"/>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421"/>
    <w:rsid w:val="004138EF"/>
    <w:rsid w:val="00413A0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38FD"/>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126"/>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46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A5D"/>
    <w:rsid w:val="00D22BE1"/>
    <w:rsid w:val="00D2765B"/>
    <w:rsid w:val="00D31DF7"/>
    <w:rsid w:val="00D33B91"/>
    <w:rsid w:val="00D415C6"/>
    <w:rsid w:val="00D420EA"/>
    <w:rsid w:val="00D4639E"/>
    <w:rsid w:val="00D51ABF"/>
    <w:rsid w:val="00D5444B"/>
    <w:rsid w:val="00D55302"/>
    <w:rsid w:val="00D57CBF"/>
    <w:rsid w:val="00D66ABC"/>
    <w:rsid w:val="00D66C96"/>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7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7163"/>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E6E667E-A61D-4166-AA2B-69700934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BlockText,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Heading 3 Char1 Char,Char,Heading 3 Char Char,Char Char,Tag Char Char,Read Char,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small text,Big card,Normal Tag,heading 2,Heading 2 Char2 Char,Heading 2 Char1 Char Char,Ch,small space,no read,TAG,No Spacing211,No Spacing12,No Spacing2111,No Spacing4,No Spacing11111,No Spacing5,No Spacing21,tags,T, Ch,body,Card,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Char Char1, Char Char Char Char, Char Char Char Char Char Char Char Char Char1, Char Char Char1, Char Char Char Char Char Char Char Char Char Char, Char Char Char Char Char Char Char Char1,BlockText Char,Char2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Heading 3 Char1 Char Char1,Char Char1,Heading 3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small text Char,Big card Char,Normal Tag Char,heading 2 Char,Heading 2 Char2 Char Char,Heading 2 Char1 Char Char Char,Ch Char,small space Char,no read Char,TAG Char,No Spacing211 Char,No Spacing12 Char,No Spacing4 Char"/>
    <w:basedOn w:val="DefaultParagraphFont"/>
    <w:link w:val="Heading4"/>
    <w:uiPriority w:val="4"/>
    <w:rsid w:val="00D176BE"/>
    <w:rPr>
      <w:rFonts w:ascii="Georgia" w:eastAsiaTheme="majorEastAsia" w:hAnsi="Georgia" w:cstheme="majorBidi"/>
      <w:b/>
      <w:bCs/>
      <w:iCs/>
      <w:sz w:val="20"/>
    </w:rPr>
  </w:style>
  <w:style w:type="character" w:customStyle="1" w:styleId="underline">
    <w:name w:val="underline"/>
    <w:link w:val="textbold"/>
    <w:qFormat/>
    <w:rsid w:val="00065DD3"/>
    <w:rPr>
      <w:rFonts w:ascii="Times New Roman" w:hAnsi="Times New Roman"/>
      <w:sz w:val="20"/>
      <w:u w:val="single"/>
    </w:rPr>
  </w:style>
  <w:style w:type="character" w:customStyle="1" w:styleId="cardChar">
    <w:name w:val="card Char"/>
    <w:link w:val="card"/>
    <w:locked/>
    <w:rsid w:val="00065DD3"/>
    <w:rPr>
      <w:rFonts w:ascii="Times New Roman" w:eastAsia="Times New Roman" w:hAnsi="Times New Roman" w:cs="Times New Roman"/>
      <w:sz w:val="20"/>
      <w:szCs w:val="20"/>
    </w:rPr>
  </w:style>
  <w:style w:type="paragraph" w:customStyle="1" w:styleId="card">
    <w:name w:val="card"/>
    <w:basedOn w:val="Normal"/>
    <w:next w:val="Normal"/>
    <w:link w:val="cardChar"/>
    <w:qFormat/>
    <w:rsid w:val="00065DD3"/>
    <w:pPr>
      <w:ind w:left="288" w:right="288"/>
    </w:pPr>
    <w:rPr>
      <w:rFonts w:ascii="Times New Roman" w:eastAsia="Times New Roman" w:hAnsi="Times New Roman"/>
      <w:szCs w:val="20"/>
    </w:rPr>
  </w:style>
  <w:style w:type="paragraph" w:customStyle="1" w:styleId="textbold">
    <w:name w:val="text bold"/>
    <w:basedOn w:val="Normal"/>
    <w:link w:val="underline"/>
    <w:qFormat/>
    <w:rsid w:val="00065DD3"/>
    <w:pPr>
      <w:ind w:left="720"/>
      <w:jc w:val="both"/>
    </w:pPr>
    <w:rPr>
      <w:rFonts w:ascii="Times New Roman" w:hAnsi="Times New Roman" w:cstheme="minorBidi"/>
      <w:u w:val="single"/>
    </w:rPr>
  </w:style>
  <w:style w:type="paragraph" w:styleId="ListParagraph">
    <w:name w:val="List Paragraph"/>
    <w:basedOn w:val="Normal"/>
    <w:uiPriority w:val="34"/>
    <w:qFormat/>
    <w:rsid w:val="00065DD3"/>
    <w:pPr>
      <w:ind w:left="720"/>
      <w:contextualSpacing/>
    </w:pPr>
    <w:rPr>
      <w:rFonts w:eastAsiaTheme="minorEastAsia" w:cstheme="minorBidi"/>
      <w:szCs w:val="24"/>
    </w:rPr>
  </w:style>
  <w:style w:type="paragraph" w:customStyle="1" w:styleId="Nothing">
    <w:name w:val="Nothing"/>
    <w:link w:val="NothingChar"/>
    <w:rsid w:val="00065DD3"/>
    <w:pPr>
      <w:spacing w:after="0" w:line="240" w:lineRule="auto"/>
      <w:jc w:val="both"/>
    </w:pPr>
    <w:rPr>
      <w:rFonts w:ascii="Times New Roman" w:eastAsia="Times New Roman" w:hAnsi="Times New Roman" w:cs="Times New Roman"/>
      <w:sz w:val="20"/>
      <w:szCs w:val="24"/>
    </w:rPr>
  </w:style>
  <w:style w:type="character" w:customStyle="1" w:styleId="Author-Date">
    <w:name w:val="Author-Date"/>
    <w:rsid w:val="00065DD3"/>
    <w:rPr>
      <w:b/>
      <w:sz w:val="24"/>
    </w:rPr>
  </w:style>
  <w:style w:type="character" w:customStyle="1" w:styleId="NothingChar">
    <w:name w:val="Nothing Char"/>
    <w:link w:val="Nothing"/>
    <w:rsid w:val="00065DD3"/>
    <w:rPr>
      <w:rFonts w:ascii="Times New Roman" w:eastAsia="Times New Roman" w:hAnsi="Times New Roman" w:cs="Times New Roman"/>
      <w:sz w:val="20"/>
      <w:szCs w:val="24"/>
    </w:rPr>
  </w:style>
  <w:style w:type="paragraph" w:styleId="NoSpacing">
    <w:name w:val="No Spacing"/>
    <w:uiPriority w:val="1"/>
    <w:rsid w:val="00065DD3"/>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065DD3"/>
    <w:rPr>
      <w:rFonts w:ascii="Lucida Grande" w:hAnsi="Lucida Grande" w:cs="Lucida Grande"/>
    </w:rPr>
  </w:style>
  <w:style w:type="character" w:customStyle="1" w:styleId="DocumentMapChar">
    <w:name w:val="Document Map Char"/>
    <w:basedOn w:val="DefaultParagraphFont"/>
    <w:link w:val="DocumentMap"/>
    <w:uiPriority w:val="99"/>
    <w:semiHidden/>
    <w:rsid w:val="00065DD3"/>
    <w:rPr>
      <w:rFonts w:ascii="Lucida Grande" w:hAnsi="Lucida Grande" w:cs="Lucida Grande"/>
      <w:sz w:val="20"/>
    </w:rPr>
  </w:style>
  <w:style w:type="character" w:styleId="PageNumber">
    <w:name w:val="page number"/>
    <w:basedOn w:val="DefaultParagraphFont"/>
    <w:uiPriority w:val="99"/>
    <w:semiHidden/>
    <w:unhideWhenUsed/>
    <w:rsid w:val="00065DD3"/>
  </w:style>
  <w:style w:type="character" w:customStyle="1" w:styleId="Emphasis2">
    <w:name w:val="Emphasis2"/>
    <w:basedOn w:val="DefaultParagraphFont"/>
    <w:rsid w:val="00065DD3"/>
    <w:rPr>
      <w:rFonts w:ascii="Franklin Gothic Heavy" w:hAnsi="Franklin Gothic Heavy"/>
      <w:iCs/>
      <w:u w:val="single"/>
    </w:rPr>
  </w:style>
  <w:style w:type="paragraph" w:customStyle="1" w:styleId="Cards">
    <w:name w:val="Cards"/>
    <w:next w:val="Nothing"/>
    <w:rsid w:val="00065DD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065DD3"/>
    <w:rPr>
      <w:rFonts w:ascii="Times New Roman" w:hAnsi="Times New Roman"/>
      <w:sz w:val="24"/>
      <w:u w:val="thick"/>
    </w:rPr>
  </w:style>
  <w:style w:type="paragraph" w:customStyle="1" w:styleId="Cites">
    <w:name w:val="Cites"/>
    <w:next w:val="Cards"/>
    <w:rsid w:val="00065DD3"/>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BlockHeadings">
    <w:name w:val="Block Headings"/>
    <w:next w:val="Nothing"/>
    <w:rsid w:val="00065DD3"/>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BlockTitle">
    <w:name w:val="Block Title"/>
    <w:basedOn w:val="Heading1"/>
    <w:next w:val="Normal"/>
    <w:rsid w:val="00065DD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customStyle="1" w:styleId="Shrink8">
    <w:name w:val="Shrink8"/>
    <w:basedOn w:val="Normal"/>
    <w:qFormat/>
    <w:rsid w:val="00065DD3"/>
    <w:rPr>
      <w:rFonts w:eastAsia="Cambria"/>
    </w:rPr>
  </w:style>
  <w:style w:type="paragraph" w:customStyle="1" w:styleId="Tag12">
    <w:name w:val="Tag12"/>
    <w:basedOn w:val="Normal"/>
    <w:qFormat/>
    <w:rsid w:val="00065DD3"/>
    <w:pPr>
      <w:contextualSpacing/>
    </w:pPr>
    <w:rPr>
      <w:rFonts w:eastAsia="Cambria"/>
      <w:b/>
      <w:sz w:val="24"/>
    </w:rPr>
  </w:style>
  <w:style w:type="paragraph" w:customStyle="1" w:styleId="TagText">
    <w:name w:val="TagText"/>
    <w:basedOn w:val="Normal"/>
    <w:qFormat/>
    <w:rsid w:val="00065DD3"/>
    <w:rPr>
      <w:rFonts w:ascii="Arial" w:eastAsia="Calibri" w:hAnsi="Arial"/>
      <w:b/>
      <w:sz w:val="24"/>
    </w:rPr>
  </w:style>
  <w:style w:type="paragraph" w:customStyle="1" w:styleId="Cite2">
    <w:name w:val="Cite 2"/>
    <w:basedOn w:val="Normal"/>
    <w:qFormat/>
    <w:rsid w:val="00065DD3"/>
    <w:rPr>
      <w:rFonts w:ascii="Arial" w:eastAsia="Calibri" w:hAnsi="Arial"/>
      <w:b/>
      <w:sz w:val="24"/>
      <w:u w:val="single"/>
    </w:rPr>
  </w:style>
  <w:style w:type="paragraph" w:customStyle="1" w:styleId="Citation">
    <w:name w:val="Citation"/>
    <w:basedOn w:val="Normal"/>
    <w:qFormat/>
    <w:rsid w:val="00065DD3"/>
    <w:rPr>
      <w:rFonts w:ascii="Arial" w:eastAsia="Calibri" w:hAnsi="Arial"/>
      <w:b/>
      <w:sz w:val="24"/>
      <w:u w:val="single"/>
    </w:rPr>
  </w:style>
  <w:style w:type="character" w:customStyle="1" w:styleId="BoldUnderline">
    <w:name w:val="BoldUnderline"/>
    <w:basedOn w:val="DefaultParagraphFont"/>
    <w:uiPriority w:val="1"/>
    <w:qFormat/>
    <w:rsid w:val="00065DD3"/>
    <w:rPr>
      <w:rFonts w:ascii="Arial" w:hAnsi="Arial"/>
      <w:b/>
      <w:sz w:val="20"/>
      <w:u w:val="single"/>
    </w:rPr>
  </w:style>
  <w:style w:type="character" w:styleId="Strong">
    <w:name w:val="Strong"/>
    <w:qFormat/>
    <w:rsid w:val="00065DD3"/>
    <w:rPr>
      <w:b/>
    </w:rPr>
  </w:style>
  <w:style w:type="paragraph" w:customStyle="1" w:styleId="cardtext">
    <w:name w:val="card text"/>
    <w:basedOn w:val="Normal"/>
    <w:link w:val="cardtextChar"/>
    <w:qFormat/>
    <w:rsid w:val="00065DD3"/>
    <w:pPr>
      <w:ind w:left="288" w:right="288"/>
    </w:pPr>
    <w:rPr>
      <w:rFonts w:eastAsia="Cambria"/>
    </w:rPr>
  </w:style>
  <w:style w:type="character" w:customStyle="1" w:styleId="cardtextChar">
    <w:name w:val="card text Char"/>
    <w:link w:val="cardtext"/>
    <w:rsid w:val="00065DD3"/>
    <w:rPr>
      <w:rFonts w:ascii="Georgia" w:eastAsia="Cambria" w:hAnsi="Georgia" w:cs="Times New Roman"/>
      <w:sz w:val="20"/>
    </w:rPr>
  </w:style>
  <w:style w:type="character" w:customStyle="1" w:styleId="Box">
    <w:name w:val="Box"/>
    <w:uiPriority w:val="1"/>
    <w:qFormat/>
    <w:rsid w:val="00065DD3"/>
    <w:rPr>
      <w:b/>
      <w:u w:val="single"/>
      <w:bdr w:val="single" w:sz="4" w:space="0" w:color="auto"/>
    </w:rPr>
  </w:style>
  <w:style w:type="character" w:customStyle="1" w:styleId="TitleChar">
    <w:name w:val="Title Char"/>
    <w:link w:val="Title"/>
    <w:uiPriority w:val="5"/>
    <w:qFormat/>
    <w:rsid w:val="00065DD3"/>
    <w:rPr>
      <w:bCs/>
      <w:u w:val="single"/>
    </w:rPr>
  </w:style>
  <w:style w:type="paragraph" w:styleId="Title">
    <w:name w:val="Title"/>
    <w:basedOn w:val="Normal"/>
    <w:next w:val="Normal"/>
    <w:link w:val="TitleChar"/>
    <w:uiPriority w:val="5"/>
    <w:qFormat/>
    <w:rsid w:val="00065DD3"/>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065D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s.org/sgp/crs/misc/R40155.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ssues.org/28.4/p_wils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media/research/files/articles/2000/6/summer%20haass/2000survival.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education.yahoo.com/reference/dictionary/entry/towar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KWel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X220, Team 2011</dc:creator>
  <cp:keywords/>
  <dc:description/>
  <cp:lastModifiedBy>15kwells</cp:lastModifiedBy>
  <cp:revision>1</cp:revision>
  <dcterms:created xsi:type="dcterms:W3CDTF">2013-10-19T21:07:00Z</dcterms:created>
  <dcterms:modified xsi:type="dcterms:W3CDTF">2013-10-19T21:09:00Z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