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E2" w:rsidRPr="00EA40E2" w:rsidRDefault="00EA40E2" w:rsidP="00EA40E2"/>
    <w:p w:rsidR="00EA40E2" w:rsidRPr="00EA40E2" w:rsidRDefault="00EA40E2" w:rsidP="00EA40E2">
      <w:r w:rsidRPr="00EA40E2">
        <w:t>===</w:t>
      </w:r>
      <w:r w:rsidRPr="00EA40E2">
        <w:t>Topicality 1nc</w:t>
      </w:r>
      <w:r w:rsidRPr="00EA40E2">
        <w:t>===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====A. Interpretation – The affirmative must advocate the resolution through an instrumental defense of action by the United States federal government</w:t>
      </w:r>
      <w:r w:rsidRPr="00EA40E2">
        <w:rPr>
          <w:rFonts w:eastAsia="Calibri"/>
        </w:rPr>
        <w:t>====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</w:t>
      </w:r>
      <w:proofErr w:type="gramStart"/>
      <w:r w:rsidRPr="00EA40E2">
        <w:t>Resolved</w:t>
      </w:r>
      <w:proofErr w:type="gramEnd"/>
      <w:r w:rsidRPr="00EA40E2">
        <w:t xml:space="preserve"> requires a policy ====</w:t>
      </w:r>
    </w:p>
    <w:p w:rsidR="00EA40E2" w:rsidRPr="00EA40E2" w:rsidRDefault="00EA40E2" w:rsidP="00EA40E2">
      <w:r w:rsidRPr="00EA40E2">
        <w:t xml:space="preserve">**Louisiana House** </w:t>
      </w:r>
      <w:r w:rsidRPr="00EA40E2">
        <w:t>3-8-20</w:t>
      </w:r>
      <w:r w:rsidRPr="00EA40E2">
        <w:t>**05**, [[</w:t>
      </w:r>
      <w:r w:rsidRPr="00EA40E2">
        <w:t>http://house.louisiana.gov/house-glossary.htm</w:t>
      </w:r>
      <w:r w:rsidRPr="00EA40E2">
        <w:t>-http://house.louisiana.gov/house-glossary.htm]]** **</w:t>
      </w:r>
    </w:p>
    <w:p w:rsidR="00EA40E2" w:rsidRPr="00EA40E2" w:rsidRDefault="00EA40E2" w:rsidP="00EA40E2">
      <w:proofErr w:type="gramStart"/>
      <w:r w:rsidRPr="00EA40E2">
        <w:t>Resolution  A</w:t>
      </w:r>
      <w:proofErr w:type="gramEnd"/>
      <w:r w:rsidRPr="00EA40E2">
        <w:t xml:space="preserve"> legislative instrument </w:t>
      </w:r>
      <w:r w:rsidRPr="00EA40E2">
        <w:t xml:space="preserve">that generally is </w:t>
      </w:r>
      <w:r w:rsidRPr="00EA40E2">
        <w:t>used for</w:t>
      </w:r>
      <w:r w:rsidRPr="00EA40E2">
        <w:t xml:space="preserve"> making declarations,  </w:t>
      </w:r>
      <w:r w:rsidRPr="00EA40E2">
        <w:t>stating policies</w:t>
      </w:r>
      <w:r w:rsidRPr="00EA40E2">
        <w:t xml:space="preserve">, and making decisions where some other form is not  required. A bill includes the constitutionally required enacting clause; </w:t>
      </w:r>
      <w:proofErr w:type="gramStart"/>
      <w:r w:rsidRPr="00EA40E2">
        <w:t>a  resolution</w:t>
      </w:r>
      <w:proofErr w:type="gramEnd"/>
      <w:r w:rsidRPr="00EA40E2">
        <w:t xml:space="preserve"> uses the term "resolved".</w:t>
      </w:r>
      <w:r w:rsidRPr="00EA40E2">
        <w:t xml:space="preserve"> Not subject to a time limit </w:t>
      </w:r>
      <w:proofErr w:type="gramStart"/>
      <w:r w:rsidRPr="00EA40E2">
        <w:t>for  introduction</w:t>
      </w:r>
      <w:proofErr w:type="gramEnd"/>
      <w:r w:rsidRPr="00EA40E2">
        <w:t xml:space="preserve"> nor to </w:t>
      </w:r>
      <w:proofErr w:type="spellStart"/>
      <w:r w:rsidRPr="00EA40E2">
        <w:t>governor</w:t>
      </w:r>
      <w:r w:rsidRPr="00EA40E2">
        <w:t>~’</w:t>
      </w:r>
      <w:r w:rsidRPr="00EA40E2">
        <w:t>s</w:t>
      </w:r>
      <w:proofErr w:type="spellEnd"/>
      <w:r w:rsidRPr="00EA40E2">
        <w:t xml:space="preserve"> veto. </w:t>
      </w:r>
      <w:proofErr w:type="gramStart"/>
      <w:r w:rsidRPr="00EA40E2">
        <w:t>( Const</w:t>
      </w:r>
      <w:proofErr w:type="gramEnd"/>
      <w:r w:rsidRPr="00EA40E2">
        <w:t xml:space="preserve">. Art. III, §17(B) and </w:t>
      </w:r>
      <w:proofErr w:type="gramStart"/>
      <w:r w:rsidRPr="00EA40E2">
        <w:t>House  Rules</w:t>
      </w:r>
      <w:proofErr w:type="gramEnd"/>
      <w:r w:rsidRPr="00EA40E2">
        <w:t xml:space="preserve"> 8.11 , 13.1 , 6.8 , and 7.4)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====United States federal government is only three branches====</w:t>
      </w:r>
    </w:p>
    <w:p w:rsidR="00EA40E2" w:rsidRPr="00EA40E2" w:rsidRDefault="00EA40E2" w:rsidP="00EA40E2">
      <w:r w:rsidRPr="00EA40E2">
        <w:t>**</w:t>
      </w:r>
      <w:proofErr w:type="spellStart"/>
      <w:r w:rsidRPr="00EA40E2">
        <w:t>Black~’s</w:t>
      </w:r>
      <w:proofErr w:type="spellEnd"/>
      <w:r w:rsidRPr="00EA40E2">
        <w:t xml:space="preserve"> Law 90** </w:t>
      </w:r>
      <w:r w:rsidRPr="00EA40E2">
        <w:t>(Dictionary, p. 695)</w:t>
      </w:r>
    </w:p>
    <w:p w:rsidR="00EA40E2" w:rsidRPr="00EA40E2" w:rsidRDefault="00EA40E2" w:rsidP="00EA40E2">
      <w:r w:rsidRPr="00EA40E2">
        <w:rPr>
          <w:sz w:val="16"/>
        </w:rPr>
        <w:t>"~~[</w:t>
      </w:r>
      <w:r w:rsidRPr="00EA40E2">
        <w:t>Government</w:t>
      </w:r>
      <w:r w:rsidRPr="00EA40E2">
        <w:rPr>
          <w:sz w:val="16"/>
        </w:rPr>
        <w:t>~~]</w:t>
      </w:r>
      <w:r w:rsidRPr="00EA40E2">
        <w:rPr>
          <w:sz w:val="16"/>
        </w:rPr>
        <w:t xml:space="preserve"> </w:t>
      </w:r>
      <w:r w:rsidRPr="00EA40E2">
        <w:t>In the</w:t>
      </w:r>
      <w:r w:rsidRPr="00EA40E2">
        <w:rPr>
          <w:sz w:val="16"/>
        </w:rPr>
        <w:t xml:space="preserve"> </w:t>
      </w:r>
      <w:r w:rsidRPr="00EA40E2">
        <w:t>U</w:t>
      </w:r>
      <w:r w:rsidRPr="00EA40E2">
        <w:rPr>
          <w:sz w:val="16"/>
        </w:rPr>
        <w:t xml:space="preserve">nited </w:t>
      </w:r>
      <w:r w:rsidRPr="00EA40E2">
        <w:t>S</w:t>
      </w:r>
      <w:r w:rsidRPr="00EA40E2">
        <w:rPr>
          <w:sz w:val="16"/>
        </w:rPr>
        <w:t xml:space="preserve">tates, </w:t>
      </w:r>
      <w:r w:rsidRPr="00EA40E2">
        <w:t>government consists of the executive, legislative, and judicial branches</w:t>
      </w:r>
      <w:r w:rsidRPr="00EA40E2">
        <w:rPr>
          <w:sz w:val="16"/>
        </w:rPr>
        <w:t xml:space="preserve"> in addition to administrative agencies.  In a broader sense, includes the federal government and all its agencies and bureaus, state and county governments, and city and township governments.</w:t>
      </w:r>
      <w:r w:rsidRPr="00EA40E2">
        <w:rPr>
          <w:sz w:val="16"/>
        </w:rPr>
        <w:t>"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===="Economic engagement" is limited to expanding economic ties====</w:t>
      </w:r>
    </w:p>
    <w:p w:rsidR="00EA40E2" w:rsidRPr="00EA40E2" w:rsidRDefault="00EA40E2" w:rsidP="00EA40E2">
      <w:r w:rsidRPr="00EA40E2">
        <w:t>**</w:t>
      </w:r>
      <w:proofErr w:type="spellStart"/>
      <w:r w:rsidRPr="00EA40E2">
        <w:t>Çelik</w:t>
      </w:r>
      <w:proofErr w:type="spellEnd"/>
      <w:r w:rsidRPr="00EA40E2">
        <w:t xml:space="preserve"> 11** </w:t>
      </w:r>
      <w:r w:rsidRPr="00EA40E2">
        <w:t xml:space="preserve">– </w:t>
      </w:r>
      <w:proofErr w:type="spellStart"/>
      <w:r w:rsidRPr="00EA40E2">
        <w:t>Arda</w:t>
      </w:r>
      <w:proofErr w:type="spellEnd"/>
      <w:r w:rsidRPr="00EA40E2">
        <w:t xml:space="preserve"> Can </w:t>
      </w:r>
      <w:proofErr w:type="spellStart"/>
      <w:r w:rsidRPr="00EA40E2">
        <w:t>Çelik</w:t>
      </w:r>
      <w:proofErr w:type="spellEnd"/>
      <w:r w:rsidRPr="00EA40E2">
        <w:t xml:space="preserve">, </w:t>
      </w:r>
      <w:proofErr w:type="spellStart"/>
      <w:r w:rsidRPr="00EA40E2">
        <w:t>Master</w:t>
      </w:r>
      <w:r w:rsidRPr="00EA40E2">
        <w:t>~’</w:t>
      </w:r>
      <w:r w:rsidRPr="00EA40E2">
        <w:t>s</w:t>
      </w:r>
      <w:proofErr w:type="spellEnd"/>
      <w:r w:rsidRPr="00EA40E2">
        <w:t xml:space="preserve"> Degree in Politics and International Studies from Uppsala University, Economic Sanctions and Engagement Policies, p. 11</w:t>
      </w:r>
    </w:p>
    <w:p w:rsidR="00EA40E2" w:rsidRPr="00EA40E2" w:rsidRDefault="00EA40E2" w:rsidP="00EA40E2"/>
    <w:p w:rsidR="00EA40E2" w:rsidRPr="00EA40E2" w:rsidRDefault="00EA40E2" w:rsidP="00EA40E2">
      <w:pPr>
        <w:rPr>
          <w:sz w:val="16"/>
        </w:rPr>
      </w:pPr>
      <w:r w:rsidRPr="00EA40E2">
        <w:rPr>
          <w:sz w:val="16"/>
        </w:rPr>
        <w:t>Introduction</w:t>
      </w:r>
    </w:p>
    <w:p w:rsidR="00EA40E2" w:rsidRPr="00EA40E2" w:rsidRDefault="00EA40E2" w:rsidP="00EA40E2">
      <w:r w:rsidRPr="00EA40E2">
        <w:t xml:space="preserve">Economic engagement policies are strategic integration </w:t>
      </w:r>
      <w:proofErr w:type="spellStart"/>
      <w:r w:rsidRPr="00EA40E2">
        <w:t>behaviour</w:t>
      </w:r>
      <w:proofErr w:type="spellEnd"/>
      <w:r w:rsidRPr="00EA40E2">
        <w:t xml:space="preserve"> which involves with the target state. Engagement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position</w:t>
      </w:r>
      <w:proofErr w:type="gramEnd"/>
      <w:r w:rsidRPr="00EA40E2">
        <w:t xml:space="preserve"> of one state affects the position of others in the same direction.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 xml:space="preserve">B. Violation – they </w:t>
      </w:r>
      <w:proofErr w:type="spellStart"/>
      <w:r w:rsidRPr="00EA40E2">
        <w:t>don~’t</w:t>
      </w:r>
      <w:proofErr w:type="spellEnd"/>
      <w:r w:rsidRPr="00EA40E2">
        <w:t xml:space="preserve"> advocate a government policy enacted by the USFG that expands economic ties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 xml:space="preserve">Vote Negative: </w:t>
      </w:r>
    </w:p>
    <w:p w:rsidR="00EA40E2" w:rsidRPr="00EA40E2" w:rsidRDefault="00EA40E2" w:rsidP="00EA40E2"/>
    <w:p w:rsidR="00EA40E2" w:rsidRPr="00EA40E2" w:rsidRDefault="00EA40E2" w:rsidP="00EA40E2">
      <w:r w:rsidRPr="00EA40E2">
        <w:t xml:space="preserve">1. Predictability  - The resolution proposes the question the negative is prepared to answer – even if </w:t>
      </w:r>
      <w:proofErr w:type="spellStart"/>
      <w:r w:rsidRPr="00EA40E2">
        <w:t>it~’s</w:t>
      </w:r>
      <w:proofErr w:type="spellEnd"/>
      <w:r w:rsidRPr="00EA40E2">
        <w:t xml:space="preserve"> good to talk about the 1AC, they have to prove that we could have logically anticipated it – </w:t>
      </w:r>
      <w:proofErr w:type="spellStart"/>
      <w:r w:rsidRPr="00EA40E2">
        <w:t>that~’s</w:t>
      </w:r>
      <w:proofErr w:type="spellEnd"/>
      <w:r w:rsidRPr="00EA40E2">
        <w:t xml:space="preserve"> key to Advocacy Skills because otherwise affirmatives will never have to defend their position against well prepared negative arguments.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lastRenderedPageBreak/>
        <w:t>====</w:t>
      </w:r>
      <w:proofErr w:type="spellStart"/>
      <w:proofErr w:type="gramStart"/>
      <w:r w:rsidRPr="00EA40E2">
        <w:t>That</w:t>
      </w:r>
      <w:proofErr w:type="gramEnd"/>
      <w:r w:rsidRPr="00EA40E2">
        <w:t>~’s</w:t>
      </w:r>
      <w:proofErr w:type="spellEnd"/>
      <w:r w:rsidRPr="00EA40E2">
        <w:t xml:space="preserve"> key to the </w:t>
      </w:r>
      <w:proofErr w:type="spellStart"/>
      <w:r w:rsidRPr="00EA40E2">
        <w:t>aff</w:t>
      </w:r>
      <w:proofErr w:type="spellEnd"/>
      <w:r w:rsidRPr="00EA40E2">
        <w:t xml:space="preserve"> – a predictable topic forces pre-round internal deliberation which is the only way to convince people </w:t>
      </w:r>
      <w:proofErr w:type="spellStart"/>
      <w:r w:rsidRPr="00EA40E2">
        <w:t>you~’re</w:t>
      </w:r>
      <w:proofErr w:type="spellEnd"/>
      <w:r w:rsidRPr="00EA40E2">
        <w:t xml:space="preserve"> right====</w:t>
      </w:r>
    </w:p>
    <w:p w:rsidR="00EA40E2" w:rsidRPr="00EA40E2" w:rsidRDefault="00EA40E2" w:rsidP="00EA40E2">
      <w:r w:rsidRPr="00EA40E2">
        <w:t>**</w:t>
      </w:r>
      <w:proofErr w:type="spellStart"/>
      <w:r w:rsidRPr="00EA40E2">
        <w:t>Goodin</w:t>
      </w:r>
      <w:proofErr w:type="spellEnd"/>
      <w:r w:rsidRPr="00EA40E2">
        <w:t xml:space="preserve"> and Niemeyer 03**</w:t>
      </w:r>
      <w:r w:rsidRPr="00EA40E2">
        <w:t xml:space="preserve"> (Robert and Simon, Australian National University, </w:t>
      </w:r>
      <w:r w:rsidRPr="00EA40E2">
        <w:t>"</w:t>
      </w:r>
      <w:r w:rsidRPr="00EA40E2">
        <w:t>When Does Deliberation Begin? Internal Reflection versus Public Discussion in Deliberative Democracy</w:t>
      </w:r>
      <w:r w:rsidRPr="00EA40E2">
        <w:t>"</w:t>
      </w:r>
      <w:r w:rsidRPr="00EA40E2">
        <w:t xml:space="preserve"> Political Studies, </w:t>
      </w:r>
      <w:proofErr w:type="spellStart"/>
      <w:r w:rsidRPr="00EA40E2">
        <w:t>Vol</w:t>
      </w:r>
      <w:proofErr w:type="spellEnd"/>
      <w:r w:rsidRPr="00EA40E2">
        <w:t xml:space="preserve"> 50, p 627-649, </w:t>
      </w:r>
      <w:proofErr w:type="spellStart"/>
      <w:r w:rsidRPr="00EA40E2">
        <w:t>WileyInterscience</w:t>
      </w:r>
      <w:proofErr w:type="spellEnd"/>
      <w:r w:rsidRPr="00EA40E2">
        <w:t>)</w:t>
      </w:r>
    </w:p>
    <w:p w:rsidR="00EA40E2" w:rsidRPr="00EA40E2" w:rsidRDefault="00EA40E2" w:rsidP="00EA40E2"/>
    <w:p w:rsidR="00EA40E2" w:rsidRPr="00EA40E2" w:rsidRDefault="00EA40E2" w:rsidP="00EA40E2">
      <w:r w:rsidRPr="00EA40E2">
        <w:t xml:space="preserve">What happened in this particular case, as in any particular case, was in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least</w:t>
      </w:r>
      <w:proofErr w:type="gramEnd"/>
      <w:r w:rsidRPr="00EA40E2">
        <w:t xml:space="preserve"> one possible way of doing that for each of those key features.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</w:t>
      </w:r>
      <w:r w:rsidRPr="00EA40E2">
        <w:t xml:space="preserve">2. </w:t>
      </w:r>
      <w:r w:rsidRPr="00EA40E2">
        <w:t>Switch Side Debate</w:t>
      </w:r>
      <w:r w:rsidRPr="00EA40E2">
        <w:t xml:space="preserve"> –Defending a topical affirmative is the only way to ensure that teams must research and debate both sides of an argument and learn from multiple perspectives about the topic. Forcing a rigid adherence to the topic facilitates the advocacy of things you </w:t>
      </w:r>
      <w:proofErr w:type="spellStart"/>
      <w:r w:rsidRPr="00EA40E2">
        <w:t>don</w:t>
      </w:r>
      <w:r w:rsidRPr="00EA40E2">
        <w:t>~’</w:t>
      </w:r>
      <w:r w:rsidRPr="00EA40E2">
        <w:t>t</w:t>
      </w:r>
      <w:proofErr w:type="spellEnd"/>
      <w:r w:rsidRPr="00EA40E2">
        <w:t xml:space="preserve"> necessarily believe in</w:t>
      </w:r>
      <w:proofErr w:type="gramStart"/>
      <w:r w:rsidRPr="00EA40E2">
        <w:t>.</w:t>
      </w:r>
      <w:r w:rsidRPr="00EA40E2">
        <w:t>=</w:t>
      </w:r>
      <w:proofErr w:type="gramEnd"/>
      <w:r w:rsidRPr="00EA40E2">
        <w:t>===</w:t>
      </w:r>
    </w:p>
    <w:p w:rsidR="00EA40E2" w:rsidRPr="00EA40E2" w:rsidRDefault="00EA40E2" w:rsidP="00EA40E2">
      <w:pPr>
        <w:pStyle w:val="TagText"/>
        <w:rPr>
          <w:b w:val="0"/>
        </w:rPr>
      </w:pPr>
    </w:p>
    <w:p w:rsidR="00EA40E2" w:rsidRPr="00EA40E2" w:rsidRDefault="00EA40E2" w:rsidP="00EA40E2"/>
    <w:p w:rsidR="00EA40E2" w:rsidRPr="00EA40E2" w:rsidRDefault="00EA40E2" w:rsidP="00EA40E2">
      <w:r w:rsidRPr="00EA40E2">
        <w:t>====</w:t>
      </w:r>
      <w:proofErr w:type="spellStart"/>
      <w:proofErr w:type="gramStart"/>
      <w:r w:rsidRPr="00EA40E2">
        <w:t>That</w:t>
      </w:r>
      <w:proofErr w:type="gramEnd"/>
      <w:r w:rsidRPr="00EA40E2">
        <w:t>~’</w:t>
      </w:r>
      <w:r w:rsidRPr="00EA40E2">
        <w:t>s</w:t>
      </w:r>
      <w:proofErr w:type="spellEnd"/>
      <w:r w:rsidRPr="00EA40E2">
        <w:t xml:space="preserve"> key to critical thinking</w:t>
      </w:r>
      <w:r w:rsidRPr="00EA40E2">
        <w:t>====</w:t>
      </w:r>
    </w:p>
    <w:p w:rsidR="00EA40E2" w:rsidRPr="00EA40E2" w:rsidRDefault="00EA40E2" w:rsidP="00EA40E2">
      <w:pPr>
        <w:rPr>
          <w:sz w:val="16"/>
        </w:rPr>
      </w:pPr>
      <w:r w:rsidRPr="00EA40E2">
        <w:t>**</w:t>
      </w:r>
      <w:proofErr w:type="spellStart"/>
      <w:r w:rsidRPr="00EA40E2">
        <w:t>Harrigan</w:t>
      </w:r>
      <w:proofErr w:type="spellEnd"/>
      <w:r w:rsidRPr="00EA40E2">
        <w:t xml:space="preserve"> 8**</w:t>
      </w:r>
      <w:r w:rsidRPr="00EA40E2">
        <w:rPr>
          <w:sz w:val="16"/>
        </w:rPr>
        <w:t xml:space="preserve"> (Casey, Associate Director of Debate at UGA, </w:t>
      </w:r>
      <w:proofErr w:type="spellStart"/>
      <w:r w:rsidRPr="00EA40E2">
        <w:rPr>
          <w:sz w:val="16"/>
        </w:rPr>
        <w:t>Master</w:t>
      </w:r>
      <w:r w:rsidRPr="00EA40E2">
        <w:rPr>
          <w:sz w:val="16"/>
        </w:rPr>
        <w:t>~’</w:t>
      </w:r>
      <w:r w:rsidRPr="00EA40E2">
        <w:rPr>
          <w:sz w:val="16"/>
        </w:rPr>
        <w:t>s</w:t>
      </w:r>
      <w:proofErr w:type="spellEnd"/>
      <w:r w:rsidRPr="00EA40E2">
        <w:rPr>
          <w:sz w:val="16"/>
        </w:rPr>
        <w:t xml:space="preserve"> in Communications – Wake Forest U., </w:t>
      </w:r>
      <w:r w:rsidRPr="00EA40E2">
        <w:rPr>
          <w:sz w:val="16"/>
        </w:rPr>
        <w:t>"</w:t>
      </w:r>
      <w:r w:rsidRPr="00EA40E2">
        <w:rPr>
          <w:sz w:val="16"/>
        </w:rPr>
        <w:t>A Defense of Switch Side Debate</w:t>
      </w:r>
      <w:r w:rsidRPr="00EA40E2">
        <w:rPr>
          <w:sz w:val="16"/>
        </w:rPr>
        <w:t>"</w:t>
      </w:r>
      <w:r w:rsidRPr="00EA40E2">
        <w:rPr>
          <w:sz w:val="16"/>
        </w:rPr>
        <w:t xml:space="preserve">, </w:t>
      </w:r>
      <w:proofErr w:type="spellStart"/>
      <w:r w:rsidRPr="00EA40E2">
        <w:rPr>
          <w:sz w:val="16"/>
        </w:rPr>
        <w:t>Master</w:t>
      </w:r>
      <w:r w:rsidRPr="00EA40E2">
        <w:rPr>
          <w:sz w:val="16"/>
        </w:rPr>
        <w:t>~’</w:t>
      </w:r>
      <w:r w:rsidRPr="00EA40E2">
        <w:rPr>
          <w:sz w:val="16"/>
        </w:rPr>
        <w:t>s</w:t>
      </w:r>
      <w:proofErr w:type="spellEnd"/>
      <w:r w:rsidRPr="00EA40E2">
        <w:rPr>
          <w:sz w:val="16"/>
        </w:rPr>
        <w:t xml:space="preserve"> thesis at Wake Forest, Department of Communication, May, pp. 6-9)</w:t>
      </w:r>
    </w:p>
    <w:p w:rsidR="00EA40E2" w:rsidRPr="00EA40E2" w:rsidRDefault="00EA40E2" w:rsidP="00EA40E2">
      <w:pPr>
        <w:rPr>
          <w:sz w:val="16"/>
        </w:rPr>
      </w:pPr>
    </w:p>
    <w:p w:rsidR="00EA40E2" w:rsidRPr="00EA40E2" w:rsidRDefault="00EA40E2" w:rsidP="00EA40E2">
      <w:r w:rsidRPr="00EA40E2">
        <w:t xml:space="preserve">Additionally, there are social benefits to the practice of requiring students to debate both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Hunt and Louden, 1999; Colbert, 2002, p.82).</w:t>
      </w:r>
      <w:proofErr w:type="gramEnd"/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====3. Policymaking Education – debates about government policy are key to connect theory and practice, regardless of whether we become policymakers====</w:t>
      </w:r>
    </w:p>
    <w:p w:rsidR="00EA40E2" w:rsidRPr="00EA40E2" w:rsidRDefault="00EA40E2" w:rsidP="00EA40E2">
      <w:r w:rsidRPr="00EA40E2">
        <w:t>**</w:t>
      </w:r>
      <w:proofErr w:type="spellStart"/>
      <w:r w:rsidRPr="00EA40E2">
        <w:t>Esberg</w:t>
      </w:r>
      <w:proofErr w:type="spellEnd"/>
      <w:r w:rsidRPr="00EA40E2">
        <w:t xml:space="preserve"> %26 Sagan 12**</w:t>
      </w:r>
      <w:r w:rsidRPr="00EA40E2">
        <w:t xml:space="preserve"> (Jane </w:t>
      </w:r>
      <w:proofErr w:type="spellStart"/>
      <w:r w:rsidRPr="00EA40E2">
        <w:t>Esberg</w:t>
      </w:r>
      <w:proofErr w:type="spellEnd"/>
      <w:r w:rsidRPr="00EA40E2">
        <w:t xml:space="preserve"> is special assistant to the director at New York </w:t>
      </w:r>
      <w:proofErr w:type="spellStart"/>
      <w:r w:rsidRPr="00EA40E2">
        <w:t>University</w:t>
      </w:r>
      <w:r w:rsidRPr="00EA40E2">
        <w:t>~’</w:t>
      </w:r>
      <w:r w:rsidRPr="00EA40E2">
        <w:t>s</w:t>
      </w:r>
      <w:proofErr w:type="spellEnd"/>
      <w:r w:rsidRPr="00EA40E2">
        <w:t xml:space="preserve"> Center on International Cooperation. Scott Sagan is a professor of political science and director of </w:t>
      </w:r>
      <w:proofErr w:type="spellStart"/>
      <w:r w:rsidRPr="00EA40E2">
        <w:t>Stanford</w:t>
      </w:r>
      <w:r w:rsidRPr="00EA40E2">
        <w:t>~’</w:t>
      </w:r>
      <w:r w:rsidRPr="00EA40E2">
        <w:t>s</w:t>
      </w:r>
      <w:proofErr w:type="spellEnd"/>
      <w:r w:rsidRPr="00EA40E2">
        <w:t xml:space="preserve"> Center for International Security and Cooperation </w:t>
      </w:r>
      <w:r w:rsidRPr="00EA40E2">
        <w:t>"</w:t>
      </w:r>
      <w:r w:rsidRPr="00EA40E2">
        <w:t>NEGOTIATING NONPROLIFERATION: Scholarship, Pedagogy, and Nuclear Weapons Policy,</w:t>
      </w:r>
      <w:r w:rsidRPr="00EA40E2">
        <w:t>"</w:t>
      </w:r>
      <w:r w:rsidRPr="00EA40E2">
        <w:t xml:space="preserve"> 2/17 The Nonproliferation Review, 19:1, 95-108)</w:t>
      </w:r>
    </w:p>
    <w:p w:rsidR="00EA40E2" w:rsidRPr="00EA40E2" w:rsidRDefault="00EA40E2" w:rsidP="00EA40E2"/>
    <w:p w:rsidR="00EA40E2" w:rsidRPr="00EA40E2" w:rsidRDefault="00EA40E2" w:rsidP="00EA40E2">
      <w:r w:rsidRPr="00EA40E2">
        <w:t xml:space="preserve">These government or quasi-government think tank simulations often provide very similar lessons for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quickly</w:t>
      </w:r>
      <w:proofErr w:type="gramEnd"/>
      <w:r w:rsidRPr="00EA40E2">
        <w:t>; simulations teach students how to contextualize and act on information.14</w:t>
      </w:r>
    </w:p>
    <w:p w:rsidR="00EA40E2" w:rsidRPr="00EA40E2" w:rsidRDefault="00EA40E2" w:rsidP="00EA40E2">
      <w:pPr>
        <w:ind w:right="288"/>
      </w:pP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</w:t>
      </w:r>
      <w:r w:rsidRPr="00EA40E2">
        <w:t>Counter Plan</w:t>
      </w:r>
      <w:r w:rsidRPr="00EA40E2">
        <w:t>===</w:t>
      </w:r>
    </w:p>
    <w:p w:rsidR="00EA40E2" w:rsidRPr="00EA40E2" w:rsidRDefault="00EA40E2" w:rsidP="00EA40E2"/>
    <w:p w:rsidR="00EA40E2" w:rsidRPr="00EA40E2" w:rsidRDefault="00EA40E2" w:rsidP="00EA40E2">
      <w:r w:rsidRPr="00EA40E2">
        <w:t>====</w:t>
      </w:r>
      <w:r w:rsidRPr="00EA40E2">
        <w:t>Counter Plan Text: The United Mexican States Supreme Court should rule sexual harassment to be a form of sexual discrimination and therefore illegal and make law that employers are responsible for ensuring a healthy working environment, free from discriminatory practices, including sexual harassment.</w:t>
      </w:r>
      <w:r w:rsidRPr="00EA40E2">
        <w:t>====</w:t>
      </w:r>
    </w:p>
    <w:p w:rsidR="00EA40E2" w:rsidRPr="00EA40E2" w:rsidRDefault="00EA40E2" w:rsidP="00EA40E2"/>
    <w:p w:rsidR="00EA40E2" w:rsidRPr="00EA40E2" w:rsidRDefault="00EA40E2" w:rsidP="00EA40E2">
      <w:r w:rsidRPr="00EA40E2">
        <w:t>====</w:t>
      </w:r>
      <w:r w:rsidRPr="00EA40E2">
        <w:t>Awareness of sexual harassment is key – Addition of constitutional violations creates awareness and solves</w:t>
      </w:r>
      <w:r w:rsidRPr="00EA40E2">
        <w:t>====</w:t>
      </w:r>
    </w:p>
    <w:p w:rsidR="00EA40E2" w:rsidRPr="00EA40E2" w:rsidRDefault="00EA40E2" w:rsidP="00EA40E2">
      <w:r w:rsidRPr="00EA40E2">
        <w:lastRenderedPageBreak/>
        <w:t>**MAGALLÓN 6**</w:t>
      </w:r>
    </w:p>
    <w:p w:rsidR="00EA40E2" w:rsidRPr="00EA40E2" w:rsidRDefault="00EA40E2" w:rsidP="00EA40E2">
      <w:r w:rsidRPr="00EA40E2">
        <w:t xml:space="preserve">**(The </w:t>
      </w:r>
      <w:proofErr w:type="spellStart"/>
      <w:r w:rsidRPr="00EA40E2">
        <w:t>Colectiva</w:t>
      </w:r>
      <w:proofErr w:type="spellEnd"/>
      <w:r w:rsidRPr="00EA40E2">
        <w:t xml:space="preserve"> </w:t>
      </w:r>
      <w:proofErr w:type="spellStart"/>
      <w:r w:rsidRPr="00EA40E2">
        <w:t>Feminista</w:t>
      </w:r>
      <w:proofErr w:type="spellEnd"/>
      <w:r w:rsidRPr="00EA40E2">
        <w:t xml:space="preserve"> </w:t>
      </w:r>
      <w:proofErr w:type="spellStart"/>
      <w:r w:rsidRPr="00EA40E2">
        <w:t>Binacional</w:t>
      </w:r>
      <w:proofErr w:type="spellEnd"/>
      <w:r w:rsidRPr="00EA40E2">
        <w:t xml:space="preserve">, </w:t>
      </w:r>
      <w:proofErr w:type="spellStart"/>
      <w:r w:rsidRPr="00EA40E2">
        <w:t>Servicio</w:t>
      </w:r>
      <w:proofErr w:type="spellEnd"/>
      <w:r w:rsidRPr="00EA40E2">
        <w:t xml:space="preserve"> </w:t>
      </w:r>
      <w:proofErr w:type="spellStart"/>
      <w:r w:rsidRPr="00EA40E2">
        <w:t>Desarrollo</w:t>
      </w:r>
      <w:proofErr w:type="spellEnd"/>
      <w:r w:rsidRPr="00EA40E2">
        <w:t xml:space="preserve"> y Paz, A.C. (SEDEPAC), and </w:t>
      </w:r>
      <w:proofErr w:type="spellStart"/>
      <w:r w:rsidRPr="00EA40E2">
        <w:t>Comité</w:t>
      </w:r>
      <w:proofErr w:type="spellEnd"/>
      <w:r w:rsidRPr="00EA40E2">
        <w:t xml:space="preserve"> de </w:t>
      </w:r>
      <w:proofErr w:type="spellStart"/>
      <w:r w:rsidRPr="00EA40E2">
        <w:t>Obreras</w:t>
      </w:r>
      <w:proofErr w:type="spellEnd"/>
      <w:r w:rsidRPr="00EA40E2">
        <w:t xml:space="preserve"> y </w:t>
      </w:r>
      <w:proofErr w:type="spellStart"/>
      <w:r w:rsidRPr="00EA40E2">
        <w:t>Obreros</w:t>
      </w:r>
      <w:proofErr w:type="spellEnd"/>
      <w:r w:rsidRPr="00EA40E2">
        <w:t xml:space="preserve"> en </w:t>
      </w:r>
      <w:proofErr w:type="spellStart"/>
      <w:r w:rsidRPr="00EA40E2">
        <w:t>Lucha</w:t>
      </w:r>
      <w:proofErr w:type="spellEnd"/>
      <w:r w:rsidRPr="00EA40E2">
        <w:t xml:space="preserve">  are Mexican non-profit action groups whose aim is to create better working conditions for maquiladoras. ROSARIO ORTIZ MAGALLÓN was the project coordinator for their September 1, 2006 publication: "</w:t>
      </w:r>
      <w:proofErr w:type="spellStart"/>
      <w:r w:rsidRPr="00EA40E2">
        <w:t>Hostigamiento</w:t>
      </w:r>
      <w:proofErr w:type="spellEnd"/>
      <w:r w:rsidRPr="00EA40E2">
        <w:t xml:space="preserve"> Sexual: </w:t>
      </w:r>
      <w:proofErr w:type="spellStart"/>
      <w:r w:rsidRPr="00EA40E2">
        <w:t>Una</w:t>
      </w:r>
      <w:proofErr w:type="spellEnd"/>
      <w:r w:rsidRPr="00EA40E2">
        <w:t xml:space="preserve"> </w:t>
      </w:r>
      <w:proofErr w:type="spellStart"/>
      <w:r w:rsidRPr="00EA40E2">
        <w:t>Realidad</w:t>
      </w:r>
      <w:proofErr w:type="spellEnd"/>
      <w:r w:rsidRPr="00EA40E2">
        <w:t xml:space="preserve"> en la </w:t>
      </w:r>
      <w:proofErr w:type="spellStart"/>
      <w:r w:rsidRPr="00EA40E2">
        <w:t>Maquila</w:t>
      </w:r>
      <w:proofErr w:type="spellEnd"/>
      <w:r w:rsidRPr="00EA40E2">
        <w:t xml:space="preserve">" or "Sexual Harassment: A </w:t>
      </w:r>
      <w:proofErr w:type="spellStart"/>
      <w:r w:rsidRPr="00EA40E2">
        <w:t>Maquila</w:t>
      </w:r>
      <w:proofErr w:type="spellEnd"/>
      <w:r w:rsidRPr="00EA40E2">
        <w:t xml:space="preserve"> Reality." 5-6 CVS</w:t>
      </w:r>
      <w:proofErr w:type="gramStart"/>
      <w:r w:rsidRPr="00EA40E2">
        <w:t>)*</w:t>
      </w:r>
      <w:proofErr w:type="gramEnd"/>
      <w:r w:rsidRPr="00EA40E2">
        <w:t>*</w:t>
      </w:r>
    </w:p>
    <w:p w:rsidR="00EA40E2" w:rsidRPr="00EA40E2" w:rsidRDefault="00EA40E2" w:rsidP="00EA40E2"/>
    <w:p w:rsidR="00EA40E2" w:rsidRPr="00EA40E2" w:rsidRDefault="00EA40E2" w:rsidP="00EA40E2">
      <w:r w:rsidRPr="00EA40E2">
        <w:t>One result of repeated sexual harassment is the transformation of the workplace into a damaging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finger</w:t>
      </w:r>
      <w:proofErr w:type="gramEnd"/>
      <w:r w:rsidRPr="00EA40E2">
        <w:t xml:space="preserve">. A change in civil status can change a </w:t>
      </w:r>
      <w:proofErr w:type="spellStart"/>
      <w:r w:rsidRPr="00EA40E2">
        <w:t>woman~’s</w:t>
      </w:r>
      <w:proofErr w:type="spellEnd"/>
      <w:r w:rsidRPr="00EA40E2">
        <w:t xml:space="preserve"> employment options.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</w:t>
      </w:r>
      <w:r w:rsidRPr="00EA40E2">
        <w:t>Case</w:t>
      </w:r>
      <w:r w:rsidRPr="00EA40E2">
        <w:t>===</w:t>
      </w:r>
    </w:p>
    <w:p w:rsidR="00EA40E2" w:rsidRPr="00EA40E2" w:rsidRDefault="00EA40E2" w:rsidP="00EA40E2"/>
    <w:p w:rsidR="00EA40E2" w:rsidRPr="00EA40E2" w:rsidRDefault="00EA40E2" w:rsidP="00EA40E2">
      <w:r w:rsidRPr="00EA40E2">
        <w:t>====</w:t>
      </w:r>
      <w:r w:rsidRPr="00EA40E2">
        <w:t xml:space="preserve">Impossible to stop </w:t>
      </w:r>
      <w:proofErr w:type="spellStart"/>
      <w:r w:rsidRPr="00EA40E2">
        <w:t>femicide</w:t>
      </w:r>
      <w:proofErr w:type="spellEnd"/>
      <w:r w:rsidRPr="00EA40E2">
        <w:t xml:space="preserve"> entirely – laundry list of motives that </w:t>
      </w:r>
      <w:proofErr w:type="spellStart"/>
      <w:r w:rsidRPr="00EA40E2">
        <w:t>can</w:t>
      </w:r>
      <w:r w:rsidRPr="00EA40E2">
        <w:t>~’</w:t>
      </w:r>
      <w:r w:rsidRPr="00EA40E2">
        <w:t>t</w:t>
      </w:r>
      <w:proofErr w:type="spellEnd"/>
      <w:r w:rsidRPr="00EA40E2">
        <w:t xml:space="preserve"> be prevented through the plan</w:t>
      </w:r>
      <w:r w:rsidRPr="00EA40E2">
        <w:t>====</w:t>
      </w:r>
    </w:p>
    <w:p w:rsidR="00EA40E2" w:rsidRPr="00EA40E2" w:rsidRDefault="00EA40E2" w:rsidP="00EA40E2">
      <w:r w:rsidRPr="00EA40E2">
        <w:t>Fragoso</w:t>
      </w:r>
      <w:proofErr w:type="gramStart"/>
      <w:r w:rsidRPr="00EA40E2">
        <w:t>,~</w:t>
      </w:r>
      <w:proofErr w:type="gramEnd"/>
      <w:r w:rsidRPr="00EA40E2">
        <w:t>’03</w:t>
      </w:r>
    </w:p>
    <w:p w:rsidR="00EA40E2" w:rsidRPr="00EA40E2" w:rsidRDefault="00EA40E2" w:rsidP="00EA40E2">
      <w:r w:rsidRPr="00EA40E2">
        <w:rPr>
          <w:szCs w:val="16"/>
        </w:rPr>
        <w:t xml:space="preserve">(JULIA MONARREZ FRAGOSO, Ph.D. candidate in the Universidad </w:t>
      </w:r>
      <w:proofErr w:type="spellStart"/>
      <w:r w:rsidRPr="00EA40E2">
        <w:rPr>
          <w:szCs w:val="16"/>
        </w:rPr>
        <w:t>Autcinoma</w:t>
      </w:r>
      <w:proofErr w:type="spellEnd"/>
      <w:r w:rsidRPr="00EA40E2">
        <w:rPr>
          <w:szCs w:val="16"/>
        </w:rPr>
        <w:t xml:space="preserve"> </w:t>
      </w:r>
      <w:proofErr w:type="spellStart"/>
      <w:r w:rsidRPr="00EA40E2">
        <w:rPr>
          <w:szCs w:val="16"/>
        </w:rPr>
        <w:t>Metropolitana-Xochimilco</w:t>
      </w:r>
      <w:proofErr w:type="spellEnd"/>
      <w:r w:rsidRPr="00EA40E2">
        <w:rPr>
          <w:szCs w:val="16"/>
        </w:rPr>
        <w:t xml:space="preserve"> and researcher at El </w:t>
      </w:r>
      <w:proofErr w:type="spellStart"/>
      <w:r w:rsidRPr="00EA40E2">
        <w:rPr>
          <w:szCs w:val="16"/>
        </w:rPr>
        <w:t>Colegio</w:t>
      </w:r>
      <w:proofErr w:type="spellEnd"/>
      <w:r w:rsidRPr="00EA40E2">
        <w:rPr>
          <w:szCs w:val="16"/>
        </w:rPr>
        <w:t xml:space="preserve"> de la </w:t>
      </w:r>
      <w:proofErr w:type="spellStart"/>
      <w:r w:rsidRPr="00EA40E2">
        <w:rPr>
          <w:szCs w:val="16"/>
        </w:rPr>
        <w:t>Frontera</w:t>
      </w:r>
      <w:proofErr w:type="spellEnd"/>
      <w:r w:rsidRPr="00EA40E2">
        <w:rPr>
          <w:szCs w:val="16"/>
        </w:rPr>
        <w:t xml:space="preserve"> Norte, specializes in research on gender and violence, </w:t>
      </w:r>
      <w:r w:rsidRPr="00EA40E2">
        <w:rPr>
          <w:szCs w:val="16"/>
        </w:rPr>
        <w:t>"</w:t>
      </w:r>
      <w:r w:rsidRPr="00EA40E2">
        <w:rPr>
          <w:szCs w:val="16"/>
        </w:rPr>
        <w:t xml:space="preserve">Serial Sexual </w:t>
      </w:r>
      <w:proofErr w:type="spellStart"/>
      <w:r w:rsidRPr="00EA40E2">
        <w:rPr>
          <w:szCs w:val="16"/>
        </w:rPr>
        <w:t>Femicide</w:t>
      </w:r>
      <w:proofErr w:type="spellEnd"/>
      <w:r w:rsidRPr="00EA40E2">
        <w:rPr>
          <w:szCs w:val="16"/>
        </w:rPr>
        <w:t xml:space="preserve"> in Ciudad </w:t>
      </w:r>
      <w:proofErr w:type="spellStart"/>
      <w:r w:rsidRPr="00EA40E2">
        <w:rPr>
          <w:szCs w:val="16"/>
        </w:rPr>
        <w:t>Jugrez</w:t>
      </w:r>
      <w:proofErr w:type="spellEnd"/>
      <w:r w:rsidRPr="00EA40E2">
        <w:rPr>
          <w:szCs w:val="16"/>
        </w:rPr>
        <w:t>, 1993-2001</w:t>
      </w:r>
      <w:r w:rsidRPr="00EA40E2">
        <w:rPr>
          <w:szCs w:val="16"/>
        </w:rPr>
        <w:t>"</w:t>
      </w:r>
      <w:r w:rsidRPr="00EA40E2">
        <w:rPr>
          <w:szCs w:val="16"/>
        </w:rPr>
        <w:t xml:space="preserve">, April of 2003, </w:t>
      </w:r>
      <w:r w:rsidRPr="00EA40E2">
        <w:rPr>
          <w:szCs w:val="16"/>
        </w:rPr>
        <w:t>[[http://aztlanjournal.metapress.com/media/eafy7beyyqdrun8vkyvm/contributions/r/2/3/2/r23251g8v8297643.pdf-http://aztlanjournal.metapress.com/media/eafy7beyyqdrun8vkyvm/contributions/r/2/3/2/r23251g8v8297643.pdf]]</w:t>
      </w:r>
      <w:r w:rsidRPr="00EA40E2">
        <w:t>)</w:t>
      </w:r>
    </w:p>
    <w:p w:rsidR="00EA40E2" w:rsidRPr="00EA40E2" w:rsidRDefault="00EA40E2" w:rsidP="00EA40E2"/>
    <w:p w:rsidR="00EA40E2" w:rsidRPr="00EA40E2" w:rsidRDefault="00EA40E2" w:rsidP="00EA40E2">
      <w:r w:rsidRPr="00EA40E2">
        <w:t>In reality,</w:t>
      </w:r>
      <w:r w:rsidRPr="00EA40E2">
        <w:t xml:space="preserve"> the motive for </w:t>
      </w:r>
      <w:proofErr w:type="spellStart"/>
      <w:r w:rsidRPr="00EA40E2">
        <w:t>femicide</w:t>
      </w:r>
      <w:proofErr w:type="spellEnd"/>
      <w:r w:rsidRPr="00EA40E2">
        <w:t xml:space="preserve"> can be hatred, pleasure, anger, malice, jealousy, separation, arguments, robbery, </w:t>
      </w:r>
      <w:r w:rsidRPr="00EA40E2">
        <w:t xml:space="preserve">or simply </w:t>
      </w:r>
      <w:r w:rsidRPr="00EA40E2">
        <w:t xml:space="preserve">the sensation of possessing and dominating the woman and </w:t>
      </w:r>
      <w:r w:rsidRPr="00EA40E2">
        <w:t xml:space="preserve">ultimately </w:t>
      </w:r>
      <w:r w:rsidRPr="00EA40E2">
        <w:t>exterminating her</w:t>
      </w:r>
      <w:r w:rsidRPr="00EA40E2">
        <w:t xml:space="preserve">. </w:t>
      </w:r>
      <w:r w:rsidRPr="00EA40E2">
        <w:t>The victimizer can be a father, lover, husband, friend, acquaintance, stranger, or boyfriend,</w:t>
      </w:r>
      <w:r w:rsidRPr="00EA40E2">
        <w:t xml:space="preserve"> among others. In all </w:t>
      </w:r>
      <w:r w:rsidRPr="00EA40E2">
        <w:t>cases these are violent men who believe they have the right to kill women.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</w:t>
      </w:r>
      <w:r w:rsidRPr="00EA40E2">
        <w:t xml:space="preserve">Turn - Prevention campaigns for these murders are empirically classist, misogynist, and heterosexist causing all of their impacts </w:t>
      </w:r>
      <w:r w:rsidRPr="00EA40E2">
        <w:t>====</w:t>
      </w:r>
    </w:p>
    <w:p w:rsidR="00EA40E2" w:rsidRPr="00EA40E2" w:rsidRDefault="00EA40E2" w:rsidP="00EA40E2">
      <w:r w:rsidRPr="00EA40E2">
        <w:t>Fragoso</w:t>
      </w:r>
      <w:proofErr w:type="gramStart"/>
      <w:r w:rsidRPr="00EA40E2">
        <w:t>,~</w:t>
      </w:r>
      <w:proofErr w:type="gramEnd"/>
      <w:r w:rsidRPr="00EA40E2">
        <w:t>’03</w:t>
      </w:r>
    </w:p>
    <w:p w:rsidR="00EA40E2" w:rsidRPr="00EA40E2" w:rsidRDefault="00EA40E2" w:rsidP="00EA40E2">
      <w:r w:rsidRPr="00EA40E2">
        <w:rPr>
          <w:szCs w:val="16"/>
        </w:rPr>
        <w:t xml:space="preserve">(JULIA MONARREZ FRAGOSO, Ph.D. candidate in the Universidad </w:t>
      </w:r>
      <w:proofErr w:type="spellStart"/>
      <w:r w:rsidRPr="00EA40E2">
        <w:rPr>
          <w:szCs w:val="16"/>
        </w:rPr>
        <w:t>Autcinoma</w:t>
      </w:r>
      <w:proofErr w:type="spellEnd"/>
      <w:r w:rsidRPr="00EA40E2">
        <w:rPr>
          <w:szCs w:val="16"/>
        </w:rPr>
        <w:t xml:space="preserve"> </w:t>
      </w:r>
      <w:proofErr w:type="spellStart"/>
      <w:r w:rsidRPr="00EA40E2">
        <w:rPr>
          <w:szCs w:val="16"/>
        </w:rPr>
        <w:t>Metropolitana-Xochimilco</w:t>
      </w:r>
      <w:proofErr w:type="spellEnd"/>
      <w:r w:rsidRPr="00EA40E2">
        <w:rPr>
          <w:szCs w:val="16"/>
        </w:rPr>
        <w:t xml:space="preserve"> and researcher at El </w:t>
      </w:r>
      <w:proofErr w:type="spellStart"/>
      <w:r w:rsidRPr="00EA40E2">
        <w:rPr>
          <w:szCs w:val="16"/>
        </w:rPr>
        <w:t>Colegio</w:t>
      </w:r>
      <w:proofErr w:type="spellEnd"/>
      <w:r w:rsidRPr="00EA40E2">
        <w:rPr>
          <w:szCs w:val="16"/>
        </w:rPr>
        <w:t xml:space="preserve"> de la </w:t>
      </w:r>
      <w:proofErr w:type="spellStart"/>
      <w:r w:rsidRPr="00EA40E2">
        <w:rPr>
          <w:szCs w:val="16"/>
        </w:rPr>
        <w:t>Frontera</w:t>
      </w:r>
      <w:proofErr w:type="spellEnd"/>
      <w:r w:rsidRPr="00EA40E2">
        <w:rPr>
          <w:szCs w:val="16"/>
        </w:rPr>
        <w:t xml:space="preserve"> Norte, specializes in research on gender and violence, </w:t>
      </w:r>
      <w:r w:rsidRPr="00EA40E2">
        <w:rPr>
          <w:szCs w:val="16"/>
        </w:rPr>
        <w:t>"</w:t>
      </w:r>
      <w:r w:rsidRPr="00EA40E2">
        <w:rPr>
          <w:szCs w:val="16"/>
        </w:rPr>
        <w:t xml:space="preserve">Serial Sexual </w:t>
      </w:r>
      <w:proofErr w:type="spellStart"/>
      <w:r w:rsidRPr="00EA40E2">
        <w:rPr>
          <w:szCs w:val="16"/>
        </w:rPr>
        <w:t>Femicide</w:t>
      </w:r>
      <w:proofErr w:type="spellEnd"/>
      <w:r w:rsidRPr="00EA40E2">
        <w:rPr>
          <w:szCs w:val="16"/>
        </w:rPr>
        <w:t xml:space="preserve"> in Ciudad </w:t>
      </w:r>
      <w:proofErr w:type="spellStart"/>
      <w:r w:rsidRPr="00EA40E2">
        <w:rPr>
          <w:szCs w:val="16"/>
        </w:rPr>
        <w:t>Jugrez</w:t>
      </w:r>
      <w:proofErr w:type="spellEnd"/>
      <w:r w:rsidRPr="00EA40E2">
        <w:rPr>
          <w:szCs w:val="16"/>
        </w:rPr>
        <w:t>, 1993-2001</w:t>
      </w:r>
      <w:r w:rsidRPr="00EA40E2">
        <w:rPr>
          <w:szCs w:val="16"/>
        </w:rPr>
        <w:t>"</w:t>
      </w:r>
      <w:r w:rsidRPr="00EA40E2">
        <w:rPr>
          <w:szCs w:val="16"/>
        </w:rPr>
        <w:t xml:space="preserve">, April of 2003, </w:t>
      </w:r>
      <w:r w:rsidRPr="00EA40E2">
        <w:rPr>
          <w:szCs w:val="16"/>
        </w:rPr>
        <w:t>[[http://aztlanjournal.metapress.com/media/eafy7beyyqdrun8vkyvm/contributions/r/2/3/2/r23251g8v8297643.pdf-http://aztlanjournal.metapress.com/media/eafy7beyyqdrun8vkyvm/contributions/r/2/3/2/r23251g8v8297643.pdf]]</w:t>
      </w:r>
      <w:r w:rsidRPr="00EA40E2">
        <w:t>)</w:t>
      </w:r>
    </w:p>
    <w:p w:rsidR="00EA40E2" w:rsidRPr="00EA40E2" w:rsidRDefault="00EA40E2" w:rsidP="00EA40E2"/>
    <w:p w:rsidR="00EA40E2" w:rsidRPr="00EA40E2" w:rsidRDefault="00EA40E2" w:rsidP="00EA40E2">
      <w:r w:rsidRPr="00EA40E2">
        <w:t xml:space="preserve">Prevention campaigns in this city have centered on making women responsible for any aggression that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asserts</w:t>
      </w:r>
      <w:proofErr w:type="gramEnd"/>
      <w:r w:rsidRPr="00EA40E2">
        <w:t>, are classist, misogynist, and heterosexist (1998, 10).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lastRenderedPageBreak/>
        <w:t>====</w:t>
      </w:r>
      <w:proofErr w:type="gramStart"/>
      <w:r w:rsidRPr="00EA40E2">
        <w:t>The</w:t>
      </w:r>
      <w:proofErr w:type="gramEnd"/>
      <w:r w:rsidRPr="00EA40E2">
        <w:t xml:space="preserve"> murders taking place are not a </w:t>
      </w:r>
      <w:r w:rsidRPr="00EA40E2">
        <w:t>"</w:t>
      </w:r>
      <w:proofErr w:type="spellStart"/>
      <w:r w:rsidRPr="00EA40E2">
        <w:t>femicide</w:t>
      </w:r>
      <w:proofErr w:type="spellEnd"/>
      <w:r w:rsidRPr="00EA40E2">
        <w:t>"</w:t>
      </w:r>
      <w:r w:rsidRPr="00EA40E2">
        <w:t xml:space="preserve"> and can be caused by a laundry list of external factors</w:t>
      </w:r>
      <w:r w:rsidRPr="00EA40E2">
        <w:t>====</w:t>
      </w:r>
    </w:p>
    <w:p w:rsidR="00EA40E2" w:rsidRPr="00EA40E2" w:rsidRDefault="00EA40E2" w:rsidP="00EA40E2">
      <w:r w:rsidRPr="00EA40E2">
        <w:t>Fragoso</w:t>
      </w:r>
      <w:proofErr w:type="gramStart"/>
      <w:r w:rsidRPr="00EA40E2">
        <w:t>,~</w:t>
      </w:r>
      <w:proofErr w:type="gramEnd"/>
      <w:r w:rsidRPr="00EA40E2">
        <w:t>’03</w:t>
      </w:r>
    </w:p>
    <w:p w:rsidR="00EA40E2" w:rsidRPr="00EA40E2" w:rsidRDefault="00EA40E2" w:rsidP="00EA40E2">
      <w:r w:rsidRPr="00EA40E2">
        <w:rPr>
          <w:szCs w:val="16"/>
        </w:rPr>
        <w:t xml:space="preserve">(JULIA MONARREZ FRAGOSO, Ph.D. candidate in the Universidad </w:t>
      </w:r>
      <w:proofErr w:type="spellStart"/>
      <w:r w:rsidRPr="00EA40E2">
        <w:rPr>
          <w:szCs w:val="16"/>
        </w:rPr>
        <w:t>Autcinoma</w:t>
      </w:r>
      <w:proofErr w:type="spellEnd"/>
      <w:r w:rsidRPr="00EA40E2">
        <w:rPr>
          <w:szCs w:val="16"/>
        </w:rPr>
        <w:t xml:space="preserve"> </w:t>
      </w:r>
      <w:proofErr w:type="spellStart"/>
      <w:r w:rsidRPr="00EA40E2">
        <w:rPr>
          <w:szCs w:val="16"/>
        </w:rPr>
        <w:t>Metropolitana-Xochimilco</w:t>
      </w:r>
      <w:proofErr w:type="spellEnd"/>
      <w:r w:rsidRPr="00EA40E2">
        <w:rPr>
          <w:szCs w:val="16"/>
        </w:rPr>
        <w:t xml:space="preserve"> and researcher at El </w:t>
      </w:r>
      <w:proofErr w:type="spellStart"/>
      <w:r w:rsidRPr="00EA40E2">
        <w:rPr>
          <w:szCs w:val="16"/>
        </w:rPr>
        <w:t>Colegio</w:t>
      </w:r>
      <w:proofErr w:type="spellEnd"/>
      <w:r w:rsidRPr="00EA40E2">
        <w:rPr>
          <w:szCs w:val="16"/>
        </w:rPr>
        <w:t xml:space="preserve"> de la </w:t>
      </w:r>
      <w:proofErr w:type="spellStart"/>
      <w:r w:rsidRPr="00EA40E2">
        <w:rPr>
          <w:szCs w:val="16"/>
        </w:rPr>
        <w:t>Frontera</w:t>
      </w:r>
      <w:proofErr w:type="spellEnd"/>
      <w:r w:rsidRPr="00EA40E2">
        <w:rPr>
          <w:szCs w:val="16"/>
        </w:rPr>
        <w:t xml:space="preserve"> Norte, specializes in research on gender and violence, </w:t>
      </w:r>
      <w:r w:rsidRPr="00EA40E2">
        <w:rPr>
          <w:szCs w:val="16"/>
        </w:rPr>
        <w:t>"</w:t>
      </w:r>
      <w:r w:rsidRPr="00EA40E2">
        <w:rPr>
          <w:szCs w:val="16"/>
        </w:rPr>
        <w:t xml:space="preserve">Serial Sexual </w:t>
      </w:r>
      <w:proofErr w:type="spellStart"/>
      <w:r w:rsidRPr="00EA40E2">
        <w:rPr>
          <w:szCs w:val="16"/>
        </w:rPr>
        <w:t>Femicide</w:t>
      </w:r>
      <w:proofErr w:type="spellEnd"/>
      <w:r w:rsidRPr="00EA40E2">
        <w:rPr>
          <w:szCs w:val="16"/>
        </w:rPr>
        <w:t xml:space="preserve"> in Ciudad </w:t>
      </w:r>
      <w:proofErr w:type="spellStart"/>
      <w:r w:rsidRPr="00EA40E2">
        <w:rPr>
          <w:szCs w:val="16"/>
        </w:rPr>
        <w:t>Jugrez</w:t>
      </w:r>
      <w:proofErr w:type="spellEnd"/>
      <w:r w:rsidRPr="00EA40E2">
        <w:rPr>
          <w:szCs w:val="16"/>
        </w:rPr>
        <w:t>, 1993-2001</w:t>
      </w:r>
      <w:r w:rsidRPr="00EA40E2">
        <w:rPr>
          <w:szCs w:val="16"/>
        </w:rPr>
        <w:t>"</w:t>
      </w:r>
      <w:r w:rsidRPr="00EA40E2">
        <w:rPr>
          <w:szCs w:val="16"/>
        </w:rPr>
        <w:t xml:space="preserve">, April of 2003, </w:t>
      </w:r>
      <w:r w:rsidRPr="00EA40E2">
        <w:rPr>
          <w:szCs w:val="16"/>
        </w:rPr>
        <w:t>[[http://aztlanjournal.metapress.com/media/eafy7beyyqdrun8vkyvm/contributions/r/2/3/2/r23251g8v8297643.pdf-http://aztlanjournal.metapress.com/media/eafy7beyyqdrun8vkyvm/contributions/r/2/3/2/r23251g8v8297643.pdf]]</w:t>
      </w:r>
      <w:r w:rsidRPr="00EA40E2">
        <w:t>)</w:t>
      </w:r>
    </w:p>
    <w:p w:rsidR="00EA40E2" w:rsidRPr="00EA40E2" w:rsidRDefault="00EA40E2" w:rsidP="00EA40E2"/>
    <w:p w:rsidR="00EA40E2" w:rsidRPr="00EA40E2" w:rsidRDefault="00EA40E2" w:rsidP="00EA40E2">
      <w:r w:rsidRPr="00EA40E2">
        <w:t xml:space="preserve">It is important to note that, while all of the studies cited establish gender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r w:rsidRPr="00EA40E2">
        <w:t>ideological ~’forces~’ that exist"(McWi1liams 1998, 112; italics mine).</w:t>
      </w:r>
    </w:p>
    <w:p w:rsidR="00EA40E2" w:rsidRPr="00EA40E2" w:rsidRDefault="00EA40E2" w:rsidP="00EA40E2"/>
    <w:p w:rsidR="00EA40E2" w:rsidRPr="00EA40E2" w:rsidRDefault="00EA40E2" w:rsidP="00EA40E2"/>
    <w:p w:rsidR="00EA40E2" w:rsidRPr="00EA40E2" w:rsidRDefault="00EA40E2" w:rsidP="00EA40E2">
      <w:r w:rsidRPr="00EA40E2">
        <w:t>====</w:t>
      </w:r>
      <w:proofErr w:type="gramStart"/>
      <w:r w:rsidRPr="00EA40E2">
        <w:t>The</w:t>
      </w:r>
      <w:proofErr w:type="gramEnd"/>
      <w:r w:rsidRPr="00EA40E2">
        <w:t xml:space="preserve"> alt </w:t>
      </w:r>
      <w:proofErr w:type="spellStart"/>
      <w:r w:rsidRPr="00EA40E2">
        <w:t>doesn</w:t>
      </w:r>
      <w:proofErr w:type="spellEnd"/>
      <w:r w:rsidRPr="00EA40E2">
        <w:t>~’t solve: feminism cannot exist in a vacuum. Examining race as a "</w:t>
      </w:r>
      <w:proofErr w:type="spellStart"/>
      <w:r w:rsidRPr="00EA40E2">
        <w:t>metalanguage</w:t>
      </w:r>
      <w:proofErr w:type="spellEnd"/>
      <w:r w:rsidRPr="00EA40E2">
        <w:t xml:space="preserve">" is </w:t>
      </w:r>
      <w:proofErr w:type="gramStart"/>
      <w:r w:rsidRPr="00EA40E2">
        <w:t>key</w:t>
      </w:r>
      <w:proofErr w:type="gramEnd"/>
      <w:r w:rsidRPr="00EA40E2">
        <w:t xml:space="preserve"> to truly understanding gender as an analytic category. ====</w:t>
      </w:r>
    </w:p>
    <w:p w:rsidR="00EA40E2" w:rsidRPr="00EA40E2" w:rsidRDefault="00EA40E2" w:rsidP="00EA40E2">
      <w:pPr>
        <w:pStyle w:val="FreeForm"/>
        <w:spacing w:after="240"/>
        <w:rPr>
          <w:rFonts w:ascii="Times" w:hAnsi="Times"/>
          <w:sz w:val="20"/>
        </w:rPr>
      </w:pPr>
      <w:r w:rsidRPr="00EA40E2">
        <w:rPr>
          <w:rFonts w:ascii="Times New Roman" w:hAnsi="Times New Roman"/>
          <w:sz w:val="20"/>
        </w:rPr>
        <w:t xml:space="preserve">Evelyn Brooks </w:t>
      </w:r>
      <w:r w:rsidRPr="00EA40E2">
        <w:rPr>
          <w:rFonts w:ascii="Times New Roman Bold" w:hAnsi="Times New Roman Bold"/>
        </w:rPr>
        <w:t xml:space="preserve">Higginbotham </w:t>
      </w:r>
      <w:r w:rsidRPr="00EA40E2">
        <w:rPr>
          <w:rFonts w:ascii="Times New Roman" w:hAnsi="Times New Roman"/>
          <w:sz w:val="20"/>
        </w:rPr>
        <w:t>19</w:t>
      </w:r>
      <w:r w:rsidRPr="00EA40E2">
        <w:rPr>
          <w:rFonts w:ascii="Times New Roman Bold" w:hAnsi="Times New Roman Bold"/>
        </w:rPr>
        <w:t xml:space="preserve">92. </w:t>
      </w:r>
      <w:r w:rsidRPr="00EA40E2">
        <w:rPr>
          <w:rFonts w:ascii="Times New Roman" w:hAnsi="Times New Roman"/>
          <w:color w:val="262626"/>
          <w:sz w:val="20"/>
        </w:rPr>
        <w:t>"</w:t>
      </w:r>
      <w:r w:rsidRPr="00EA40E2">
        <w:rPr>
          <w:rFonts w:ascii="Times New Roman" w:hAnsi="Times New Roman"/>
          <w:color w:val="262626"/>
          <w:sz w:val="20"/>
        </w:rPr>
        <w:t xml:space="preserve">African-American </w:t>
      </w:r>
      <w:proofErr w:type="spellStart"/>
      <w:r w:rsidRPr="00EA40E2">
        <w:rPr>
          <w:rFonts w:ascii="Times New Roman" w:hAnsi="Times New Roman"/>
          <w:color w:val="262626"/>
          <w:sz w:val="20"/>
        </w:rPr>
        <w:t>Women</w:t>
      </w:r>
      <w:r w:rsidRPr="00EA40E2">
        <w:rPr>
          <w:rFonts w:ascii="Times New Roman" w:hAnsi="Times New Roman"/>
          <w:color w:val="262626"/>
          <w:sz w:val="20"/>
        </w:rPr>
        <w:t>~’</w:t>
      </w:r>
      <w:r w:rsidRPr="00EA40E2">
        <w:rPr>
          <w:rFonts w:ascii="Times New Roman" w:hAnsi="Times New Roman"/>
          <w:color w:val="262626"/>
          <w:sz w:val="20"/>
        </w:rPr>
        <w:t>s</w:t>
      </w:r>
      <w:proofErr w:type="spellEnd"/>
      <w:r w:rsidRPr="00EA40E2">
        <w:rPr>
          <w:rFonts w:ascii="Times New Roman" w:hAnsi="Times New Roman"/>
          <w:color w:val="262626"/>
          <w:sz w:val="20"/>
        </w:rPr>
        <w:t xml:space="preserve"> History and the </w:t>
      </w:r>
      <w:proofErr w:type="spellStart"/>
      <w:r w:rsidRPr="00EA40E2">
        <w:rPr>
          <w:rFonts w:ascii="Times New Roman" w:hAnsi="Times New Roman"/>
          <w:color w:val="262626"/>
          <w:sz w:val="20"/>
        </w:rPr>
        <w:t>Metalanguage</w:t>
      </w:r>
      <w:proofErr w:type="spellEnd"/>
      <w:r w:rsidRPr="00EA40E2">
        <w:rPr>
          <w:rFonts w:ascii="Times New Roman" w:hAnsi="Times New Roman"/>
          <w:color w:val="262626"/>
          <w:sz w:val="20"/>
        </w:rPr>
        <w:t xml:space="preserve"> of Race,</w:t>
      </w:r>
      <w:r w:rsidRPr="00EA40E2">
        <w:rPr>
          <w:rFonts w:ascii="Times New Roman" w:hAnsi="Times New Roman"/>
          <w:color w:val="262626"/>
          <w:sz w:val="20"/>
        </w:rPr>
        <w:t>"</w:t>
      </w:r>
      <w:r w:rsidRPr="00EA40E2">
        <w:rPr>
          <w:rFonts w:ascii="Times New Roman" w:hAnsi="Times New Roman"/>
          <w:color w:val="262626"/>
          <w:sz w:val="20"/>
        </w:rPr>
        <w:t xml:space="preserve"> </w:t>
      </w:r>
      <w:r w:rsidRPr="00EA40E2">
        <w:rPr>
          <w:rFonts w:ascii="Times New Roman Italic" w:hAnsi="Times New Roman Italic"/>
          <w:color w:val="262626"/>
          <w:sz w:val="20"/>
        </w:rPr>
        <w:t>Signs</w:t>
      </w:r>
      <w:r w:rsidRPr="00EA40E2">
        <w:rPr>
          <w:rFonts w:ascii="Times New Roman" w:hAnsi="Times New Roman"/>
          <w:color w:val="262626"/>
          <w:sz w:val="20"/>
        </w:rPr>
        <w:t xml:space="preserve"> 17:2 (</w:t>
      </w:r>
      <w:bookmarkStart w:id="0" w:name="_GoBack"/>
      <w:bookmarkEnd w:id="0"/>
      <w:r w:rsidRPr="00EA40E2">
        <w:rPr>
          <w:rFonts w:ascii="Times New Roman" w:hAnsi="Times New Roman"/>
          <w:color w:val="262626"/>
          <w:sz w:val="20"/>
        </w:rPr>
        <w:t>Winter 1992): 251–74.</w:t>
      </w:r>
    </w:p>
    <w:p w:rsidR="00EA40E2" w:rsidRPr="00EA40E2" w:rsidRDefault="00EA40E2" w:rsidP="00EA40E2">
      <w:r w:rsidRPr="00EA40E2">
        <w:t xml:space="preserve">Feminist scholars, especially those of African-American </w:t>
      </w:r>
      <w:proofErr w:type="spellStart"/>
      <w:r w:rsidRPr="00EA40E2">
        <w:t>women~’s</w:t>
      </w:r>
      <w:proofErr w:type="spellEnd"/>
      <w:r w:rsidRPr="00EA40E2">
        <w:t xml:space="preserve"> history, must accept the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to</w:t>
      </w:r>
      <w:proofErr w:type="gramEnd"/>
      <w:r w:rsidRPr="00EA40E2">
        <w:t xml:space="preserve"> the tradition of syncretism that has characterized the Afro-American experience.</w:t>
      </w:r>
    </w:p>
    <w:p w:rsidR="00EA40E2" w:rsidRPr="00EA40E2" w:rsidRDefault="00EA40E2" w:rsidP="00EA40E2"/>
    <w:p w:rsidR="00EA40E2" w:rsidRPr="00EA40E2" w:rsidRDefault="00EA40E2" w:rsidP="00EA40E2">
      <w:r w:rsidRPr="00EA40E2">
        <w:t>====</w:t>
      </w:r>
      <w:proofErr w:type="spellStart"/>
      <w:r w:rsidRPr="00EA40E2">
        <w:t>Biopolitics</w:t>
      </w:r>
      <w:proofErr w:type="spellEnd"/>
      <w:r w:rsidRPr="00EA40E2">
        <w:t xml:space="preserve"> does not result in genocide</w:t>
      </w:r>
      <w:r w:rsidRPr="00EA40E2">
        <w:t>====</w:t>
      </w:r>
    </w:p>
    <w:p w:rsidR="00EA40E2" w:rsidRPr="00EA40E2" w:rsidRDefault="00EA40E2" w:rsidP="00EA40E2">
      <w:proofErr w:type="spellStart"/>
      <w:r w:rsidRPr="00EA40E2">
        <w:t>Ojakangas</w:t>
      </w:r>
      <w:proofErr w:type="spellEnd"/>
      <w:r w:rsidRPr="00EA40E2">
        <w:t>, ~’05</w:t>
      </w:r>
    </w:p>
    <w:p w:rsidR="00EA40E2" w:rsidRPr="00EA40E2" w:rsidRDefault="00EA40E2" w:rsidP="00EA40E2">
      <w:pPr>
        <w:rPr>
          <w:sz w:val="26"/>
        </w:rPr>
      </w:pPr>
      <w:r w:rsidRPr="00EA40E2">
        <w:t xml:space="preserve"> (Mika </w:t>
      </w:r>
      <w:proofErr w:type="spellStart"/>
      <w:r w:rsidRPr="00EA40E2">
        <w:t>Ojakangas</w:t>
      </w:r>
      <w:proofErr w:type="spellEnd"/>
      <w:r w:rsidRPr="00EA40E2">
        <w:t xml:space="preserve">, PhD in Social Science and Academy research fellow at the Helsinki Collegium for Advanced Studies at University of Helsinki, </w:t>
      </w:r>
      <w:r w:rsidRPr="00EA40E2">
        <w:t>"</w:t>
      </w:r>
      <w:r w:rsidRPr="00EA40E2">
        <w:t xml:space="preserve">The Impossible Dialogue on </w:t>
      </w:r>
      <w:proofErr w:type="spellStart"/>
      <w:r w:rsidRPr="00EA40E2">
        <w:t>Biopower</w:t>
      </w:r>
      <w:proofErr w:type="spellEnd"/>
      <w:r w:rsidRPr="00EA40E2">
        <w:t xml:space="preserve">: Foucault and </w:t>
      </w:r>
      <w:proofErr w:type="spellStart"/>
      <w:r w:rsidRPr="00EA40E2">
        <w:t>Agamben</w:t>
      </w:r>
      <w:proofErr w:type="spellEnd"/>
      <w:r w:rsidRPr="00EA40E2">
        <w:t>"</w:t>
      </w:r>
      <w:r w:rsidRPr="00EA40E2">
        <w:t>, May 2005, Foucault Studies, No. 2, http://wlt-studies.com/no2/ojakangas1.pdf)</w:t>
      </w:r>
    </w:p>
    <w:p w:rsidR="00EA40E2" w:rsidRPr="00EA40E2" w:rsidRDefault="00EA40E2" w:rsidP="00EA40E2">
      <w:r w:rsidRPr="00EA40E2">
        <w:t xml:space="preserve">Admittedly, in the era of </w:t>
      </w:r>
      <w:proofErr w:type="spellStart"/>
      <w:r w:rsidRPr="00EA40E2">
        <w:t>biopolitics</w:t>
      </w:r>
      <w:proofErr w:type="spellEnd"/>
      <w:r w:rsidRPr="00EA40E2">
        <w:t xml:space="preserve">, as Foucault writes, even "massacres </w:t>
      </w:r>
    </w:p>
    <w:p w:rsidR="00EA40E2" w:rsidRPr="00EA40E2" w:rsidRDefault="00EA40E2" w:rsidP="00EA40E2">
      <w:r w:rsidRPr="00EA40E2">
        <w:t>AND</w:t>
      </w:r>
    </w:p>
    <w:p w:rsidR="00EA40E2" w:rsidRPr="00EA40E2" w:rsidRDefault="00EA40E2" w:rsidP="00EA40E2">
      <w:proofErr w:type="gramStart"/>
      <w:r w:rsidRPr="00EA40E2">
        <w:t>whatever</w:t>
      </w:r>
      <w:proofErr w:type="gramEnd"/>
      <w:r w:rsidRPr="00EA40E2">
        <w:t xml:space="preserve"> arguments it chooses, be it God, Nature, or life.  </w:t>
      </w:r>
    </w:p>
    <w:p w:rsidR="00EA40E2" w:rsidRPr="00EA40E2" w:rsidRDefault="00EA40E2" w:rsidP="00EA40E2">
      <w:pPr>
        <w:pStyle w:val="FreeForm"/>
        <w:spacing w:after="240"/>
        <w:rPr>
          <w:rFonts w:ascii="Times" w:hAnsi="Times"/>
          <w:sz w:val="20"/>
        </w:rPr>
      </w:pPr>
    </w:p>
    <w:p w:rsidR="00EA40E2" w:rsidRPr="00EA40E2" w:rsidRDefault="00EA40E2" w:rsidP="00EA40E2"/>
    <w:p w:rsidR="00EA40E2" w:rsidRPr="00EA40E2" w:rsidRDefault="00EA40E2" w:rsidP="00EA40E2"/>
    <w:p w:rsidR="000022F2" w:rsidRPr="00EA40E2" w:rsidRDefault="000022F2" w:rsidP="00D17C4E"/>
    <w:sectPr w:rsidR="000022F2" w:rsidRPr="00EA40E2" w:rsidSect="00FC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D9" w:rsidRDefault="008D4DD9" w:rsidP="005F5576">
      <w:r>
        <w:separator/>
      </w:r>
    </w:p>
  </w:endnote>
  <w:endnote w:type="continuationSeparator" w:id="0">
    <w:p w:rsidR="008D4DD9" w:rsidRDefault="008D4DD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D9" w:rsidRDefault="008D4DD9" w:rsidP="005F5576">
      <w:r>
        <w:separator/>
      </w:r>
    </w:p>
  </w:footnote>
  <w:footnote w:type="continuationSeparator" w:id="0">
    <w:p w:rsidR="008D4DD9" w:rsidRDefault="008D4DD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E2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5233"/>
    <w:rsid w:val="00052A1D"/>
    <w:rsid w:val="00055E12"/>
    <w:rsid w:val="00064A59"/>
    <w:rsid w:val="0007162E"/>
    <w:rsid w:val="00073B9A"/>
    <w:rsid w:val="00077107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E5C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3F56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DD9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A104C"/>
    <w:rsid w:val="00AB3B76"/>
    <w:rsid w:val="00AB5299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16F9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4AA1"/>
    <w:rsid w:val="00E75F28"/>
    <w:rsid w:val="00E90AA6"/>
    <w:rsid w:val="00E977B8"/>
    <w:rsid w:val="00E97AD1"/>
    <w:rsid w:val="00EA109B"/>
    <w:rsid w:val="00EA15A8"/>
    <w:rsid w:val="00EA2926"/>
    <w:rsid w:val="00EA40E2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C6F3A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 Ch,Heading 2 Char2 Char,Heading 2 Char1 Char Char,Ch,Card,Tags,No Spacing1,Debate Text,No Spacing11,Read stuff,No Spacing111,No Spacing2,tags,No Spacing1111,No Spacing11111,No Spacing11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A40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CD Card,ED - Tag,Underlined,emphasis,Emphasis!!,Bold Underline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111,Intense Emphasis2,Intense Emphasis1111,Intense Emphasis3,Intense Emphasis11111,Intense Emphasis4,HHeading 3 + 12 pt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 Ch Char,Heading 2 Char2 Char Char,Heading 2 Char1 Char Char Char,Ch Char,Card Char,Tags Char,No Spacing1 Char,Debate Text Char,No Spacing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EA40E2"/>
    <w:rPr>
      <w:b/>
      <w:u w:val="single"/>
    </w:rPr>
  </w:style>
  <w:style w:type="paragraph" w:customStyle="1" w:styleId="Cards">
    <w:name w:val="Cards"/>
    <w:next w:val="Normal"/>
    <w:link w:val="CardsChar"/>
    <w:qFormat/>
    <w:rsid w:val="00EA40E2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character" w:customStyle="1" w:styleId="CardsChar">
    <w:name w:val="Cards Char"/>
    <w:link w:val="Cards"/>
    <w:rsid w:val="00EA40E2"/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paragraph" w:customStyle="1" w:styleId="textbold">
    <w:name w:val="text bold"/>
    <w:basedOn w:val="Normal"/>
    <w:link w:val="underline"/>
    <w:qFormat/>
    <w:rsid w:val="00EA40E2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EA40E2"/>
    <w:rPr>
      <w:bCs/>
      <w:u w:val="single"/>
    </w:rPr>
  </w:style>
  <w:style w:type="paragraph" w:styleId="Title">
    <w:name w:val="Title"/>
    <w:basedOn w:val="Normal"/>
    <w:link w:val="TitleChar"/>
    <w:uiPriority w:val="6"/>
    <w:qFormat/>
    <w:rsid w:val="00EA40E2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A40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gText">
    <w:name w:val="TagText"/>
    <w:basedOn w:val="Normal"/>
    <w:qFormat/>
    <w:rsid w:val="00EA40E2"/>
    <w:rPr>
      <w:rFonts w:ascii="Georgia" w:hAnsi="Georgia"/>
      <w:b/>
      <w:sz w:val="24"/>
    </w:rPr>
  </w:style>
  <w:style w:type="paragraph" w:customStyle="1" w:styleId="FreeForm">
    <w:name w:val="Free Form"/>
    <w:rsid w:val="00EA40E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0E2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small text,body,Normal Tag,heading 2, Ch,Heading 2 Char2 Char,Heading 2 Char1 Char Char,Ch,Card,Tags,No Spacing1,Debate Text,No Spacing11,Read stuff,No Spacing111,No Spacing2,tags,No Spacing1111,No Spacing11111,No Spacing11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EA40E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tag2,Size 10,emphasis in card,Evidence,Minimized,minimized,Highlighted,CD Card,ED - Tag,Underlined,emphasis,Emphasis!!,Bold Underline,small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111,Intense Emphasis2,Intense Emphasis1111,Intense Emphasis3,Intense Emphasis11111,Intense Emphasis4,HHeading 3 + 12 pt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small text Char,body Char,Normal Tag Char,heading 2 Char, Ch Char,Heading 2 Char2 Char Char,Heading 2 Char1 Char Char Char,Ch Char,Card Char,Tags Char,No Spacing1 Char,Debate Text Char,No Spacing11 Char,tags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basedOn w:val="DefaultParagraphFont"/>
    <w:link w:val="textbold"/>
    <w:qFormat/>
    <w:rsid w:val="00EA40E2"/>
    <w:rPr>
      <w:b/>
      <w:u w:val="single"/>
    </w:rPr>
  </w:style>
  <w:style w:type="paragraph" w:customStyle="1" w:styleId="Cards">
    <w:name w:val="Cards"/>
    <w:next w:val="Normal"/>
    <w:link w:val="CardsChar"/>
    <w:qFormat/>
    <w:rsid w:val="00EA40E2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character" w:customStyle="1" w:styleId="CardsChar">
    <w:name w:val="Cards Char"/>
    <w:link w:val="Cards"/>
    <w:rsid w:val="00EA40E2"/>
    <w:rPr>
      <w:rFonts w:ascii="Times New Roman" w:eastAsia="Times New Roman" w:hAnsi="Times New Roman" w:cs="Times New Roman"/>
      <w:sz w:val="20"/>
      <w:szCs w:val="24"/>
      <w:lang w:val="en-GB" w:eastAsia="en-GB"/>
    </w:rPr>
  </w:style>
  <w:style w:type="paragraph" w:customStyle="1" w:styleId="textbold">
    <w:name w:val="text bold"/>
    <w:basedOn w:val="Normal"/>
    <w:link w:val="underline"/>
    <w:qFormat/>
    <w:rsid w:val="00EA40E2"/>
    <w:pPr>
      <w:ind w:left="720"/>
      <w:jc w:val="both"/>
    </w:pPr>
    <w:rPr>
      <w:rFonts w:asciiTheme="minorHAnsi" w:hAnsiTheme="minorHAnsi" w:cstheme="minorBidi"/>
      <w:b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EA40E2"/>
    <w:rPr>
      <w:bCs/>
      <w:u w:val="single"/>
    </w:rPr>
  </w:style>
  <w:style w:type="paragraph" w:styleId="Title">
    <w:name w:val="Title"/>
    <w:basedOn w:val="Normal"/>
    <w:link w:val="TitleChar"/>
    <w:uiPriority w:val="6"/>
    <w:qFormat/>
    <w:rsid w:val="00EA40E2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A40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gText">
    <w:name w:val="TagText"/>
    <w:basedOn w:val="Normal"/>
    <w:qFormat/>
    <w:rsid w:val="00EA40E2"/>
    <w:rPr>
      <w:rFonts w:ascii="Georgia" w:hAnsi="Georgia"/>
      <w:b/>
      <w:sz w:val="24"/>
    </w:rPr>
  </w:style>
  <w:style w:type="paragraph" w:customStyle="1" w:styleId="FreeForm">
    <w:name w:val="Free Form"/>
    <w:rsid w:val="00EA40E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0E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%202.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4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Morris</dc:creator>
  <cp:lastModifiedBy>Brendon Morris</cp:lastModifiedBy>
  <cp:revision>1</cp:revision>
  <dcterms:created xsi:type="dcterms:W3CDTF">2013-11-24T15:49:00Z</dcterms:created>
  <dcterms:modified xsi:type="dcterms:W3CDTF">2013-11-24T15:52:00Z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