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4A7" w:rsidRDefault="001B24A7" w:rsidP="00A2304A">
      <w:pPr>
        <w:pStyle w:val="Heading1"/>
      </w:pPr>
      <w:r>
        <w:t xml:space="preserve">1nc </w:t>
      </w:r>
    </w:p>
    <w:p w:rsidR="00A2304A" w:rsidRDefault="00A2304A" w:rsidP="00A2304A"/>
    <w:p w:rsidR="004672C7" w:rsidRDefault="004672C7" w:rsidP="00A2304A">
      <w:pPr>
        <w:rPr>
          <w:b/>
        </w:rPr>
      </w:pPr>
      <w:r>
        <w:rPr>
          <w:b/>
        </w:rPr>
        <w:t xml:space="preserve">Topicality </w:t>
      </w:r>
    </w:p>
    <w:p w:rsidR="004672C7" w:rsidRPr="004672C7" w:rsidRDefault="004672C7" w:rsidP="00A2304A">
      <w:pPr>
        <w:rPr>
          <w:b/>
        </w:rPr>
      </w:pPr>
    </w:p>
    <w:p w:rsidR="00A2304A" w:rsidRPr="00011DF6" w:rsidRDefault="00A2304A" w:rsidP="00A2304A">
      <w:pPr>
        <w:rPr>
          <w:b/>
        </w:rPr>
      </w:pPr>
      <w:r w:rsidRPr="00011DF6">
        <w:rPr>
          <w:b/>
        </w:rPr>
        <w:t xml:space="preserve">A) Interpretation.  The </w:t>
      </w:r>
      <w:proofErr w:type="spellStart"/>
      <w:r w:rsidRPr="00011DF6">
        <w:rPr>
          <w:b/>
        </w:rPr>
        <w:t>aff</w:t>
      </w:r>
      <w:proofErr w:type="spellEnd"/>
      <w:r w:rsidRPr="00011DF6">
        <w:rPr>
          <w:b/>
        </w:rPr>
        <w:t xml:space="preserve"> should defend a topical plan is good for reasons tied to that plan.  They can justify the action however they want, but stances against the resolution are </w:t>
      </w:r>
      <w:proofErr w:type="spellStart"/>
      <w:r w:rsidRPr="00011DF6">
        <w:rPr>
          <w:b/>
        </w:rPr>
        <w:t>neg</w:t>
      </w:r>
      <w:proofErr w:type="spellEnd"/>
      <w:r w:rsidRPr="00011DF6">
        <w:rPr>
          <w:b/>
        </w:rPr>
        <w:t xml:space="preserve"> ground.  The topic is the foundation of </w:t>
      </w:r>
      <w:proofErr w:type="spellStart"/>
      <w:r w:rsidRPr="00011DF6">
        <w:rPr>
          <w:b/>
        </w:rPr>
        <w:t>aff</w:t>
      </w:r>
      <w:proofErr w:type="spellEnd"/>
      <w:r w:rsidRPr="00011DF6">
        <w:rPr>
          <w:b/>
        </w:rPr>
        <w:t xml:space="preserve"> debates.</w:t>
      </w:r>
    </w:p>
    <w:p w:rsidR="00A2304A" w:rsidRPr="00011DF6" w:rsidRDefault="00A2304A" w:rsidP="00A2304A">
      <w:pPr>
        <w:rPr>
          <w:sz w:val="16"/>
        </w:rPr>
      </w:pPr>
    </w:p>
    <w:p w:rsidR="00A2304A" w:rsidRPr="00011DF6" w:rsidRDefault="00A2304A" w:rsidP="00A2304A">
      <w:pPr>
        <w:rPr>
          <w:b/>
        </w:rPr>
      </w:pPr>
      <w:r w:rsidRPr="00011DF6">
        <w:rPr>
          <w:b/>
        </w:rPr>
        <w:t>The topic is about hypothetical government change</w:t>
      </w:r>
    </w:p>
    <w:p w:rsidR="00A2304A" w:rsidRPr="00011DF6" w:rsidRDefault="00A2304A" w:rsidP="00A2304A">
      <w:pPr>
        <w:rPr>
          <w:sz w:val="16"/>
        </w:rPr>
      </w:pPr>
      <w:r w:rsidRPr="00011DF6">
        <w:rPr>
          <w:b/>
        </w:rPr>
        <w:t>Ericson 3</w:t>
      </w:r>
      <w:r w:rsidRPr="00011DF6">
        <w:rPr>
          <w:sz w:val="16"/>
        </w:rPr>
        <w:t xml:space="preserve"> (Jon M., Dean Emeritus of the College of Liberal Arts – California Polytechnic U., et al., The Debater’s Guide, Third Edition, p. 4)</w:t>
      </w:r>
    </w:p>
    <w:p w:rsidR="00A2304A" w:rsidRPr="00011DF6" w:rsidRDefault="00A2304A" w:rsidP="00A2304A">
      <w:pPr>
        <w:rPr>
          <w:sz w:val="16"/>
        </w:rPr>
      </w:pPr>
    </w:p>
    <w:p w:rsidR="001B24A7" w:rsidRDefault="00A2304A" w:rsidP="00A2304A">
      <w:pPr>
        <w:rPr>
          <w:rStyle w:val="StyleTimesNewRoman9pt"/>
          <w:sz w:val="16"/>
        </w:rPr>
      </w:pPr>
      <w:r w:rsidRPr="00011DF6">
        <w:rPr>
          <w:rStyle w:val="StyleTimesNewRoman9pt"/>
          <w:sz w:val="16"/>
        </w:rPr>
        <w:t>The Proposition of Policy: Urging Future Action In policy propositions</w:t>
      </w:r>
    </w:p>
    <w:p w:rsidR="001B24A7" w:rsidRDefault="001B24A7" w:rsidP="00A2304A">
      <w:pPr>
        <w:rPr>
          <w:rStyle w:val="StyleTimesNewRoman9pt"/>
          <w:sz w:val="16"/>
        </w:rPr>
      </w:pPr>
    </w:p>
    <w:p w:rsidR="00A2304A" w:rsidRPr="00011DF6" w:rsidRDefault="00A2304A" w:rsidP="00A2304A">
      <w:pPr>
        <w:rPr>
          <w:rStyle w:val="StyleTimesNewRoman9pt"/>
          <w:sz w:val="16"/>
        </w:rPr>
      </w:pPr>
      <w:r w:rsidRPr="00011DF6">
        <w:rPr>
          <w:rStyle w:val="StyleTimesNewRoman9pt"/>
          <w:sz w:val="16"/>
        </w:rPr>
        <w:t xml:space="preserve">What you agree to do, then, when you accept the </w:t>
      </w:r>
      <w:r w:rsidRPr="00011DF6">
        <w:rPr>
          <w:sz w:val="16"/>
        </w:rPr>
        <w:t>affirmative side</w:t>
      </w:r>
      <w:r w:rsidRPr="00011DF6">
        <w:rPr>
          <w:rStyle w:val="StyleTimesNewRoman9pt"/>
          <w:sz w:val="16"/>
        </w:rPr>
        <w:t xml:space="preserve"> in such a debate is to offer sufficient and compelling reasons for an audience to perform the future action that you propose. </w:t>
      </w:r>
    </w:p>
    <w:p w:rsidR="00A2304A" w:rsidRPr="00011DF6" w:rsidRDefault="00A2304A" w:rsidP="00A2304A">
      <w:pPr>
        <w:rPr>
          <w:sz w:val="16"/>
        </w:rPr>
      </w:pPr>
    </w:p>
    <w:p w:rsidR="00A2304A" w:rsidRPr="00011DF6" w:rsidRDefault="00A2304A" w:rsidP="00A2304A">
      <w:pPr>
        <w:rPr>
          <w:b/>
          <w:u w:val="single"/>
        </w:rPr>
      </w:pPr>
      <w:r w:rsidRPr="00011DF6">
        <w:rPr>
          <w:b/>
          <w:u w:val="single"/>
        </w:rPr>
        <w:t xml:space="preserve">B) Vote </w:t>
      </w:r>
      <w:proofErr w:type="spellStart"/>
      <w:r w:rsidRPr="00011DF6">
        <w:rPr>
          <w:b/>
          <w:u w:val="single"/>
        </w:rPr>
        <w:t>neg</w:t>
      </w:r>
      <w:proofErr w:type="spellEnd"/>
      <w:r w:rsidRPr="00011DF6">
        <w:rPr>
          <w:b/>
          <w:u w:val="single"/>
        </w:rPr>
        <w:t>:</w:t>
      </w:r>
    </w:p>
    <w:p w:rsidR="00A2304A" w:rsidRPr="00011DF6" w:rsidRDefault="00A2304A" w:rsidP="00A2304A">
      <w:pPr>
        <w:rPr>
          <w:rStyle w:val="StyleBoldUnderline"/>
        </w:rPr>
      </w:pPr>
    </w:p>
    <w:p w:rsidR="00A2304A" w:rsidRPr="00011DF6" w:rsidRDefault="00A2304A" w:rsidP="00A2304A">
      <w:pPr>
        <w:rPr>
          <w:b/>
        </w:rPr>
      </w:pPr>
      <w:r w:rsidRPr="00011DF6">
        <w:rPr>
          <w:b/>
        </w:rPr>
        <w:t xml:space="preserve">First, predictability—ignoring the </w:t>
      </w:r>
      <w:proofErr w:type="spellStart"/>
      <w:r w:rsidRPr="00011DF6">
        <w:rPr>
          <w:b/>
        </w:rPr>
        <w:t>rez</w:t>
      </w:r>
      <w:proofErr w:type="spellEnd"/>
      <w:r w:rsidRPr="00011DF6">
        <w:rPr>
          <w:b/>
        </w:rPr>
        <w:t xml:space="preserve"> enables infinite frameworks which undermines ability to deeply research and understand arguments</w:t>
      </w:r>
    </w:p>
    <w:p w:rsidR="00A2304A" w:rsidRPr="00011DF6" w:rsidRDefault="00A2304A" w:rsidP="00A2304A">
      <w:pPr>
        <w:rPr>
          <w:sz w:val="16"/>
        </w:rPr>
      </w:pPr>
      <w:proofErr w:type="spellStart"/>
      <w:r w:rsidRPr="00011DF6">
        <w:rPr>
          <w:b/>
        </w:rPr>
        <w:t>Harrigan</w:t>
      </w:r>
      <w:proofErr w:type="spellEnd"/>
      <w:r w:rsidRPr="00011DF6">
        <w:rPr>
          <w:b/>
        </w:rPr>
        <w:t xml:space="preserve"> 08</w:t>
      </w:r>
      <w:r w:rsidRPr="00011DF6">
        <w:rPr>
          <w:sz w:val="16"/>
        </w:rPr>
        <w:t> (Casey, MA Wake Forest, NDT Champion and BA from Michigan State, “Against Dogmatism: a Continued Defense of Switch Side Debate”, Contemporary Argumentation and Debate, Vol. 29 (2008) </w:t>
      </w:r>
    </w:p>
    <w:p w:rsidR="001B24A7" w:rsidRDefault="00A2304A" w:rsidP="00A2304A">
      <w:pPr>
        <w:rPr>
          <w:u w:val="single"/>
        </w:rPr>
      </w:pPr>
      <w:r w:rsidRPr="00011DF6">
        <w:rPr>
          <w:sz w:val="16"/>
        </w:rPr>
        <w:tab/>
      </w:r>
      <w:r w:rsidRPr="00011DF6">
        <w:rPr>
          <w:sz w:val="16"/>
        </w:rPr>
        <w:br/>
        <w:t xml:space="preserve">A second exception to the rule of free expression must be made to limit irrelevant discussion and establish a common starting point for debate. In the rhetorical tradition, </w:t>
      </w:r>
    </w:p>
    <w:p w:rsidR="001B24A7" w:rsidRDefault="001B24A7" w:rsidP="00A2304A">
      <w:pPr>
        <w:rPr>
          <w:u w:val="single"/>
        </w:rPr>
      </w:pPr>
    </w:p>
    <w:p w:rsidR="00A2304A" w:rsidRPr="00011DF6" w:rsidRDefault="00A2304A" w:rsidP="00A2304A">
      <w:pPr>
        <w:rPr>
          <w:sz w:val="16"/>
        </w:rPr>
      </w:pPr>
      <w:proofErr w:type="gramStart"/>
      <w:r w:rsidRPr="00011DF6">
        <w:rPr>
          <w:u w:val="single"/>
        </w:rPr>
        <w:t>to</w:t>
      </w:r>
      <w:proofErr w:type="gramEnd"/>
      <w:r w:rsidRPr="00011DF6">
        <w:rPr>
          <w:u w:val="single"/>
        </w:rPr>
        <w:t xml:space="preserve"> render </w:t>
      </w:r>
      <w:r w:rsidRPr="007953BE">
        <w:rPr>
          <w:highlight w:val="cyan"/>
          <w:u w:val="single"/>
        </w:rPr>
        <w:t xml:space="preserve">deliberation </w:t>
      </w:r>
      <w:r w:rsidRPr="00011DF6">
        <w:rPr>
          <w:u w:val="single"/>
        </w:rPr>
        <w:t>impossible</w:t>
      </w:r>
      <w:r w:rsidRPr="00011DF6">
        <w:rPr>
          <w:sz w:val="16"/>
        </w:rPr>
        <w:t>–either all issues are up for debate, or none can be.</w:t>
      </w:r>
    </w:p>
    <w:p w:rsidR="00A2304A" w:rsidRPr="00011DF6" w:rsidRDefault="00A2304A" w:rsidP="00A2304A">
      <w:pPr>
        <w:rPr>
          <w:sz w:val="16"/>
        </w:rPr>
      </w:pPr>
    </w:p>
    <w:p w:rsidR="00A2304A" w:rsidRPr="00011DF6" w:rsidRDefault="00A2304A" w:rsidP="00A2304A">
      <w:pPr>
        <w:rPr>
          <w:b/>
        </w:rPr>
      </w:pPr>
      <w:r w:rsidRPr="00011DF6">
        <w:rPr>
          <w:b/>
        </w:rPr>
        <w:t xml:space="preserve">Second, </w:t>
      </w:r>
      <w:r w:rsidRPr="00011DF6">
        <w:rPr>
          <w:b/>
          <w:u w:val="single"/>
        </w:rPr>
        <w:t>ground</w:t>
      </w:r>
      <w:r w:rsidRPr="00011DF6">
        <w:rPr>
          <w:b/>
        </w:rPr>
        <w:t xml:space="preserve">.  The resolution exists to create roughly equal division of </w:t>
      </w:r>
      <w:proofErr w:type="spellStart"/>
      <w:r w:rsidRPr="00011DF6">
        <w:rPr>
          <w:b/>
        </w:rPr>
        <w:t>aff</w:t>
      </w:r>
      <w:proofErr w:type="spellEnd"/>
      <w:r w:rsidRPr="00011DF6">
        <w:rPr>
          <w:b/>
        </w:rPr>
        <w:t xml:space="preserve"> and </w:t>
      </w:r>
      <w:proofErr w:type="spellStart"/>
      <w:r w:rsidRPr="00011DF6">
        <w:rPr>
          <w:b/>
        </w:rPr>
        <w:t>neg</w:t>
      </w:r>
      <w:proofErr w:type="spellEnd"/>
      <w:r w:rsidRPr="00011DF6">
        <w:rPr>
          <w:b/>
        </w:rPr>
        <w:t xml:space="preserve"> ground.  Letting them pick the moral high ground prevents engagement with their claims and distorts understanding.</w:t>
      </w:r>
    </w:p>
    <w:p w:rsidR="00A2304A" w:rsidRPr="00011DF6" w:rsidRDefault="00A2304A" w:rsidP="00A2304A">
      <w:pPr>
        <w:rPr>
          <w:sz w:val="16"/>
        </w:rPr>
      </w:pPr>
    </w:p>
    <w:p w:rsidR="00A2304A" w:rsidRPr="00011DF6" w:rsidRDefault="00A2304A" w:rsidP="00A2304A">
      <w:pPr>
        <w:rPr>
          <w:b/>
          <w:u w:val="single"/>
        </w:rPr>
      </w:pPr>
      <w:r w:rsidRPr="00011DF6">
        <w:rPr>
          <w:b/>
          <w:u w:val="single"/>
        </w:rPr>
        <w:t>C) Their offense doesn’t apply—</w:t>
      </w:r>
    </w:p>
    <w:p w:rsidR="00A2304A" w:rsidRPr="00011DF6" w:rsidRDefault="00A2304A" w:rsidP="00A2304A">
      <w:pPr>
        <w:rPr>
          <w:sz w:val="16"/>
        </w:rPr>
      </w:pPr>
    </w:p>
    <w:p w:rsidR="00A2304A" w:rsidRPr="00011DF6" w:rsidRDefault="00A2304A" w:rsidP="00A2304A">
      <w:pPr>
        <w:rPr>
          <w:b/>
        </w:rPr>
      </w:pPr>
      <w:r w:rsidRPr="00011DF6">
        <w:rPr>
          <w:b/>
        </w:rPr>
        <w:t xml:space="preserve">Alternate modes of knowledge production are awesome, but the </w:t>
      </w:r>
      <w:r w:rsidRPr="00011DF6">
        <w:rPr>
          <w:b/>
          <w:u w:val="single"/>
        </w:rPr>
        <w:t>target</w:t>
      </w:r>
      <w:r w:rsidRPr="00011DF6">
        <w:rPr>
          <w:b/>
        </w:rPr>
        <w:t xml:space="preserve"> of those ideas should be topical</w:t>
      </w:r>
    </w:p>
    <w:p w:rsidR="00A2304A" w:rsidRPr="00011DF6" w:rsidRDefault="00A2304A" w:rsidP="00A2304A">
      <w:pPr>
        <w:rPr>
          <w:sz w:val="16"/>
          <w:szCs w:val="16"/>
        </w:rPr>
      </w:pPr>
      <w:r w:rsidRPr="00011DF6">
        <w:rPr>
          <w:b/>
        </w:rPr>
        <w:t>Chandler, 7</w:t>
      </w:r>
      <w:r w:rsidRPr="00011DF6">
        <w:rPr>
          <w:sz w:val="16"/>
        </w:rPr>
        <w:t xml:space="preserve"> </w:t>
      </w:r>
      <w:r w:rsidRPr="00011DF6">
        <w:rPr>
          <w:sz w:val="16"/>
          <w:szCs w:val="16"/>
        </w:rPr>
        <w:t>David, Professor of History, The possibilities of post-territorial political community, Area, Volume 39, Issue 1, pages 116–119, Marc</w:t>
      </w:r>
    </w:p>
    <w:p w:rsidR="00A2304A" w:rsidRPr="00011DF6" w:rsidRDefault="00A2304A" w:rsidP="00A2304A">
      <w:pPr>
        <w:rPr>
          <w:sz w:val="16"/>
        </w:rPr>
      </w:pPr>
    </w:p>
    <w:p w:rsidR="001B24A7" w:rsidRDefault="00A2304A" w:rsidP="00A2304A">
      <w:pPr>
        <w:rPr>
          <w:rStyle w:val="apple-style-span"/>
          <w:rFonts w:cs="Arial"/>
          <w:sz w:val="16"/>
          <w:szCs w:val="18"/>
        </w:rPr>
      </w:pPr>
      <w:r w:rsidRPr="00011DF6">
        <w:rPr>
          <w:rStyle w:val="apple-style-span"/>
          <w:rFonts w:cs="Arial"/>
          <w:sz w:val="16"/>
          <w:szCs w:val="18"/>
        </w:rPr>
        <w:t>This paper argues that the lack of purchase of traditional territorial</w:t>
      </w:r>
    </w:p>
    <w:p w:rsidR="001B24A7" w:rsidRDefault="001B24A7" w:rsidP="00A2304A">
      <w:pPr>
        <w:rPr>
          <w:rStyle w:val="apple-style-span"/>
          <w:rFonts w:cs="Arial"/>
          <w:sz w:val="16"/>
          <w:szCs w:val="18"/>
        </w:rPr>
      </w:pPr>
    </w:p>
    <w:p w:rsidR="00A2304A" w:rsidRPr="00011DF6" w:rsidRDefault="00A2304A" w:rsidP="00A2304A">
      <w:pPr>
        <w:rPr>
          <w:szCs w:val="18"/>
          <w:u w:val="single"/>
        </w:rPr>
      </w:pPr>
      <w:r w:rsidRPr="00011DF6">
        <w:rPr>
          <w:sz w:val="16"/>
          <w:szCs w:val="18"/>
        </w:rPr>
        <w:t xml:space="preserve">. </w:t>
      </w:r>
      <w:r w:rsidRPr="007953BE">
        <w:rPr>
          <w:szCs w:val="18"/>
          <w:highlight w:val="cyan"/>
          <w:u w:val="single"/>
        </w:rPr>
        <w:t xml:space="preserve">The elaboration of our individual ‘being’, </w:t>
      </w:r>
      <w:r w:rsidRPr="00011DF6">
        <w:rPr>
          <w:szCs w:val="18"/>
          <w:u w:val="single"/>
        </w:rPr>
        <w:t xml:space="preserve">of our identity, </w:t>
      </w:r>
      <w:r w:rsidRPr="007953BE">
        <w:rPr>
          <w:szCs w:val="18"/>
          <w:highlight w:val="cyan"/>
          <w:u w:val="single"/>
        </w:rPr>
        <w:t>signifies the breakdown of community and the organic ties of the traditional social/political sphere</w:t>
      </w:r>
      <w:r w:rsidRPr="00011DF6">
        <w:rPr>
          <w:szCs w:val="18"/>
          <w:u w:val="single"/>
        </w:rPr>
        <w:t>.</w:t>
      </w:r>
    </w:p>
    <w:p w:rsidR="000022F2" w:rsidRDefault="000022F2" w:rsidP="00D17C4E"/>
    <w:p w:rsidR="004672C7" w:rsidRPr="00011DF6" w:rsidRDefault="004672C7" w:rsidP="004672C7">
      <w:pPr>
        <w:rPr>
          <w:b/>
        </w:rPr>
      </w:pPr>
      <w:proofErr w:type="spellStart"/>
      <w:r w:rsidRPr="00011DF6">
        <w:rPr>
          <w:b/>
        </w:rPr>
        <w:t>Gotta</w:t>
      </w:r>
      <w:proofErr w:type="spellEnd"/>
      <w:r w:rsidRPr="00011DF6">
        <w:rPr>
          <w:b/>
        </w:rPr>
        <w:t xml:space="preserve"> have a plan—failure to have a concrete option we can debate against guarantees that oppression continues and efforts for change backfire</w:t>
      </w:r>
    </w:p>
    <w:p w:rsidR="004672C7" w:rsidRPr="00011DF6" w:rsidRDefault="004672C7" w:rsidP="004672C7">
      <w:pPr>
        <w:rPr>
          <w:sz w:val="16"/>
        </w:rPr>
      </w:pPr>
      <w:r w:rsidRPr="00011DF6">
        <w:rPr>
          <w:b/>
        </w:rPr>
        <w:t xml:space="preserve">STEVE 2007  </w:t>
      </w:r>
      <w:r w:rsidRPr="00011DF6">
        <w:rPr>
          <w:sz w:val="16"/>
        </w:rPr>
        <w:t>(Anonymous member of Black Block and Active Transformation who lives in East Lansing, MI, Date Last Mod. Feb 8, http://www.nadir.org/nadir/initiativ/agp/free/global/a16dcdiscussion.htm)</w:t>
      </w:r>
    </w:p>
    <w:p w:rsidR="004672C7" w:rsidRPr="00011DF6" w:rsidRDefault="004672C7" w:rsidP="004672C7">
      <w:pPr>
        <w:rPr>
          <w:b/>
        </w:rPr>
      </w:pPr>
    </w:p>
    <w:p w:rsidR="001B24A7" w:rsidRDefault="004672C7" w:rsidP="004672C7">
      <w:pPr>
        <w:rPr>
          <w:sz w:val="14"/>
        </w:rPr>
      </w:pPr>
      <w:r w:rsidRPr="00011DF6">
        <w:rPr>
          <w:sz w:val="14"/>
        </w:rPr>
        <w:t>What follows is not an attempt to discredit our efforts. It was a powerful and inspiring couple of days. I feel it is important to always analyze our actions and be self-critical, and try to move forward, advancing our movement</w:t>
      </w:r>
    </w:p>
    <w:p w:rsidR="001B24A7" w:rsidRDefault="001B24A7" w:rsidP="004672C7">
      <w:pPr>
        <w:rPr>
          <w:sz w:val="14"/>
        </w:rPr>
      </w:pPr>
    </w:p>
    <w:p w:rsidR="004672C7" w:rsidRPr="00011DF6" w:rsidRDefault="004672C7" w:rsidP="004672C7">
      <w:pPr>
        <w:rPr>
          <w:sz w:val="14"/>
        </w:rPr>
      </w:pPr>
      <w:r w:rsidRPr="00011DF6">
        <w:rPr>
          <w:sz w:val="14"/>
        </w:rPr>
        <w:t xml:space="preserve"> </w:t>
      </w:r>
      <w:proofErr w:type="gramStart"/>
      <w:r w:rsidRPr="00011DF6">
        <w:rPr>
          <w:sz w:val="14"/>
        </w:rPr>
        <w:t>needs</w:t>
      </w:r>
      <w:proofErr w:type="gramEnd"/>
      <w:r w:rsidRPr="00011DF6">
        <w:rPr>
          <w:sz w:val="14"/>
        </w:rPr>
        <w:t xml:space="preserve"> to be there with anti-authoritarian suggestions for how to run all sorts of things. </w:t>
      </w:r>
      <w:r w:rsidRPr="00011DF6">
        <w:rPr>
          <w:u w:val="single"/>
        </w:rPr>
        <w:t>If we are not prepared for that we can assume others will be prepared to build up the state</w:t>
      </w:r>
      <w:r w:rsidRPr="00011DF6">
        <w:rPr>
          <w:sz w:val="14"/>
        </w:rPr>
        <w:t xml:space="preserve"> or a new state.</w:t>
      </w:r>
    </w:p>
    <w:p w:rsidR="004672C7" w:rsidRPr="00011DF6" w:rsidRDefault="004672C7" w:rsidP="004672C7">
      <w:pPr>
        <w:rPr>
          <w:sz w:val="16"/>
        </w:rPr>
      </w:pPr>
    </w:p>
    <w:p w:rsidR="004672C7" w:rsidRDefault="004672C7" w:rsidP="00D17C4E"/>
    <w:p w:rsidR="00A2304A" w:rsidRDefault="00A2304A" w:rsidP="00A2304A"/>
    <w:p w:rsidR="00A2304A" w:rsidRDefault="00A2304A" w:rsidP="00A2304A"/>
    <w:p w:rsidR="00A2304A" w:rsidRPr="009B44E9" w:rsidRDefault="00A2304A" w:rsidP="00A2304A">
      <w:pPr>
        <w:rPr>
          <w:rStyle w:val="Emphasis"/>
          <w:sz w:val="26"/>
          <w:szCs w:val="26"/>
        </w:rPr>
      </w:pPr>
      <w:r>
        <w:rPr>
          <w:rStyle w:val="Emphasis"/>
          <w:sz w:val="26"/>
          <w:szCs w:val="26"/>
        </w:rPr>
        <w:t xml:space="preserve">NEXT OFF IS T </w:t>
      </w:r>
      <w:r w:rsidRPr="009B44E9">
        <w:rPr>
          <w:rStyle w:val="Emphasis"/>
          <w:sz w:val="26"/>
          <w:szCs w:val="26"/>
        </w:rPr>
        <w:t>GOVERNMENT-TO-GOVERNMENT</w:t>
      </w:r>
    </w:p>
    <w:p w:rsidR="00A2304A" w:rsidRDefault="00A2304A" w:rsidP="00A2304A">
      <w:pPr>
        <w:pStyle w:val="Heading4"/>
      </w:pPr>
      <w:r>
        <w:t xml:space="preserve">1. Interpretation – “Engagement” requires </w:t>
      </w:r>
      <w:r>
        <w:rPr>
          <w:u w:val="single"/>
        </w:rPr>
        <w:t>direct talks</w:t>
      </w:r>
      <w:r>
        <w:t xml:space="preserve"> with a topic country</w:t>
      </w:r>
    </w:p>
    <w:p w:rsidR="00A2304A" w:rsidRDefault="00A2304A" w:rsidP="00A2304A">
      <w:r>
        <w:rPr>
          <w:rStyle w:val="StyleStyleBold12pt"/>
        </w:rPr>
        <w:t>Cr</w:t>
      </w:r>
      <w:r w:rsidRPr="002D1E12">
        <w:rPr>
          <w:rStyle w:val="StyleStyleBold12pt"/>
        </w:rPr>
        <w:t>ocker 9</w:t>
      </w:r>
      <w:r>
        <w:t xml:space="preserve"> – Chester Crocker, Professor of Strategic Studies at the Walsh School of Foreign Service at Georgetown University, Former Assistant Secretary of State for African Affairs, “Terms of Engagement”, New York Times, 9-13, http://www.nytimes.com/2009/09/14/opinion/14crocker.html?_r=0</w:t>
      </w:r>
    </w:p>
    <w:p w:rsidR="001B24A7" w:rsidRDefault="00A2304A" w:rsidP="00A2304A">
      <w:pPr>
        <w:rPr>
          <w:sz w:val="16"/>
        </w:rPr>
      </w:pPr>
      <w:r w:rsidRPr="005163BA">
        <w:rPr>
          <w:sz w:val="16"/>
        </w:rPr>
        <w:t xml:space="preserve">PRESIDENT OBAMA will have a hard time achieving his foreign policy goals until </w:t>
      </w:r>
      <w:proofErr w:type="gramStart"/>
      <w:r w:rsidRPr="005163BA">
        <w:rPr>
          <w:sz w:val="16"/>
        </w:rPr>
        <w:t>he</w:t>
      </w:r>
      <w:proofErr w:type="gramEnd"/>
      <w:r w:rsidRPr="005163BA">
        <w:rPr>
          <w:sz w:val="16"/>
        </w:rPr>
        <w:t xml:space="preserve"> </w:t>
      </w:r>
    </w:p>
    <w:p w:rsidR="001B24A7" w:rsidRDefault="001B24A7" w:rsidP="00A2304A">
      <w:pPr>
        <w:rPr>
          <w:sz w:val="16"/>
        </w:rPr>
      </w:pPr>
    </w:p>
    <w:p w:rsidR="00A2304A" w:rsidRDefault="00A2304A" w:rsidP="00A2304A">
      <w:pPr>
        <w:rPr>
          <w:sz w:val="16"/>
        </w:rPr>
      </w:pPr>
      <w:proofErr w:type="gramStart"/>
      <w:r w:rsidRPr="005163BA">
        <w:rPr>
          <w:sz w:val="16"/>
        </w:rPr>
        <w:t>is</w:t>
      </w:r>
      <w:proofErr w:type="gramEnd"/>
      <w:r w:rsidRPr="005163BA">
        <w:rPr>
          <w:sz w:val="16"/>
        </w:rPr>
        <w:t xml:space="preserve"> </w:t>
      </w:r>
      <w:r w:rsidRPr="004C46ED">
        <w:rPr>
          <w:rStyle w:val="StyleBoldUnderline"/>
          <w:highlight w:val="yellow"/>
        </w:rPr>
        <w:t>to</w:t>
      </w:r>
      <w:r w:rsidRPr="005163BA">
        <w:rPr>
          <w:sz w:val="16"/>
        </w:rPr>
        <w:t xml:space="preserve"> change </w:t>
      </w:r>
      <w:r w:rsidRPr="004C46ED">
        <w:rPr>
          <w:rStyle w:val="StyleBoldUnderline"/>
          <w:highlight w:val="yellow"/>
        </w:rPr>
        <w:t>the other country</w:t>
      </w:r>
      <w:r w:rsidRPr="005163BA">
        <w:rPr>
          <w:sz w:val="16"/>
        </w:rPr>
        <w:t>’s perception of its own interests and realistic options and, hence, to modify its policies and its behavior.</w:t>
      </w:r>
    </w:p>
    <w:p w:rsidR="00A2304A" w:rsidRDefault="00A2304A" w:rsidP="00A2304A">
      <w:pPr>
        <w:rPr>
          <w:sz w:val="16"/>
        </w:rPr>
      </w:pPr>
    </w:p>
    <w:p w:rsidR="00A2304A" w:rsidRDefault="00A2304A" w:rsidP="00A2304A">
      <w:pPr>
        <w:pStyle w:val="Heading4"/>
      </w:pPr>
      <w:r>
        <w:t>This excludes non-governmental actors</w:t>
      </w:r>
    </w:p>
    <w:p w:rsidR="00A2304A" w:rsidRPr="007F4314" w:rsidRDefault="00A2304A" w:rsidP="00A2304A">
      <w:proofErr w:type="spellStart"/>
      <w:r w:rsidRPr="007F4314">
        <w:rPr>
          <w:rStyle w:val="StyleStyleBold12pt"/>
        </w:rPr>
        <w:t>Haass</w:t>
      </w:r>
      <w:proofErr w:type="spellEnd"/>
      <w:r w:rsidRPr="007F4314">
        <w:rPr>
          <w:rStyle w:val="StyleStyleBold12pt"/>
        </w:rPr>
        <w:t xml:space="preserve"> 00</w:t>
      </w:r>
      <w:r>
        <w:t xml:space="preserve"> – </w:t>
      </w:r>
      <w:r w:rsidRPr="007F4314">
        <w:t xml:space="preserve">Richard </w:t>
      </w:r>
      <w:proofErr w:type="spellStart"/>
      <w:r>
        <w:t>Haass</w:t>
      </w:r>
      <w:proofErr w:type="spellEnd"/>
      <w:r>
        <w:t xml:space="preserve"> </w:t>
      </w:r>
      <w:r w:rsidRPr="007F4314">
        <w:t>&amp; Meghan</w:t>
      </w:r>
      <w:r>
        <w:t xml:space="preserve"> O’Sullivan</w:t>
      </w:r>
      <w:r w:rsidRPr="007F4314">
        <w:t xml:space="preserve">, </w:t>
      </w:r>
      <w:r>
        <w:t xml:space="preserve">Senior Fellows in the </w:t>
      </w:r>
      <w:r w:rsidRPr="007F4314">
        <w:t>Brookings Institution Foreign Policy Studies Program, Honey and Vinegar: Incentives, Sanctions, and Foreign Policy</w:t>
      </w:r>
      <w:r>
        <w:t>, p. 5-6</w:t>
      </w:r>
    </w:p>
    <w:p w:rsidR="001B24A7" w:rsidRDefault="00A2304A" w:rsidP="00A2304A">
      <w:pPr>
        <w:rPr>
          <w:sz w:val="16"/>
        </w:rPr>
      </w:pPr>
      <w:r w:rsidRPr="004C46ED">
        <w:rPr>
          <w:sz w:val="16"/>
        </w:rPr>
        <w:t xml:space="preserve">Similarly, political engagement can involve the lure of diplomatic recognition, access to </w:t>
      </w:r>
    </w:p>
    <w:p w:rsidR="001B24A7" w:rsidRDefault="001B24A7" w:rsidP="00A2304A">
      <w:pPr>
        <w:rPr>
          <w:sz w:val="16"/>
        </w:rPr>
      </w:pPr>
    </w:p>
    <w:p w:rsidR="00A2304A" w:rsidRPr="004C46ED" w:rsidRDefault="00A2304A" w:rsidP="00A2304A">
      <w:pPr>
        <w:rPr>
          <w:sz w:val="16"/>
        </w:rPr>
      </w:pPr>
      <w:proofErr w:type="gramStart"/>
      <w:r w:rsidRPr="004C46ED">
        <w:rPr>
          <w:sz w:val="16"/>
        </w:rPr>
        <w:t>offered</w:t>
      </w:r>
      <w:proofErr w:type="gramEnd"/>
      <w:r w:rsidRPr="004C46ED">
        <w:rPr>
          <w:sz w:val="16"/>
        </w:rPr>
        <w:t xml:space="preserve"> </w:t>
      </w:r>
      <w:r w:rsidRPr="00F63072">
        <w:rPr>
          <w:rStyle w:val="StyleBoldUnderline"/>
          <w:highlight w:val="yellow"/>
        </w:rPr>
        <w:t>under a policy of cultural engagement</w:t>
      </w:r>
      <w:r w:rsidRPr="004C46ED">
        <w:rPr>
          <w:sz w:val="16"/>
        </w:rPr>
        <w:t>.</w:t>
      </w:r>
    </w:p>
    <w:p w:rsidR="00A2304A" w:rsidRPr="00F3357D" w:rsidRDefault="00A2304A" w:rsidP="00A2304A">
      <w:pPr>
        <w:rPr>
          <w:b/>
        </w:rPr>
      </w:pPr>
    </w:p>
    <w:p w:rsidR="00A2304A" w:rsidRDefault="00A2304A" w:rsidP="00A2304A">
      <w:pPr>
        <w:rPr>
          <w:sz w:val="16"/>
        </w:rPr>
      </w:pPr>
    </w:p>
    <w:p w:rsidR="004672C7" w:rsidRPr="004672C7" w:rsidRDefault="00A2304A" w:rsidP="004672C7">
      <w:pPr>
        <w:pStyle w:val="Heading4"/>
        <w:rPr>
          <w:u w:val="single"/>
        </w:rPr>
      </w:pPr>
      <w:r>
        <w:t xml:space="preserve">2. Violations – the plan is a </w:t>
      </w:r>
      <w:r>
        <w:rPr>
          <w:u w:val="single"/>
        </w:rPr>
        <w:t xml:space="preserve">does not engage any topic country </w:t>
      </w:r>
      <w:r w:rsidR="004672C7">
        <w:rPr>
          <w:u w:val="single"/>
        </w:rPr>
        <w:t>or use the United States federal government</w:t>
      </w:r>
    </w:p>
    <w:p w:rsidR="00A2304A" w:rsidRDefault="00A2304A" w:rsidP="00A2304A">
      <w:pPr>
        <w:pStyle w:val="Heading4"/>
      </w:pPr>
      <w:r>
        <w:t>3. Voting issue:</w:t>
      </w:r>
    </w:p>
    <w:p w:rsidR="00A2304A" w:rsidRDefault="00A2304A" w:rsidP="00A2304A">
      <w:pPr>
        <w:pStyle w:val="Heading4"/>
      </w:pPr>
      <w:r>
        <w:t xml:space="preserve">1. Limits – direct talks places a </w:t>
      </w:r>
      <w:r>
        <w:rPr>
          <w:u w:val="single"/>
        </w:rPr>
        <w:t>functional limit</w:t>
      </w:r>
      <w:r>
        <w:t xml:space="preserve"> on the topic – otherwise, any change in U.S. policy can be </w:t>
      </w:r>
      <w:r w:rsidRPr="00761A0C">
        <w:rPr>
          <w:u w:val="single"/>
        </w:rPr>
        <w:t>interpreted</w:t>
      </w:r>
      <w:r>
        <w:t xml:space="preserve"> as engagement</w:t>
      </w:r>
    </w:p>
    <w:p w:rsidR="00A2304A" w:rsidRDefault="00A2304A" w:rsidP="00A2304A">
      <w:pPr>
        <w:pStyle w:val="Heading4"/>
      </w:pPr>
      <w:r>
        <w:t xml:space="preserve">2. Ground – talks are a stable mechanism for topic </w:t>
      </w:r>
      <w:proofErr w:type="spellStart"/>
      <w:r>
        <w:t>disads</w:t>
      </w:r>
      <w:proofErr w:type="spellEnd"/>
      <w:r>
        <w:t xml:space="preserve"> and counterplans – that’s key to fairness</w:t>
      </w:r>
    </w:p>
    <w:p w:rsidR="004672C7" w:rsidRDefault="004672C7" w:rsidP="004672C7"/>
    <w:p w:rsidR="004672C7" w:rsidRDefault="004672C7" w:rsidP="004672C7"/>
    <w:p w:rsidR="004672C7" w:rsidRPr="00823684" w:rsidRDefault="004672C7" w:rsidP="004672C7">
      <w:pPr>
        <w:pStyle w:val="Heading4"/>
      </w:pPr>
      <w:r>
        <w:t xml:space="preserve">“Economic engagement” is limited to expanding </w:t>
      </w:r>
      <w:r w:rsidRPr="00823684">
        <w:rPr>
          <w:u w:val="single"/>
        </w:rPr>
        <w:t>economic</w:t>
      </w:r>
      <w:r>
        <w:t xml:space="preserve"> ties</w:t>
      </w:r>
    </w:p>
    <w:p w:rsidR="004672C7" w:rsidRDefault="004672C7" w:rsidP="004672C7">
      <w:proofErr w:type="spellStart"/>
      <w:r w:rsidRPr="00474375">
        <w:rPr>
          <w:rStyle w:val="StyleStyleBold12pt"/>
        </w:rPr>
        <w:t>Çelik</w:t>
      </w:r>
      <w:proofErr w:type="spellEnd"/>
      <w:r w:rsidRPr="00474375">
        <w:rPr>
          <w:rStyle w:val="StyleStyleBold12pt"/>
        </w:rPr>
        <w:t xml:space="preserve"> 11</w:t>
      </w:r>
      <w:r>
        <w:t xml:space="preserve"> – </w:t>
      </w:r>
      <w:proofErr w:type="spellStart"/>
      <w:r>
        <w:t>Arda</w:t>
      </w:r>
      <w:proofErr w:type="spellEnd"/>
      <w:r>
        <w:t xml:space="preserve"> Can </w:t>
      </w:r>
      <w:proofErr w:type="spellStart"/>
      <w:r>
        <w:t>Çelik</w:t>
      </w:r>
      <w:proofErr w:type="spellEnd"/>
      <w:r>
        <w:t>, Master’s Degree in Politics and International Studies from Uppsala University, Economic Sanctions and Engagement Policies, p. 11</w:t>
      </w:r>
    </w:p>
    <w:p w:rsidR="004672C7" w:rsidRDefault="004672C7" w:rsidP="004672C7"/>
    <w:p w:rsidR="004672C7" w:rsidRPr="00474375" w:rsidRDefault="004672C7" w:rsidP="004672C7">
      <w:pPr>
        <w:rPr>
          <w:sz w:val="16"/>
        </w:rPr>
      </w:pPr>
      <w:r w:rsidRPr="00474375">
        <w:rPr>
          <w:sz w:val="16"/>
        </w:rPr>
        <w:t>Introduction</w:t>
      </w:r>
    </w:p>
    <w:p w:rsidR="001B24A7" w:rsidRDefault="004672C7" w:rsidP="004672C7">
      <w:pPr>
        <w:rPr>
          <w:rStyle w:val="StyleBoldUnderline"/>
        </w:rPr>
      </w:pPr>
      <w:r w:rsidRPr="004672C7">
        <w:rPr>
          <w:rStyle w:val="StyleBoldUnderline"/>
          <w:highlight w:val="cyan"/>
        </w:rPr>
        <w:t>Economic engagement policies are strategic</w:t>
      </w:r>
    </w:p>
    <w:p w:rsidR="001B24A7" w:rsidRDefault="001B24A7" w:rsidP="004672C7">
      <w:pPr>
        <w:rPr>
          <w:rStyle w:val="StyleBoldUnderline"/>
        </w:rPr>
      </w:pPr>
    </w:p>
    <w:p w:rsidR="004672C7" w:rsidRDefault="004672C7" w:rsidP="004672C7">
      <w:pPr>
        <w:rPr>
          <w:sz w:val="16"/>
        </w:rPr>
      </w:pPr>
      <w:proofErr w:type="gramStart"/>
      <w:r w:rsidRPr="00474375">
        <w:rPr>
          <w:i/>
          <w:sz w:val="16"/>
        </w:rPr>
        <w:t>direct</w:t>
      </w:r>
      <w:proofErr w:type="gramEnd"/>
      <w:r w:rsidRPr="00474375">
        <w:rPr>
          <w:i/>
          <w:sz w:val="16"/>
        </w:rPr>
        <w:t xml:space="preserve"> and positive linkage of interests of stales where a change in the position of one state affects the position of others in the same direction</w:t>
      </w:r>
      <w:r w:rsidRPr="00474375">
        <w:rPr>
          <w:sz w:val="16"/>
        </w:rPr>
        <w:t>.</w:t>
      </w:r>
    </w:p>
    <w:p w:rsidR="004672C7" w:rsidRDefault="004672C7" w:rsidP="004672C7"/>
    <w:p w:rsidR="004672C7" w:rsidRDefault="004672C7" w:rsidP="004672C7">
      <w:pPr>
        <w:pStyle w:val="Heading4"/>
      </w:pPr>
      <w:r>
        <w:t>Voting issue for limits and ground --- non-economic areas are huge, overstretch research burdens and require completely different strategies --- trade and finance allow sufficient flexibility but lock-in a core mechanism for preparation</w:t>
      </w:r>
    </w:p>
    <w:p w:rsidR="004672C7" w:rsidRDefault="004672C7" w:rsidP="004672C7"/>
    <w:p w:rsidR="001B24A7" w:rsidRDefault="001B24A7" w:rsidP="001B24A7">
      <w:pPr>
        <w:pStyle w:val="Heading2"/>
      </w:pPr>
      <w:r>
        <w:t>Case</w:t>
      </w:r>
    </w:p>
    <w:p w:rsidR="004672C7" w:rsidRDefault="004672C7" w:rsidP="001B24A7">
      <w:pPr>
        <w:pStyle w:val="Heading3"/>
      </w:pPr>
      <w:r>
        <w:t>Torment</w:t>
      </w:r>
    </w:p>
    <w:p w:rsidR="004672C7" w:rsidRDefault="004672C7" w:rsidP="004672C7"/>
    <w:p w:rsidR="004672C7" w:rsidRDefault="004672C7" w:rsidP="004672C7"/>
    <w:p w:rsidR="004672C7" w:rsidRDefault="004672C7" w:rsidP="004672C7"/>
    <w:p w:rsidR="004672C7" w:rsidRPr="00711F2B" w:rsidRDefault="004672C7" w:rsidP="004672C7">
      <w:pPr>
        <w:rPr>
          <w:rStyle w:val="StyleBoldUnderline"/>
          <w:b w:val="0"/>
        </w:rPr>
      </w:pPr>
      <w:r w:rsidRPr="00711F2B">
        <w:rPr>
          <w:rStyle w:val="StyleBoldUnderline"/>
          <w:b w:val="0"/>
        </w:rPr>
        <w:t>) All ideological thinking contains totalitarian elements</w:t>
      </w:r>
    </w:p>
    <w:p w:rsidR="004672C7" w:rsidRPr="00711F2B" w:rsidRDefault="004672C7" w:rsidP="004672C7">
      <w:pPr>
        <w:rPr>
          <w:rStyle w:val="StyleBoldUnderline"/>
        </w:rPr>
      </w:pPr>
      <w:r w:rsidRPr="00711F2B">
        <w:rPr>
          <w:rStyle w:val="StyleBoldUnderline"/>
          <w:b w:val="0"/>
        </w:rPr>
        <w:t xml:space="preserve">Arendt 51 </w:t>
      </w:r>
      <w:r w:rsidRPr="00711F2B">
        <w:rPr>
          <w:rStyle w:val="StyleBoldUnderline"/>
        </w:rPr>
        <w:t>[Hannah Arendt, Philosopher, “Origins of Totalitarianism” 1951, pp. 470-471]</w:t>
      </w:r>
    </w:p>
    <w:p w:rsidR="001B24A7" w:rsidRDefault="004672C7" w:rsidP="004672C7">
      <w:pPr>
        <w:rPr>
          <w:rStyle w:val="StyleBoldUnderline"/>
        </w:rPr>
      </w:pPr>
      <w:r w:rsidRPr="00711F2B">
        <w:rPr>
          <w:rStyle w:val="StyleBoldUnderline"/>
          <w:sz w:val="16"/>
        </w:rPr>
        <w:t xml:space="preserve">The </w:t>
      </w:r>
      <w:proofErr w:type="spellStart"/>
      <w:r w:rsidRPr="00711F2B">
        <w:rPr>
          <w:rStyle w:val="StyleBoldUnderline"/>
          <w:sz w:val="16"/>
        </w:rPr>
        <w:t>Weltanschauungen</w:t>
      </w:r>
      <w:proofErr w:type="spellEnd"/>
      <w:r w:rsidRPr="00711F2B">
        <w:rPr>
          <w:rStyle w:val="StyleBoldUnderline"/>
          <w:sz w:val="16"/>
        </w:rPr>
        <w:t xml:space="preserve"> and ideologies of the nineteenth </w:t>
      </w:r>
      <w:proofErr w:type="spellStart"/>
      <w:r w:rsidRPr="00711F2B">
        <w:rPr>
          <w:rStyle w:val="StyleBoldUnderline"/>
          <w:sz w:val="16"/>
        </w:rPr>
        <w:t>centry</w:t>
      </w:r>
      <w:proofErr w:type="spellEnd"/>
      <w:r w:rsidRPr="00711F2B">
        <w:rPr>
          <w:rStyle w:val="StyleBoldUnderline"/>
          <w:sz w:val="16"/>
        </w:rPr>
        <w:t xml:space="preserve"> are not in themselves, totalitarian, and </w:t>
      </w:r>
      <w:r w:rsidRPr="00711F2B">
        <w:rPr>
          <w:rStyle w:val="StyleBoldUnderline"/>
        </w:rPr>
        <w:t>although</w:t>
      </w:r>
    </w:p>
    <w:p w:rsidR="001B24A7" w:rsidRDefault="001B24A7" w:rsidP="004672C7">
      <w:pPr>
        <w:rPr>
          <w:rStyle w:val="StyleBoldUnderline"/>
        </w:rPr>
      </w:pPr>
    </w:p>
    <w:p w:rsidR="004672C7" w:rsidRPr="00711F2B" w:rsidRDefault="004672C7" w:rsidP="004672C7">
      <w:pPr>
        <w:rPr>
          <w:rStyle w:val="StyleBoldUnderline"/>
        </w:rPr>
      </w:pPr>
      <w:r w:rsidRPr="00711F2B">
        <w:rPr>
          <w:rStyle w:val="StyleBoldUnderline"/>
          <w:sz w:val="16"/>
        </w:rPr>
        <w:t xml:space="preserve">. </w:t>
      </w:r>
      <w:r w:rsidRPr="00711F2B">
        <w:rPr>
          <w:rStyle w:val="StyleBoldUnderline"/>
        </w:rPr>
        <w:t>Once it has established its premise, its point of departure, experiences no longer interfere with ideological thinking, nor can it be taught by reality.</w:t>
      </w:r>
    </w:p>
    <w:p w:rsidR="004672C7" w:rsidRPr="00711F2B" w:rsidRDefault="004672C7" w:rsidP="004672C7">
      <w:pPr>
        <w:rPr>
          <w:rStyle w:val="StyleBoldUnderline"/>
        </w:rPr>
      </w:pPr>
    </w:p>
    <w:p w:rsidR="004672C7" w:rsidRPr="00711F2B" w:rsidRDefault="004672C7" w:rsidP="004672C7">
      <w:pPr>
        <w:rPr>
          <w:rStyle w:val="StyleBoldUnderline"/>
        </w:rPr>
      </w:pPr>
    </w:p>
    <w:p w:rsidR="004672C7" w:rsidRPr="00711F2B" w:rsidRDefault="004672C7" w:rsidP="004672C7">
      <w:pPr>
        <w:rPr>
          <w:rStyle w:val="StyleBoldUnderline"/>
          <w:b w:val="0"/>
        </w:rPr>
      </w:pPr>
      <w:r w:rsidRPr="00711F2B">
        <w:rPr>
          <w:rStyle w:val="StyleBoldUnderline"/>
          <w:b w:val="0"/>
        </w:rPr>
        <w:t>2) Total terror is the tool that totalitarian movements use to execute death sentences for races, classes, and individuals who are seen as unfit to live</w:t>
      </w:r>
    </w:p>
    <w:p w:rsidR="004672C7" w:rsidRPr="00711F2B" w:rsidRDefault="004672C7" w:rsidP="004672C7">
      <w:pPr>
        <w:rPr>
          <w:rStyle w:val="StyleBoldUnderline"/>
          <w:sz w:val="16"/>
        </w:rPr>
      </w:pPr>
      <w:r w:rsidRPr="00711F2B">
        <w:rPr>
          <w:rStyle w:val="StyleBoldUnderline"/>
          <w:b w:val="0"/>
        </w:rPr>
        <w:t xml:space="preserve">Arendt 51 </w:t>
      </w:r>
      <w:r w:rsidRPr="00711F2B">
        <w:rPr>
          <w:rStyle w:val="StyleBoldUnderline"/>
          <w:sz w:val="16"/>
        </w:rPr>
        <w:t>[Hannah Arendt, Philosopher, “Origins of Totalitarianism” 1951, pp. 466]</w:t>
      </w:r>
    </w:p>
    <w:p w:rsidR="001B24A7" w:rsidRDefault="004672C7" w:rsidP="004672C7">
      <w:pPr>
        <w:rPr>
          <w:rStyle w:val="StyleBoldUnderline"/>
        </w:rPr>
      </w:pPr>
      <w:r w:rsidRPr="00711F2B">
        <w:rPr>
          <w:rStyle w:val="StyleBoldUnderline"/>
          <w:highlight w:val="cyan"/>
        </w:rPr>
        <w:t xml:space="preserve">Total terror, the essence of totalitarian government, </w:t>
      </w:r>
    </w:p>
    <w:p w:rsidR="001B24A7" w:rsidRDefault="001B24A7" w:rsidP="004672C7">
      <w:pPr>
        <w:rPr>
          <w:rStyle w:val="StyleBoldUnderline"/>
        </w:rPr>
      </w:pPr>
    </w:p>
    <w:p w:rsidR="004672C7" w:rsidRPr="00711F2B" w:rsidRDefault="004672C7" w:rsidP="004672C7">
      <w:pPr>
        <w:rPr>
          <w:rStyle w:val="StyleBoldUnderline"/>
          <w:sz w:val="16"/>
        </w:rPr>
      </w:pPr>
      <w:proofErr w:type="gramStart"/>
      <w:r w:rsidRPr="00711F2B">
        <w:rPr>
          <w:rStyle w:val="StyleBoldUnderline"/>
        </w:rPr>
        <w:t>on</w:t>
      </w:r>
      <w:proofErr w:type="gramEnd"/>
      <w:r w:rsidRPr="00711F2B">
        <w:rPr>
          <w:rStyle w:val="StyleBoldUnderline"/>
        </w:rPr>
        <w:t xml:space="preserve"> “dying classes,” without waiting for the slower and less efficient processes of nature or history themselves.</w:t>
      </w:r>
    </w:p>
    <w:p w:rsidR="004672C7" w:rsidRDefault="004672C7" w:rsidP="004672C7"/>
    <w:p w:rsidR="004672C7" w:rsidRDefault="004672C7" w:rsidP="004672C7">
      <w:pPr>
        <w:pStyle w:val="Heading4"/>
      </w:pPr>
      <w:r>
        <w:t>Criticism alone does nothing – engagement of Latin studies is key to change</w:t>
      </w:r>
    </w:p>
    <w:p w:rsidR="004672C7" w:rsidRPr="00535AC3" w:rsidRDefault="004672C7" w:rsidP="004672C7">
      <w:pPr>
        <w:rPr>
          <w:b/>
          <w:bCs/>
          <w:u w:val="single"/>
        </w:rPr>
      </w:pPr>
      <w:proofErr w:type="spellStart"/>
      <w:r w:rsidRPr="00E95DAE">
        <w:rPr>
          <w:rStyle w:val="StyleStyleBold12pt"/>
        </w:rPr>
        <w:t>Hoffnung-Garskof</w:t>
      </w:r>
      <w:proofErr w:type="spellEnd"/>
      <w:r w:rsidRPr="00E95DAE">
        <w:rPr>
          <w:rStyle w:val="StyleStyleBold12pt"/>
        </w:rPr>
        <w:t xml:space="preserve"> 12</w:t>
      </w:r>
      <w:r>
        <w:t xml:space="preserve"> </w:t>
      </w:r>
      <w:r w:rsidRPr="00535AC3">
        <w:rPr>
          <w:sz w:val="20"/>
          <w:szCs w:val="20"/>
        </w:rPr>
        <w:t xml:space="preserve">(Jesse </w:t>
      </w:r>
      <w:proofErr w:type="spellStart"/>
      <w:r w:rsidRPr="00535AC3">
        <w:rPr>
          <w:sz w:val="20"/>
          <w:szCs w:val="20"/>
        </w:rPr>
        <w:t>Hoffnung-Garskof</w:t>
      </w:r>
      <w:proofErr w:type="spellEnd"/>
      <w:r w:rsidRPr="00535AC3">
        <w:rPr>
          <w:sz w:val="20"/>
          <w:szCs w:val="20"/>
        </w:rPr>
        <w:t xml:space="preserve"> is Associate Professor of History and American Culture and Director of the Center for Latin American and Caribbean Studies at the University of Michigan, “Latin American Studies and United States Foreign Policy,”  Fall 2012,  http://www.lsa.umich.edu/UMICH/ii/Home/II%20Journal/Documents/Fall-2012-IIJournal-LatinAmerica.pdf)</w:t>
      </w:r>
      <w:r>
        <w:rPr>
          <w:sz w:val="20"/>
          <w:szCs w:val="20"/>
        </w:rPr>
        <w:t>//AS</w:t>
      </w:r>
    </w:p>
    <w:p w:rsidR="001B24A7" w:rsidRDefault="004672C7" w:rsidP="004672C7">
      <w:pPr>
        <w:rPr>
          <w:rStyle w:val="StyleBoldUnderline"/>
        </w:rPr>
      </w:pPr>
      <w:r w:rsidRPr="00CB518F">
        <w:rPr>
          <w:rStyle w:val="StyleBoldUnderline"/>
        </w:rPr>
        <w:t xml:space="preserve">Such effects are neither simple nor purely </w:t>
      </w:r>
    </w:p>
    <w:p w:rsidR="001B24A7" w:rsidRDefault="001B24A7" w:rsidP="004672C7">
      <w:pPr>
        <w:rPr>
          <w:rStyle w:val="StyleBoldUnderline"/>
        </w:rPr>
      </w:pPr>
    </w:p>
    <w:p w:rsidR="004672C7" w:rsidRPr="00B51969" w:rsidRDefault="004672C7" w:rsidP="004672C7">
      <w:pPr>
        <w:rPr>
          <w:sz w:val="16"/>
        </w:rPr>
      </w:pPr>
      <w:proofErr w:type="gramStart"/>
      <w:r w:rsidRPr="00B51969">
        <w:rPr>
          <w:sz w:val="16"/>
        </w:rPr>
        <w:t>the</w:t>
      </w:r>
      <w:proofErr w:type="gramEnd"/>
      <w:r w:rsidRPr="00B51969">
        <w:rPr>
          <w:sz w:val="16"/>
        </w:rPr>
        <w:t xml:space="preserve"> most valuable, if unintended, consequences of the area studies model. Members of the political establishment will not necessarily agree, which may be part of the reason for our present funding predicaments.</w:t>
      </w:r>
    </w:p>
    <w:p w:rsidR="004672C7" w:rsidRDefault="004672C7" w:rsidP="004672C7"/>
    <w:p w:rsidR="004672C7" w:rsidRDefault="004672C7" w:rsidP="004672C7">
      <w:pPr>
        <w:pStyle w:val="Heading4"/>
      </w:pPr>
      <w:r>
        <w:t>Global studies are key to addressing violence and inequality</w:t>
      </w:r>
    </w:p>
    <w:p w:rsidR="004672C7" w:rsidRPr="00535AC3" w:rsidRDefault="004672C7" w:rsidP="004672C7">
      <w:pPr>
        <w:rPr>
          <w:b/>
          <w:bCs/>
          <w:u w:val="single"/>
        </w:rPr>
      </w:pPr>
      <w:proofErr w:type="spellStart"/>
      <w:r w:rsidRPr="00E95DAE">
        <w:rPr>
          <w:rStyle w:val="StyleStyleBold12pt"/>
        </w:rPr>
        <w:t>Hoffnung-Garskof</w:t>
      </w:r>
      <w:proofErr w:type="spellEnd"/>
      <w:r w:rsidRPr="00E95DAE">
        <w:rPr>
          <w:rStyle w:val="StyleStyleBold12pt"/>
        </w:rPr>
        <w:t xml:space="preserve"> 12</w:t>
      </w:r>
      <w:r>
        <w:t xml:space="preserve"> </w:t>
      </w:r>
      <w:r w:rsidRPr="00535AC3">
        <w:rPr>
          <w:sz w:val="20"/>
          <w:szCs w:val="20"/>
        </w:rPr>
        <w:t xml:space="preserve">(Jesse </w:t>
      </w:r>
      <w:proofErr w:type="spellStart"/>
      <w:r w:rsidRPr="00535AC3">
        <w:rPr>
          <w:sz w:val="20"/>
          <w:szCs w:val="20"/>
        </w:rPr>
        <w:t>Hoffnung-Garskof</w:t>
      </w:r>
      <w:proofErr w:type="spellEnd"/>
      <w:r w:rsidRPr="00535AC3">
        <w:rPr>
          <w:sz w:val="20"/>
          <w:szCs w:val="20"/>
        </w:rPr>
        <w:t xml:space="preserve"> is Associate Professor of History and American Culture and Director of the Center for Latin American and Caribbean Studies at the University of Michigan, “Latin American Studies and United States Foreign Policy,”  Fall 2012,  http://www.lsa.umich.edu/UMICH/ii/Home/II%20Journal/Documents/Fall-2012-IIJournal-LatinAmerica.pdf)</w:t>
      </w:r>
      <w:r w:rsidRPr="008E53A0">
        <w:rPr>
          <w:sz w:val="20"/>
          <w:szCs w:val="20"/>
        </w:rPr>
        <w:t>//AS</w:t>
      </w:r>
    </w:p>
    <w:p w:rsidR="001B24A7" w:rsidRDefault="004672C7" w:rsidP="004672C7">
      <w:pPr>
        <w:rPr>
          <w:sz w:val="16"/>
        </w:rPr>
      </w:pPr>
      <w:r w:rsidRPr="00B51969">
        <w:rPr>
          <w:sz w:val="16"/>
        </w:rPr>
        <w:t xml:space="preserve">What are those strengths? Despite its pitfalls, the area studies model has built an </w:t>
      </w:r>
    </w:p>
    <w:p w:rsidR="001B24A7" w:rsidRDefault="001B24A7" w:rsidP="004672C7">
      <w:pPr>
        <w:rPr>
          <w:sz w:val="16"/>
        </w:rPr>
      </w:pPr>
    </w:p>
    <w:p w:rsidR="004672C7" w:rsidRDefault="004672C7" w:rsidP="004672C7">
      <w:pPr>
        <w:rPr>
          <w:rStyle w:val="StyleBoldUnderline"/>
        </w:rPr>
      </w:pPr>
      <w:proofErr w:type="gramStart"/>
      <w:r w:rsidRPr="00B51969">
        <w:rPr>
          <w:sz w:val="16"/>
        </w:rPr>
        <w:t>new</w:t>
      </w:r>
      <w:proofErr w:type="gramEnd"/>
      <w:r w:rsidRPr="00B51969">
        <w:rPr>
          <w:sz w:val="16"/>
        </w:rPr>
        <w:t xml:space="preserve"> regime offers, </w:t>
      </w:r>
      <w:r w:rsidRPr="00CB518F">
        <w:rPr>
          <w:rStyle w:val="StyleBoldUnderline"/>
        </w:rPr>
        <w:t>we should expect, as generations of scholars have done in Title VI centers, to adopt roles as dissidents and as critics of the regime itself.</w:t>
      </w:r>
    </w:p>
    <w:p w:rsidR="004672C7" w:rsidRDefault="004672C7" w:rsidP="004672C7">
      <w:pPr>
        <w:rPr>
          <w:rStyle w:val="StyleBoldUnderline"/>
        </w:rPr>
      </w:pPr>
    </w:p>
    <w:p w:rsidR="004672C7" w:rsidRPr="003E63DF" w:rsidRDefault="004672C7" w:rsidP="004672C7">
      <w:pPr>
        <w:pStyle w:val="Heading4"/>
        <w:rPr>
          <w:rStyle w:val="StyleBoldUnderline"/>
          <w:b/>
          <w:sz w:val="26"/>
          <w:szCs w:val="26"/>
          <w:u w:val="none"/>
        </w:rPr>
      </w:pPr>
      <w:r>
        <w:rPr>
          <w:rStyle w:val="StyleBoldUnderline"/>
          <w:b/>
          <w:sz w:val="26"/>
          <w:szCs w:val="26"/>
          <w:u w:val="none"/>
        </w:rPr>
        <w:t>Discussing Latin America is key to educational equity for minorities</w:t>
      </w:r>
    </w:p>
    <w:p w:rsidR="004672C7" w:rsidRDefault="004672C7" w:rsidP="004672C7">
      <w:r w:rsidRPr="00535AC3">
        <w:rPr>
          <w:rStyle w:val="StyleStyleBold12pt"/>
        </w:rPr>
        <w:t>Davila and de Bradley</w:t>
      </w:r>
      <w:r>
        <w:rPr>
          <w:rStyle w:val="StyleStyleBold12pt"/>
        </w:rPr>
        <w:t xml:space="preserve"> 10</w:t>
      </w:r>
      <w:r>
        <w:t xml:space="preserve"> </w:t>
      </w:r>
      <w:r w:rsidRPr="00535AC3">
        <w:rPr>
          <w:sz w:val="20"/>
          <w:szCs w:val="20"/>
        </w:rPr>
        <w:t xml:space="preserve">(Erica Davila, Ph.D. is Associate Professor of Education and Coordinator of Urban Education at Arcadia University and Ann Aviles de Bradley, Assistant Professor. Department of Educational Inquiry and Curriculum Studies, Northeastern Illinois University, Academic journal article from Educational Foundations, Vol. 24, No. 1-2, Spring 2010, </w:t>
      </w:r>
      <w:hyperlink r:id="rId11" w:history="1">
        <w:r w:rsidRPr="00676F23">
          <w:rPr>
            <w:rStyle w:val="Hyperlink"/>
            <w:sz w:val="20"/>
            <w:szCs w:val="20"/>
          </w:rPr>
          <w:t>http://www.questia.com/library/1G1-227945957/examining-education-for-latinas-os-in-chicago-a-crt-latcrit</w:t>
        </w:r>
      </w:hyperlink>
      <w:r w:rsidRPr="00535AC3">
        <w:rPr>
          <w:sz w:val="20"/>
          <w:szCs w:val="20"/>
        </w:rPr>
        <w:t>)</w:t>
      </w:r>
      <w:r w:rsidRPr="008E53A0">
        <w:rPr>
          <w:sz w:val="20"/>
          <w:szCs w:val="20"/>
        </w:rPr>
        <w:t>//AS</w:t>
      </w:r>
    </w:p>
    <w:p w:rsidR="001B24A7" w:rsidRDefault="004672C7" w:rsidP="004672C7">
      <w:pPr>
        <w:rPr>
          <w:sz w:val="16"/>
        </w:rPr>
      </w:pPr>
      <w:r w:rsidRPr="003737D2">
        <w:rPr>
          <w:rFonts w:ascii="Lucida Sans Unicode" w:eastAsia="Times New Roman" w:hAnsi="Lucida Sans Unicode" w:cs="Lucida Sans Unicode"/>
          <w:color w:val="333333"/>
          <w:sz w:val="16"/>
          <w:szCs w:val="20"/>
        </w:rPr>
        <w:t xml:space="preserve">In the last thirty years, </w:t>
      </w:r>
      <w:r w:rsidRPr="00B51969">
        <w:rPr>
          <w:sz w:val="16"/>
        </w:rPr>
        <w:t xml:space="preserve">the response of public schools to policy mandates stemming from the Civil Rights Movement </w:t>
      </w:r>
    </w:p>
    <w:p w:rsidR="001B24A7" w:rsidRDefault="001B24A7" w:rsidP="004672C7">
      <w:pPr>
        <w:rPr>
          <w:sz w:val="16"/>
        </w:rPr>
      </w:pPr>
    </w:p>
    <w:p w:rsidR="004672C7" w:rsidRPr="00535AC3" w:rsidRDefault="004672C7" w:rsidP="004672C7">
      <w:pPr>
        <w:rPr>
          <w:rStyle w:val="StyleBoldUnderline"/>
          <w:b w:val="0"/>
          <w:bCs w:val="0"/>
          <w:u w:val="none"/>
        </w:rPr>
      </w:pPr>
      <w:proofErr w:type="gramStart"/>
      <w:r w:rsidRPr="003737D2">
        <w:rPr>
          <w:rStyle w:val="StyleBoldUnderline"/>
        </w:rPr>
        <w:t>can</w:t>
      </w:r>
      <w:proofErr w:type="gramEnd"/>
      <w:r w:rsidRPr="003737D2">
        <w:rPr>
          <w:rStyle w:val="StyleBoldUnderline"/>
        </w:rPr>
        <w:t xml:space="preserve"> assist in exposing the historical and political context of systemic educational practices that are designed to hinder real progress for Latinas/</w:t>
      </w:r>
      <w:proofErr w:type="spellStart"/>
      <w:r w:rsidRPr="003737D2">
        <w:rPr>
          <w:rStyle w:val="StyleBoldUnderline"/>
        </w:rPr>
        <w:t>os</w:t>
      </w:r>
      <w:proofErr w:type="spellEnd"/>
      <w:r w:rsidRPr="003737D2">
        <w:rPr>
          <w:rStyle w:val="StyleBoldUnderline"/>
        </w:rPr>
        <w:t>.</w:t>
      </w:r>
    </w:p>
    <w:p w:rsidR="004672C7" w:rsidRPr="003E63DF" w:rsidRDefault="004672C7" w:rsidP="004672C7">
      <w:pPr>
        <w:pStyle w:val="Heading4"/>
        <w:rPr>
          <w:rStyle w:val="StyleStyleBold12pt"/>
          <w:b/>
        </w:rPr>
      </w:pPr>
      <w:r>
        <w:rPr>
          <w:rStyle w:val="StyleStyleBold12pt"/>
          <w:b/>
        </w:rPr>
        <w:t xml:space="preserve">Discussing </w:t>
      </w:r>
      <w:r w:rsidRPr="003E63DF">
        <w:rPr>
          <w:rStyle w:val="StyleStyleBold12pt"/>
          <w:b/>
        </w:rPr>
        <w:t>Latin America avoids racial exclusion</w:t>
      </w:r>
    </w:p>
    <w:p w:rsidR="004672C7" w:rsidRPr="003737D2" w:rsidRDefault="004672C7" w:rsidP="004672C7">
      <w:r w:rsidRPr="00535AC3">
        <w:rPr>
          <w:rStyle w:val="StyleStyleBold12pt"/>
        </w:rPr>
        <w:t>Davila and de Bradley</w:t>
      </w:r>
      <w:r>
        <w:rPr>
          <w:rStyle w:val="StyleStyleBold12pt"/>
        </w:rPr>
        <w:t xml:space="preserve"> 10</w:t>
      </w:r>
      <w:r>
        <w:t xml:space="preserve"> </w:t>
      </w:r>
      <w:r w:rsidRPr="00535AC3">
        <w:rPr>
          <w:sz w:val="20"/>
          <w:szCs w:val="20"/>
        </w:rPr>
        <w:t xml:space="preserve">(Erica Davila, Ph.D. is Associate Professor of Education and Coordinator of Urban Education at Arcadia University and Ann Aviles de Bradley, Assistant Professor. Department of Educational Inquiry and Curriculum Studies, Northeastern Illinois University, Academic journal article from Educational Foundations, Vol. 24, No. 1-2, </w:t>
      </w:r>
      <w:proofErr w:type="gramStart"/>
      <w:r w:rsidRPr="00535AC3">
        <w:rPr>
          <w:sz w:val="20"/>
          <w:szCs w:val="20"/>
        </w:rPr>
        <w:t>Spring</w:t>
      </w:r>
      <w:proofErr w:type="gramEnd"/>
      <w:r w:rsidRPr="00535AC3">
        <w:rPr>
          <w:sz w:val="20"/>
          <w:szCs w:val="20"/>
        </w:rPr>
        <w:t xml:space="preserve"> 2010, http://www.questia.com/library/1G1-227945957/examining-education-for-latinas-os-in-chicago-a-crt-latcrit)</w:t>
      </w:r>
      <w:r w:rsidRPr="008E53A0">
        <w:rPr>
          <w:sz w:val="20"/>
          <w:szCs w:val="20"/>
        </w:rPr>
        <w:t>//AS</w:t>
      </w:r>
    </w:p>
    <w:p w:rsidR="001B24A7" w:rsidRDefault="004672C7" w:rsidP="004672C7">
      <w:pPr>
        <w:rPr>
          <w:rFonts w:ascii="Lucida Sans Unicode" w:eastAsia="Times New Roman" w:hAnsi="Lucida Sans Unicode" w:cs="Lucida Sans Unicode"/>
          <w:color w:val="333333"/>
          <w:sz w:val="14"/>
          <w:szCs w:val="20"/>
        </w:rPr>
      </w:pPr>
      <w:r w:rsidRPr="003737D2">
        <w:rPr>
          <w:rFonts w:ascii="Lucida Sans Unicode" w:eastAsia="Times New Roman" w:hAnsi="Lucida Sans Unicode" w:cs="Lucida Sans Unicode"/>
          <w:color w:val="333333"/>
          <w:sz w:val="14"/>
          <w:szCs w:val="20"/>
        </w:rPr>
        <w:t xml:space="preserve">CRT scholars draw from various educational foundations and intersections within these foundations. </w:t>
      </w:r>
    </w:p>
    <w:p w:rsidR="001B24A7" w:rsidRDefault="001B24A7" w:rsidP="004672C7">
      <w:pPr>
        <w:rPr>
          <w:rFonts w:ascii="Lucida Sans Unicode" w:eastAsia="Times New Roman" w:hAnsi="Lucida Sans Unicode" w:cs="Lucida Sans Unicode"/>
          <w:color w:val="333333"/>
          <w:sz w:val="14"/>
          <w:szCs w:val="20"/>
        </w:rPr>
      </w:pPr>
    </w:p>
    <w:p w:rsidR="004672C7" w:rsidRPr="003737D2" w:rsidRDefault="004672C7" w:rsidP="004672C7">
      <w:pPr>
        <w:rPr>
          <w:sz w:val="14"/>
        </w:rPr>
      </w:pPr>
      <w:proofErr w:type="gramStart"/>
      <w:r w:rsidRPr="003737D2">
        <w:rPr>
          <w:rStyle w:val="StyleBoldUnderline"/>
        </w:rPr>
        <w:t>that</w:t>
      </w:r>
      <w:proofErr w:type="gramEnd"/>
      <w:r w:rsidRPr="003737D2">
        <w:rPr>
          <w:rStyle w:val="StyleBoldUnderline"/>
        </w:rPr>
        <w:t xml:space="preserve"> effect People of Color generally and Latinas/</w:t>
      </w:r>
      <w:proofErr w:type="spellStart"/>
      <w:r w:rsidRPr="003737D2">
        <w:rPr>
          <w:rStyle w:val="StyleBoldUnderline"/>
        </w:rPr>
        <w:t>os</w:t>
      </w:r>
      <w:proofErr w:type="spellEnd"/>
      <w:r w:rsidRPr="003737D2">
        <w:rPr>
          <w:rStyle w:val="StyleBoldUnderline"/>
        </w:rPr>
        <w:t xml:space="preserve"> specifically</w:t>
      </w:r>
      <w:r w:rsidRPr="003737D2">
        <w:rPr>
          <w:sz w:val="14"/>
        </w:rPr>
        <w:t>. (</w:t>
      </w:r>
      <w:proofErr w:type="spellStart"/>
      <w:r w:rsidRPr="003737D2">
        <w:rPr>
          <w:sz w:val="14"/>
        </w:rPr>
        <w:t>Solorzano</w:t>
      </w:r>
      <w:proofErr w:type="spellEnd"/>
      <w:r w:rsidRPr="003737D2">
        <w:rPr>
          <w:sz w:val="14"/>
        </w:rPr>
        <w:t xml:space="preserve"> &amp; </w:t>
      </w:r>
      <w:proofErr w:type="spellStart"/>
      <w:r w:rsidRPr="003737D2">
        <w:rPr>
          <w:sz w:val="14"/>
        </w:rPr>
        <w:t>Yosso</w:t>
      </w:r>
      <w:proofErr w:type="spellEnd"/>
      <w:r w:rsidRPr="003737D2">
        <w:rPr>
          <w:sz w:val="14"/>
        </w:rPr>
        <w:t>, 2001, p. 479)</w:t>
      </w:r>
    </w:p>
    <w:p w:rsidR="004672C7" w:rsidRPr="003737D2" w:rsidRDefault="004672C7" w:rsidP="004672C7"/>
    <w:p w:rsidR="004672C7" w:rsidRDefault="004672C7" w:rsidP="004672C7"/>
    <w:p w:rsidR="004672C7" w:rsidRDefault="004672C7" w:rsidP="004672C7"/>
    <w:p w:rsidR="004672C7" w:rsidRPr="004672C7" w:rsidRDefault="004672C7" w:rsidP="004672C7"/>
    <w:p w:rsidR="004672C7" w:rsidRDefault="004672C7" w:rsidP="004672C7"/>
    <w:p w:rsidR="004672C7" w:rsidRPr="004672C7" w:rsidRDefault="004672C7" w:rsidP="004672C7"/>
    <w:p w:rsidR="004672C7" w:rsidRDefault="004672C7" w:rsidP="004672C7"/>
    <w:p w:rsidR="004672C7" w:rsidRPr="004672C7" w:rsidRDefault="004672C7" w:rsidP="004672C7"/>
    <w:p w:rsidR="004672C7" w:rsidRPr="004672C7" w:rsidRDefault="004672C7" w:rsidP="004672C7"/>
    <w:p w:rsidR="00A2304A" w:rsidRPr="00A2304A" w:rsidRDefault="00A2304A" w:rsidP="00A2304A"/>
    <w:p w:rsidR="00737D0E" w:rsidRDefault="00737D0E" w:rsidP="001B24A7">
      <w:pPr>
        <w:pStyle w:val="Heading3"/>
      </w:pPr>
      <w:r>
        <w:t>Solvency</w:t>
      </w:r>
    </w:p>
    <w:p w:rsidR="00737D0E" w:rsidRDefault="00737D0E" w:rsidP="00737D0E">
      <w:pPr>
        <w:pStyle w:val="tag"/>
        <w:rPr>
          <w:sz w:val="20"/>
        </w:rPr>
      </w:pPr>
      <w:r>
        <w:rPr>
          <w:sz w:val="20"/>
        </w:rPr>
        <w:t xml:space="preserve">Disengagement from traditional politics is the worst in cynical leftist garbage – our hypothesizing about the complex inner-working of government is </w:t>
      </w:r>
      <w:proofErr w:type="gramStart"/>
      <w:r>
        <w:rPr>
          <w:sz w:val="20"/>
        </w:rPr>
        <w:t>key</w:t>
      </w:r>
      <w:proofErr w:type="gramEnd"/>
      <w:r>
        <w:rPr>
          <w:sz w:val="20"/>
        </w:rPr>
        <w:t xml:space="preserve"> to creating space for the critique</w:t>
      </w:r>
    </w:p>
    <w:p w:rsidR="00737D0E" w:rsidRDefault="00737D0E" w:rsidP="00737D0E">
      <w:pPr>
        <w:pStyle w:val="BodyText"/>
        <w:rPr>
          <w:b/>
          <w:bCs/>
          <w:u w:val="thick"/>
          <w:shd w:val="clear" w:color="auto" w:fill="FFFF00"/>
        </w:rPr>
      </w:pPr>
      <w:proofErr w:type="spellStart"/>
      <w:r>
        <w:rPr>
          <w:b/>
          <w:bCs/>
          <w:u w:val="thick"/>
          <w:shd w:val="clear" w:color="auto" w:fill="FFFF00"/>
        </w:rPr>
        <w:t>McClean</w:t>
      </w:r>
      <w:proofErr w:type="spellEnd"/>
      <w:r>
        <w:rPr>
          <w:b/>
          <w:bCs/>
          <w:u w:val="thick"/>
          <w:shd w:val="clear" w:color="auto" w:fill="FFFF00"/>
        </w:rPr>
        <w:t xml:space="preserve"> in 1</w:t>
      </w:r>
    </w:p>
    <w:p w:rsidR="00737D0E" w:rsidRDefault="00737D0E" w:rsidP="00737D0E">
      <w:pPr>
        <w:rPr>
          <w:rFonts w:ascii="Times New Roman" w:hAnsi="Times New Roman"/>
        </w:rPr>
      </w:pPr>
      <w:r>
        <w:rPr>
          <w:rFonts w:ascii="Times New Roman" w:hAnsi="Times New Roman"/>
        </w:rPr>
        <w:t xml:space="preserve">David E. </w:t>
      </w:r>
      <w:proofErr w:type="spellStart"/>
      <w:r>
        <w:rPr>
          <w:rStyle w:val="cite"/>
          <w:b w:val="0"/>
          <w:bCs/>
        </w:rPr>
        <w:t>McClean</w:t>
      </w:r>
      <w:proofErr w:type="spellEnd"/>
      <w:r>
        <w:rPr>
          <w:rFonts w:ascii="Times New Roman" w:hAnsi="Times New Roman"/>
          <w:b/>
          <w:bCs/>
        </w:rPr>
        <w:t xml:space="preserve">, </w:t>
      </w:r>
      <w:r>
        <w:rPr>
          <w:rStyle w:val="cite"/>
          <w:b w:val="0"/>
          <w:bCs/>
        </w:rPr>
        <w:t>2001</w:t>
      </w:r>
      <w:r>
        <w:rPr>
          <w:rFonts w:ascii="Times New Roman" w:hAnsi="Times New Roman"/>
        </w:rPr>
        <w:t>, “The Cultural Left and the Limits of Social Hope,” Am. Phil. Conf., www.american-philosophy.org/archives/past_conference_programs/pc2001/Discussion%20papers/david_mcclean.htm</w:t>
      </w:r>
    </w:p>
    <w:p w:rsidR="001B24A7" w:rsidRDefault="00737D0E" w:rsidP="00737D0E">
      <w:pPr>
        <w:rPr>
          <w:rFonts w:asciiTheme="minorHAnsi" w:hAnsiTheme="minorHAnsi"/>
          <w:szCs w:val="32"/>
          <w:u w:val="thick"/>
          <w:shd w:val="clear" w:color="auto" w:fill="FFFF00"/>
        </w:rPr>
      </w:pPr>
      <w:r w:rsidRPr="00AB4C20">
        <w:rPr>
          <w:rFonts w:asciiTheme="minorHAnsi" w:hAnsiTheme="minorHAnsi"/>
          <w:sz w:val="12"/>
        </w:rPr>
        <w:t xml:space="preserve">¶ </w:t>
      </w:r>
      <w:r w:rsidRPr="00AB4C20">
        <w:rPr>
          <w:rFonts w:asciiTheme="minorHAnsi" w:hAnsiTheme="minorHAnsi"/>
          <w:szCs w:val="32"/>
        </w:rPr>
        <w:t xml:space="preserve">Yet for some reason, at least partially explicated in Richard </w:t>
      </w:r>
      <w:proofErr w:type="spellStart"/>
      <w:r w:rsidRPr="00AB4C20">
        <w:rPr>
          <w:rFonts w:asciiTheme="minorHAnsi" w:hAnsiTheme="minorHAnsi"/>
          <w:szCs w:val="32"/>
        </w:rPr>
        <w:t>Rorty's</w:t>
      </w:r>
      <w:proofErr w:type="spellEnd"/>
      <w:r w:rsidRPr="00AB4C20">
        <w:rPr>
          <w:rFonts w:asciiTheme="minorHAnsi" w:hAnsiTheme="minorHAnsi"/>
          <w:szCs w:val="32"/>
        </w:rPr>
        <w:t xml:space="preserve"> </w:t>
      </w:r>
      <w:r w:rsidRPr="00AB4C20">
        <w:rPr>
          <w:rFonts w:asciiTheme="minorHAnsi" w:hAnsiTheme="minorHAnsi"/>
          <w:i/>
          <w:iCs/>
          <w:szCs w:val="32"/>
        </w:rPr>
        <w:t>Achieving Our Country</w:t>
      </w:r>
      <w:r w:rsidRPr="00AB4C20">
        <w:rPr>
          <w:rFonts w:asciiTheme="minorHAnsi" w:hAnsiTheme="minorHAnsi"/>
          <w:szCs w:val="32"/>
        </w:rPr>
        <w:t xml:space="preserve">, a book that I think is long overdue, </w:t>
      </w:r>
      <w:r w:rsidRPr="00AB4C20">
        <w:rPr>
          <w:rFonts w:asciiTheme="minorHAnsi" w:hAnsiTheme="minorHAnsi"/>
          <w:szCs w:val="32"/>
          <w:u w:val="thick"/>
        </w:rPr>
        <w:t xml:space="preserve">leftist </w:t>
      </w:r>
      <w:r w:rsidRPr="00AB4C20">
        <w:rPr>
          <w:rFonts w:asciiTheme="minorHAnsi" w:hAnsiTheme="minorHAnsi"/>
          <w:szCs w:val="32"/>
          <w:u w:val="thick"/>
          <w:shd w:val="clear" w:color="auto" w:fill="FFFF00"/>
        </w:rPr>
        <w:t>critics</w:t>
      </w:r>
      <w:r w:rsidRPr="00AB4C20">
        <w:rPr>
          <w:rFonts w:asciiTheme="minorHAnsi" w:hAnsiTheme="minorHAnsi"/>
          <w:szCs w:val="32"/>
          <w:u w:val="thick"/>
        </w:rPr>
        <w:t xml:space="preserve"> continue to </w:t>
      </w:r>
      <w:r w:rsidRPr="00AB4C20">
        <w:rPr>
          <w:rFonts w:asciiTheme="minorHAnsi" w:hAnsiTheme="minorHAnsi"/>
          <w:szCs w:val="32"/>
          <w:u w:val="thick"/>
          <w:shd w:val="clear" w:color="auto" w:fill="FFFF00"/>
        </w:rPr>
        <w:t>cite</w:t>
      </w:r>
      <w:r w:rsidRPr="00AB4C20">
        <w:rPr>
          <w:rFonts w:asciiTheme="minorHAnsi" w:hAnsiTheme="minorHAnsi"/>
          <w:szCs w:val="32"/>
          <w:u w:val="thick"/>
        </w:rPr>
        <w:t xml:space="preserve"> and refer to the </w:t>
      </w:r>
      <w:r w:rsidRPr="00AB4C20">
        <w:rPr>
          <w:rFonts w:asciiTheme="minorHAnsi" w:hAnsiTheme="minorHAnsi"/>
          <w:szCs w:val="32"/>
          <w:u w:val="thick"/>
          <w:shd w:val="clear" w:color="auto" w:fill="FFFF00"/>
        </w:rPr>
        <w:t>eccentric</w:t>
      </w:r>
      <w:r w:rsidRPr="00AB4C20">
        <w:rPr>
          <w:rFonts w:asciiTheme="minorHAnsi" w:hAnsiTheme="minorHAnsi"/>
          <w:szCs w:val="32"/>
          <w:u w:val="thick"/>
        </w:rPr>
        <w:t xml:space="preserve"> and often </w:t>
      </w:r>
      <w:r w:rsidRPr="00AB4C20">
        <w:rPr>
          <w:rFonts w:asciiTheme="minorHAnsi" w:hAnsiTheme="minorHAnsi"/>
          <w:i/>
          <w:iCs/>
          <w:szCs w:val="32"/>
          <w:u w:val="thick"/>
        </w:rPr>
        <w:t>a priori</w:t>
      </w:r>
      <w:r w:rsidRPr="00AB4C20">
        <w:rPr>
          <w:rFonts w:asciiTheme="minorHAnsi" w:hAnsiTheme="minorHAnsi"/>
          <w:szCs w:val="32"/>
          <w:u w:val="thick"/>
        </w:rPr>
        <w:t xml:space="preserve"> </w:t>
      </w:r>
    </w:p>
    <w:p w:rsidR="001B24A7" w:rsidRDefault="001B24A7" w:rsidP="00737D0E">
      <w:pPr>
        <w:rPr>
          <w:rFonts w:asciiTheme="minorHAnsi" w:hAnsiTheme="minorHAnsi"/>
          <w:szCs w:val="32"/>
          <w:u w:val="thick"/>
          <w:shd w:val="clear" w:color="auto" w:fill="FFFF00"/>
        </w:rPr>
      </w:pPr>
    </w:p>
    <w:p w:rsidR="00737D0E" w:rsidRPr="00AB4C20" w:rsidRDefault="00737D0E" w:rsidP="00737D0E">
      <w:pPr>
        <w:rPr>
          <w:rFonts w:asciiTheme="minorHAnsi" w:hAnsiTheme="minorHAnsi"/>
          <w:szCs w:val="32"/>
        </w:rPr>
      </w:pPr>
      <w:proofErr w:type="gramStart"/>
      <w:r w:rsidRPr="00AB4C20">
        <w:rPr>
          <w:rFonts w:asciiTheme="minorHAnsi" w:hAnsiTheme="minorHAnsi"/>
          <w:szCs w:val="32"/>
        </w:rPr>
        <w:t>reason</w:t>
      </w:r>
      <w:proofErr w:type="gramEnd"/>
      <w:r w:rsidRPr="00AB4C20">
        <w:rPr>
          <w:rFonts w:asciiTheme="minorHAnsi" w:hAnsiTheme="minorHAnsi"/>
          <w:szCs w:val="32"/>
        </w:rPr>
        <w:t xml:space="preserve"> to listen to jargon-riddled lectures from philosophers and culture critics with their </w:t>
      </w:r>
      <w:proofErr w:type="spellStart"/>
      <w:r w:rsidRPr="00AB4C20">
        <w:rPr>
          <w:rFonts w:asciiTheme="minorHAnsi" w:hAnsiTheme="minorHAnsi"/>
          <w:szCs w:val="32"/>
        </w:rPr>
        <w:t>snobish</w:t>
      </w:r>
      <w:proofErr w:type="spellEnd"/>
      <w:r w:rsidRPr="00AB4C20">
        <w:rPr>
          <w:rFonts w:asciiTheme="minorHAnsi" w:hAnsiTheme="minorHAnsi"/>
          <w:szCs w:val="32"/>
        </w:rPr>
        <w:t xml:space="preserve"> disrespect for the so-called "managerial class."</w:t>
      </w:r>
    </w:p>
    <w:p w:rsidR="00737D0E" w:rsidRDefault="00737D0E" w:rsidP="00737D0E"/>
    <w:p w:rsidR="00737D0E" w:rsidRDefault="00737D0E" w:rsidP="00737D0E">
      <w:pPr>
        <w:pStyle w:val="tag"/>
        <w:rPr>
          <w:sz w:val="20"/>
        </w:rPr>
      </w:pPr>
      <w:r>
        <w:rPr>
          <w:sz w:val="20"/>
        </w:rPr>
        <w:t>Relying on individual-level strategies fails and guarantees global politics is dominated by violence</w:t>
      </w:r>
    </w:p>
    <w:p w:rsidR="00737D0E" w:rsidRDefault="00737D0E" w:rsidP="00737D0E">
      <w:pPr>
        <w:pStyle w:val="BodyText"/>
        <w:rPr>
          <w:b/>
          <w:bCs/>
          <w:u w:val="thick"/>
        </w:rPr>
      </w:pPr>
      <w:proofErr w:type="spellStart"/>
      <w:r>
        <w:rPr>
          <w:b/>
          <w:bCs/>
          <w:u w:val="thick"/>
        </w:rPr>
        <w:t>Mombiot</w:t>
      </w:r>
      <w:proofErr w:type="spellEnd"/>
      <w:r>
        <w:rPr>
          <w:b/>
          <w:bCs/>
          <w:u w:val="thick"/>
        </w:rPr>
        <w:t xml:space="preserve"> in 4</w:t>
      </w:r>
    </w:p>
    <w:p w:rsidR="00737D0E" w:rsidRDefault="00737D0E" w:rsidP="00737D0E">
      <w:pPr>
        <w:rPr>
          <w:rFonts w:ascii="Times New Roman" w:hAnsi="Times New Roman"/>
        </w:rPr>
      </w:pPr>
      <w:r>
        <w:rPr>
          <w:rFonts w:ascii="Times New Roman" w:hAnsi="Times New Roman"/>
        </w:rPr>
        <w:t xml:space="preserve">George </w:t>
      </w:r>
      <w:proofErr w:type="spellStart"/>
      <w:r>
        <w:rPr>
          <w:rStyle w:val="cite"/>
          <w:b w:val="0"/>
          <w:bCs/>
        </w:rPr>
        <w:t>Monbiot</w:t>
      </w:r>
      <w:proofErr w:type="spellEnd"/>
      <w:r>
        <w:rPr>
          <w:rFonts w:ascii="Times New Roman" w:hAnsi="Times New Roman"/>
        </w:rPr>
        <w:t>, journalist, academic, and political and environmental activist, 20</w:t>
      </w:r>
      <w:r>
        <w:rPr>
          <w:rStyle w:val="cite"/>
          <w:b w:val="0"/>
          <w:bCs/>
        </w:rPr>
        <w:t>04</w:t>
      </w:r>
      <w:r>
        <w:rPr>
          <w:rFonts w:ascii="Times New Roman" w:hAnsi="Times New Roman"/>
        </w:rPr>
        <w:t>, Manifesto for a New World Order, p. 11-13</w:t>
      </w:r>
    </w:p>
    <w:p w:rsidR="00737D0E" w:rsidRDefault="00737D0E" w:rsidP="00737D0E">
      <w:pPr>
        <w:rPr>
          <w:rFonts w:ascii="Times New Roman" w:hAnsi="Times New Roman"/>
        </w:rPr>
      </w:pPr>
    </w:p>
    <w:p w:rsidR="001B24A7" w:rsidRDefault="00737D0E" w:rsidP="001B24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hAnsi="Times New Roman"/>
          <w:u w:val="thick"/>
        </w:rPr>
      </w:pPr>
      <w:r>
        <w:rPr>
          <w:rFonts w:ascii="Times New Roman" w:hAnsi="Times New Roman"/>
          <w:szCs w:val="16"/>
        </w:rPr>
        <w:t xml:space="preserve">The quest for global solutions is difficult and divisive. </w:t>
      </w:r>
    </w:p>
    <w:p w:rsidR="001B24A7" w:rsidRDefault="001B24A7" w:rsidP="001B24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hAnsi="Times New Roman"/>
          <w:u w:val="thick"/>
        </w:rPr>
      </w:pPr>
    </w:p>
    <w:p w:rsidR="001B24A7" w:rsidRDefault="001B24A7" w:rsidP="001B24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hAnsi="Times New Roman"/>
        </w:rPr>
      </w:pPr>
    </w:p>
    <w:p w:rsidR="00737D0E" w:rsidRDefault="00737D0E" w:rsidP="00737D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hAnsi="Times New Roman"/>
          <w:szCs w:val="16"/>
        </w:rPr>
      </w:pPr>
      <w:proofErr w:type="gramStart"/>
      <w:r>
        <w:rPr>
          <w:rFonts w:ascii="Times New Roman" w:hAnsi="Times New Roman"/>
        </w:rPr>
        <w:t>protect</w:t>
      </w:r>
      <w:proofErr w:type="gramEnd"/>
      <w:r>
        <w:rPr>
          <w:rFonts w:ascii="Times New Roman" w:hAnsi="Times New Roman"/>
        </w:rPr>
        <w:t xml:space="preserve"> a coral reef from</w:t>
      </w:r>
      <w:r>
        <w:rPr>
          <w:rFonts w:ascii="Times New Roman" w:hAnsi="Times New Roman"/>
          <w:szCs w:val="16"/>
        </w:rPr>
        <w:t xml:space="preserve"> local </w:t>
      </w:r>
      <w:r>
        <w:rPr>
          <w:rFonts w:ascii="Times New Roman" w:hAnsi="Times New Roman"/>
        </w:rPr>
        <w:t>pollution, if nothing has been done to prevent climate change</w:t>
      </w:r>
      <w:r>
        <w:rPr>
          <w:rFonts w:ascii="Times New Roman" w:hAnsi="Times New Roman"/>
          <w:szCs w:val="16"/>
        </w:rPr>
        <w:t xml:space="preserve"> from destroying the conditions it requires for its survival.</w:t>
      </w:r>
    </w:p>
    <w:p w:rsidR="00737D0E" w:rsidRDefault="00737D0E" w:rsidP="00737D0E"/>
    <w:p w:rsidR="00737D0E" w:rsidRDefault="00737D0E" w:rsidP="00737D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hAnsi="Times New Roman"/>
          <w:b/>
          <w:bCs/>
          <w:szCs w:val="16"/>
        </w:rPr>
      </w:pPr>
      <w:r>
        <w:rPr>
          <w:rFonts w:ascii="Times New Roman" w:hAnsi="Times New Roman"/>
          <w:b/>
          <w:bCs/>
          <w:szCs w:val="16"/>
        </w:rPr>
        <w:t xml:space="preserve">We must change society from </w:t>
      </w:r>
      <w:proofErr w:type="spellStart"/>
      <w:proofErr w:type="gramStart"/>
      <w:r>
        <w:rPr>
          <w:rFonts w:ascii="Times New Roman" w:hAnsi="Times New Roman"/>
          <w:b/>
          <w:bCs/>
          <w:szCs w:val="16"/>
        </w:rPr>
        <w:t>it’s</w:t>
      </w:r>
      <w:proofErr w:type="spellEnd"/>
      <w:proofErr w:type="gramEnd"/>
      <w:r>
        <w:rPr>
          <w:rFonts w:ascii="Times New Roman" w:hAnsi="Times New Roman"/>
          <w:b/>
          <w:bCs/>
          <w:szCs w:val="16"/>
        </w:rPr>
        <w:t xml:space="preserve"> positions of power, nothing will change without changing the larger structures.</w:t>
      </w:r>
    </w:p>
    <w:p w:rsidR="001B24A7" w:rsidRDefault="00737D0E" w:rsidP="00737D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hAnsi="Times New Roman"/>
          <w:u w:val="thick"/>
        </w:rPr>
      </w:pPr>
      <w:proofErr w:type="spellStart"/>
      <w:r>
        <w:rPr>
          <w:rFonts w:ascii="Times New Roman" w:hAnsi="Times New Roman"/>
          <w:b/>
          <w:bCs/>
          <w:u w:val="single"/>
        </w:rPr>
        <w:t>Hershock</w:t>
      </w:r>
      <w:proofErr w:type="spellEnd"/>
      <w:r>
        <w:rPr>
          <w:rFonts w:ascii="Times New Roman" w:hAnsi="Times New Roman"/>
          <w:b/>
          <w:bCs/>
          <w:u w:val="single"/>
        </w:rPr>
        <w:t xml:space="preserve"> in ‘00</w:t>
      </w:r>
      <w:r>
        <w:rPr>
          <w:rFonts w:ascii="Times New Roman" w:hAnsi="Times New Roman"/>
        </w:rPr>
        <w:br/>
        <w:t xml:space="preserve">(Peter D. </w:t>
      </w:r>
      <w:proofErr w:type="spellStart"/>
      <w:r>
        <w:rPr>
          <w:rFonts w:ascii="Times New Roman" w:hAnsi="Times New Roman"/>
        </w:rPr>
        <w:t>Hershock</w:t>
      </w:r>
      <w:proofErr w:type="spellEnd"/>
      <w:r>
        <w:rPr>
          <w:rFonts w:ascii="Times New Roman" w:hAnsi="Times New Roman"/>
        </w:rPr>
        <w:t xml:space="preserve">, Changing the Way Society Changes: Transposing Social Activism into a Dramatic Key, East-West Center Asian Studies Development Program, 25-9-2000, </w:t>
      </w:r>
      <w:hyperlink r:id="rId12" w:tgtFrame="_blank" w:history="1">
        <w:r>
          <w:rPr>
            <w:rStyle w:val="Hyperlink"/>
            <w:rFonts w:ascii="Times New Roman" w:hAnsi="Times New Roman"/>
            <w:color w:val="000000"/>
          </w:rPr>
          <w:t>http://www.buddhismtoday.com/english/sociology/020-changing.htm</w:t>
        </w:r>
      </w:hyperlink>
      <w:r>
        <w:rPr>
          <w:rFonts w:ascii="Times New Roman" w:hAnsi="Times New Roman"/>
          <w:color w:val="000000"/>
        </w:rPr>
        <w:t>)</w:t>
      </w:r>
      <w:r>
        <w:rPr>
          <w:rFonts w:ascii="Times New Roman" w:hAnsi="Times New Roman"/>
          <w:color w:val="000000"/>
        </w:rPr>
        <w:br/>
      </w:r>
      <w:r>
        <w:rPr>
          <w:rFonts w:ascii="Times New Roman" w:hAnsi="Times New Roman"/>
        </w:rPr>
        <w:br/>
        <w:t xml:space="preserve">Andrew </w:t>
      </w:r>
      <w:proofErr w:type="spellStart"/>
      <w:r>
        <w:rPr>
          <w:rFonts w:ascii="Times New Roman" w:hAnsi="Times New Roman"/>
        </w:rPr>
        <w:t>Kimbrell</w:t>
      </w:r>
      <w:proofErr w:type="spellEnd"/>
      <w:r>
        <w:rPr>
          <w:rFonts w:ascii="Times New Roman" w:hAnsi="Times New Roman"/>
        </w:rPr>
        <w:t xml:space="preserve"> (in Mills, 1997, p. 105) has noted that if technology is "the primary engine of social change…you can't promote social change without changing technology." The corollary of this is that </w:t>
      </w:r>
    </w:p>
    <w:p w:rsidR="001B24A7" w:rsidRDefault="001B24A7" w:rsidP="00737D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hAnsi="Times New Roman"/>
          <w:u w:val="thick"/>
        </w:rPr>
      </w:pPr>
    </w:p>
    <w:p w:rsidR="00737D0E" w:rsidRDefault="00737D0E" w:rsidP="00737D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hAnsi="Times New Roman"/>
          <w:szCs w:val="16"/>
        </w:rPr>
      </w:pPr>
      <w:r>
        <w:rPr>
          <w:rFonts w:ascii="Times New Roman" w:hAnsi="Times New Roman"/>
          <w:u w:val="thick"/>
        </w:rPr>
        <w:t xml:space="preserve"> </w:t>
      </w:r>
      <w:proofErr w:type="gramStart"/>
      <w:r>
        <w:rPr>
          <w:rFonts w:ascii="Times New Roman" w:hAnsi="Times New Roman"/>
          <w:u w:val="thick"/>
        </w:rPr>
        <w:t>onward</w:t>
      </w:r>
      <w:proofErr w:type="gramEnd"/>
      <w:r>
        <w:rPr>
          <w:rFonts w:ascii="Times New Roman" w:hAnsi="Times New Roman"/>
          <w:u w:val="thick"/>
        </w:rPr>
        <w:t xml:space="preserve"> to be exercises in mere wishful thinking</w:t>
      </w:r>
      <w:r>
        <w:rPr>
          <w:rFonts w:ascii="Times New Roman" w:hAnsi="Times New Roman"/>
        </w:rPr>
        <w:t>.</w:t>
      </w:r>
    </w:p>
    <w:p w:rsidR="00737D0E" w:rsidRDefault="00737D0E" w:rsidP="00737D0E">
      <w:pPr>
        <w:tabs>
          <w:tab w:val="left" w:pos="4480"/>
        </w:tabs>
        <w:rPr>
          <w:rFonts w:ascii="Times New Roman" w:hAnsi="Times New Roman"/>
          <w:szCs w:val="20"/>
        </w:rPr>
      </w:pPr>
      <w:r>
        <w:rPr>
          <w:rFonts w:ascii="Times New Roman" w:hAnsi="Times New Roman"/>
        </w:rPr>
        <w:tab/>
      </w:r>
    </w:p>
    <w:p w:rsidR="001B24A7" w:rsidRDefault="001B24A7" w:rsidP="001B24A7">
      <w:pPr>
        <w:pStyle w:val="Heading1"/>
      </w:pPr>
      <w:r>
        <w:t xml:space="preserve">2nc/1nr </w:t>
      </w:r>
    </w:p>
    <w:p w:rsidR="001B24A7" w:rsidRDefault="001B24A7" w:rsidP="001B24A7"/>
    <w:p w:rsidR="001B24A7" w:rsidRPr="001B24A7" w:rsidRDefault="001B24A7" w:rsidP="001B24A7">
      <w:r>
        <w:t xml:space="preserve">Extension of framework </w:t>
      </w:r>
      <w:bookmarkStart w:id="0" w:name="_GoBack"/>
      <w:bookmarkEnd w:id="0"/>
    </w:p>
    <w:p w:rsidR="001B24A7" w:rsidRDefault="001B24A7" w:rsidP="001B24A7"/>
    <w:p w:rsidR="001B24A7" w:rsidRPr="001B24A7" w:rsidRDefault="001B24A7" w:rsidP="001B24A7"/>
    <w:sectPr w:rsidR="001B24A7" w:rsidRPr="001B24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4F3" w:rsidRDefault="008044F3" w:rsidP="005F5576">
      <w:r>
        <w:separator/>
      </w:r>
    </w:p>
  </w:endnote>
  <w:endnote w:type="continuationSeparator" w:id="0">
    <w:p w:rsidR="008044F3" w:rsidRDefault="008044F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4F3" w:rsidRDefault="008044F3" w:rsidP="005F5576">
      <w:r>
        <w:separator/>
      </w:r>
    </w:p>
  </w:footnote>
  <w:footnote w:type="continuationSeparator" w:id="0">
    <w:p w:rsidR="008044F3" w:rsidRDefault="008044F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1F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4A7"/>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4FA9"/>
    <w:rsid w:val="002C571D"/>
    <w:rsid w:val="002C5772"/>
    <w:rsid w:val="002D0374"/>
    <w:rsid w:val="002D2946"/>
    <w:rsid w:val="002D529E"/>
    <w:rsid w:val="002D6BD6"/>
    <w:rsid w:val="002E4DD9"/>
    <w:rsid w:val="002F0314"/>
    <w:rsid w:val="002F5AD5"/>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5D42"/>
    <w:rsid w:val="004672C7"/>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7D0E"/>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651"/>
    <w:rsid w:val="007A3D06"/>
    <w:rsid w:val="007B383B"/>
    <w:rsid w:val="007C350D"/>
    <w:rsid w:val="007C3689"/>
    <w:rsid w:val="007C3C9B"/>
    <w:rsid w:val="007D3012"/>
    <w:rsid w:val="007D65A7"/>
    <w:rsid w:val="007E3F59"/>
    <w:rsid w:val="007E5043"/>
    <w:rsid w:val="007E5183"/>
    <w:rsid w:val="008044F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699C"/>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462E"/>
    <w:rsid w:val="009D318C"/>
    <w:rsid w:val="00A10B8B"/>
    <w:rsid w:val="00A20D78"/>
    <w:rsid w:val="00A2174A"/>
    <w:rsid w:val="00A2304A"/>
    <w:rsid w:val="00A26733"/>
    <w:rsid w:val="00A3595E"/>
    <w:rsid w:val="00A46C7F"/>
    <w:rsid w:val="00A66BED"/>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12CD"/>
    <w:rsid w:val="00BE2408"/>
    <w:rsid w:val="00BE3EC6"/>
    <w:rsid w:val="00BE5BEB"/>
    <w:rsid w:val="00BE6528"/>
    <w:rsid w:val="00C0087A"/>
    <w:rsid w:val="00C05F9D"/>
    <w:rsid w:val="00C27212"/>
    <w:rsid w:val="00C34185"/>
    <w:rsid w:val="00C42DD6"/>
    <w:rsid w:val="00C45E25"/>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4B60"/>
    <w:rsid w:val="00E27BC7"/>
    <w:rsid w:val="00E341FE"/>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24A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B24A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B24A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w:basedOn w:val="Normal"/>
    <w:next w:val="Normal"/>
    <w:link w:val="Heading3Char"/>
    <w:uiPriority w:val="3"/>
    <w:qFormat/>
    <w:rsid w:val="001B24A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1B24A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B24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24A7"/>
  </w:style>
  <w:style w:type="character" w:customStyle="1" w:styleId="Heading1Char">
    <w:name w:val="Heading 1 Char"/>
    <w:aliases w:val="Pocket Char"/>
    <w:basedOn w:val="DefaultParagraphFont"/>
    <w:link w:val="Heading1"/>
    <w:uiPriority w:val="1"/>
    <w:rsid w:val="001B24A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B24A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1B24A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B24A7"/>
    <w:rPr>
      <w:b/>
      <w:bCs/>
    </w:rPr>
  </w:style>
  <w:style w:type="character" w:customStyle="1" w:styleId="Heading3Char">
    <w:name w:val="Heading 3 Char"/>
    <w:aliases w:val="Block Char,Heading 3 Char Char Char,Char Char, Char Char"/>
    <w:basedOn w:val="DefaultParagraphFont"/>
    <w:link w:val="Heading3"/>
    <w:uiPriority w:val="3"/>
    <w:rsid w:val="001B24A7"/>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Intense Emphasis3,Intense Emphasis4,Intense Emphasis5,Intense Emphasis11,HHeading 3 + 12 pt,Intense Emphasis111,c,ci"/>
    <w:basedOn w:val="DefaultParagraphFont"/>
    <w:uiPriority w:val="6"/>
    <w:qFormat/>
    <w:rsid w:val="001B24A7"/>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1B24A7"/>
    <w:rPr>
      <w:b/>
      <w:bCs/>
      <w:sz w:val="26"/>
      <w:u w:val="none"/>
    </w:rPr>
  </w:style>
  <w:style w:type="paragraph" w:styleId="Header">
    <w:name w:val="header"/>
    <w:basedOn w:val="Normal"/>
    <w:link w:val="HeaderChar"/>
    <w:uiPriority w:val="99"/>
    <w:semiHidden/>
    <w:rsid w:val="001B24A7"/>
    <w:pPr>
      <w:tabs>
        <w:tab w:val="center" w:pos="4680"/>
        <w:tab w:val="right" w:pos="9360"/>
      </w:tabs>
    </w:pPr>
  </w:style>
  <w:style w:type="character" w:customStyle="1" w:styleId="HeaderChar">
    <w:name w:val="Header Char"/>
    <w:basedOn w:val="DefaultParagraphFont"/>
    <w:link w:val="Header"/>
    <w:uiPriority w:val="99"/>
    <w:semiHidden/>
    <w:rsid w:val="001B24A7"/>
    <w:rPr>
      <w:rFonts w:ascii="Calibri" w:hAnsi="Calibri" w:cs="Calibri"/>
    </w:rPr>
  </w:style>
  <w:style w:type="paragraph" w:styleId="Footer">
    <w:name w:val="footer"/>
    <w:basedOn w:val="Normal"/>
    <w:link w:val="FooterChar"/>
    <w:uiPriority w:val="99"/>
    <w:semiHidden/>
    <w:rsid w:val="001B24A7"/>
    <w:pPr>
      <w:tabs>
        <w:tab w:val="center" w:pos="4680"/>
        <w:tab w:val="right" w:pos="9360"/>
      </w:tabs>
    </w:pPr>
  </w:style>
  <w:style w:type="character" w:customStyle="1" w:styleId="FooterChar">
    <w:name w:val="Footer Char"/>
    <w:basedOn w:val="DefaultParagraphFont"/>
    <w:link w:val="Footer"/>
    <w:uiPriority w:val="99"/>
    <w:semiHidden/>
    <w:rsid w:val="001B24A7"/>
    <w:rPr>
      <w:rFonts w:ascii="Calibri" w:hAnsi="Calibri" w:cs="Calibri"/>
    </w:rPr>
  </w:style>
  <w:style w:type="character" w:styleId="Hyperlink">
    <w:name w:val="Hyperlink"/>
    <w:basedOn w:val="DefaultParagraphFont"/>
    <w:uiPriority w:val="99"/>
    <w:semiHidden/>
    <w:rsid w:val="001B24A7"/>
    <w:rPr>
      <w:color w:val="auto"/>
      <w:u w:val="none"/>
    </w:rPr>
  </w:style>
  <w:style w:type="character" w:styleId="FollowedHyperlink">
    <w:name w:val="FollowedHyperlink"/>
    <w:basedOn w:val="DefaultParagraphFont"/>
    <w:uiPriority w:val="99"/>
    <w:semiHidden/>
    <w:rsid w:val="001B24A7"/>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1B24A7"/>
    <w:rPr>
      <w:rFonts w:ascii="Calibri" w:eastAsiaTheme="majorEastAsia" w:hAnsi="Calibri" w:cstheme="majorBidi"/>
      <w:b/>
      <w:bCs/>
      <w:iCs/>
      <w:sz w:val="26"/>
    </w:rPr>
  </w:style>
  <w:style w:type="character" w:customStyle="1" w:styleId="apple-style-span">
    <w:name w:val="apple-style-span"/>
    <w:basedOn w:val="DefaultParagraphFont"/>
    <w:rsid w:val="00A2304A"/>
  </w:style>
  <w:style w:type="character" w:customStyle="1" w:styleId="apple-converted-space">
    <w:name w:val="apple-converted-space"/>
    <w:basedOn w:val="DefaultParagraphFont"/>
    <w:rsid w:val="00A2304A"/>
  </w:style>
  <w:style w:type="paragraph" w:customStyle="1" w:styleId="StyleStyle49pt">
    <w:name w:val="Style Style4 + 9 pt"/>
    <w:basedOn w:val="Normal"/>
    <w:link w:val="StyleStyle49ptChar"/>
    <w:rsid w:val="00A2304A"/>
    <w:pPr>
      <w:tabs>
        <w:tab w:val="num" w:pos="360"/>
      </w:tabs>
      <w:ind w:left="360" w:hanging="360"/>
    </w:pPr>
    <w:rPr>
      <w:rFonts w:ascii="Garamond" w:eastAsia="Times New Roman" w:hAnsi="Garamond" w:cs="Times New Roman"/>
      <w:szCs w:val="24"/>
      <w:u w:val="single"/>
    </w:rPr>
  </w:style>
  <w:style w:type="character" w:customStyle="1" w:styleId="StyleStyle49ptChar">
    <w:name w:val="Style Style4 + 9 pt Char"/>
    <w:link w:val="StyleStyle49pt"/>
    <w:rsid w:val="00A2304A"/>
    <w:rPr>
      <w:rFonts w:ascii="Garamond" w:eastAsia="Times New Roman" w:hAnsi="Garamond" w:cs="Times New Roman"/>
      <w:szCs w:val="24"/>
      <w:u w:val="single"/>
    </w:rPr>
  </w:style>
  <w:style w:type="character" w:customStyle="1" w:styleId="Style9ptUnderline">
    <w:name w:val="Style 9 pt Underline"/>
    <w:rsid w:val="00A2304A"/>
    <w:rPr>
      <w:sz w:val="20"/>
      <w:u w:val="single"/>
    </w:rPr>
  </w:style>
  <w:style w:type="character" w:customStyle="1" w:styleId="StyleTimesNewRoman9pt">
    <w:name w:val="Style Times New Roman 9 pt"/>
    <w:rsid w:val="00A2304A"/>
    <w:rPr>
      <w:sz w:val="20"/>
    </w:rPr>
  </w:style>
  <w:style w:type="paragraph" w:customStyle="1" w:styleId="StyleStyle49ptBold">
    <w:name w:val="Style Style4 + 9 pt Bold"/>
    <w:basedOn w:val="Normal"/>
    <w:link w:val="StyleStyle49ptBoldChar"/>
    <w:rsid w:val="00A2304A"/>
    <w:pPr>
      <w:tabs>
        <w:tab w:val="num" w:pos="360"/>
      </w:tabs>
      <w:ind w:left="360" w:hanging="360"/>
    </w:pPr>
    <w:rPr>
      <w:rFonts w:ascii="Georgia" w:eastAsia="Times New Roman" w:hAnsi="Georgia" w:cs="Times New Roman"/>
      <w:b/>
      <w:bCs/>
      <w:szCs w:val="24"/>
      <w:u w:val="single"/>
    </w:rPr>
  </w:style>
  <w:style w:type="character" w:customStyle="1" w:styleId="StyleStyle49ptBoldChar">
    <w:name w:val="Style Style4 + 9 pt Bold Char"/>
    <w:link w:val="StyleStyle49ptBold"/>
    <w:rsid w:val="00A2304A"/>
    <w:rPr>
      <w:rFonts w:ascii="Georgia" w:eastAsia="Times New Roman" w:hAnsi="Georgia" w:cs="Times New Roman"/>
      <w:b/>
      <w:bCs/>
      <w:szCs w:val="24"/>
      <w:u w:val="single"/>
    </w:rPr>
  </w:style>
  <w:style w:type="character" w:customStyle="1" w:styleId="Style9ptBoldUnderline">
    <w:name w:val="Style 9 pt Bold Underline"/>
    <w:rsid w:val="00A2304A"/>
    <w:rPr>
      <w:rFonts w:ascii="Georgia" w:hAnsi="Georgia"/>
      <w:bCs/>
      <w:sz w:val="22"/>
      <w:u w:val="single"/>
    </w:rPr>
  </w:style>
  <w:style w:type="character" w:customStyle="1" w:styleId="Style9ptItalicUnderline">
    <w:name w:val="Style 9 pt Italic Underline"/>
    <w:rsid w:val="00A2304A"/>
    <w:rPr>
      <w:i/>
      <w:iCs/>
      <w:sz w:val="20"/>
      <w:u w:val="single"/>
    </w:rPr>
  </w:style>
  <w:style w:type="paragraph" w:styleId="BodyText">
    <w:name w:val="Body Text"/>
    <w:basedOn w:val="Normal"/>
    <w:link w:val="BodyTextChar"/>
    <w:semiHidden/>
    <w:unhideWhenUsed/>
    <w:rsid w:val="00737D0E"/>
    <w:pPr>
      <w:widowControl w:val="0"/>
      <w:suppressAutoHyphens/>
    </w:pPr>
    <w:rPr>
      <w:rFonts w:ascii="Times New Roman" w:eastAsia="Times New Roman" w:hAnsi="Times New Roman" w:cs="Times New Roman"/>
      <w:sz w:val="20"/>
      <w:szCs w:val="24"/>
    </w:rPr>
  </w:style>
  <w:style w:type="character" w:customStyle="1" w:styleId="BodyTextChar">
    <w:name w:val="Body Text Char"/>
    <w:basedOn w:val="DefaultParagraphFont"/>
    <w:link w:val="BodyText"/>
    <w:semiHidden/>
    <w:rsid w:val="00737D0E"/>
    <w:rPr>
      <w:rFonts w:ascii="Times New Roman" w:eastAsia="Times New Roman" w:hAnsi="Times New Roman" w:cs="Times New Roman"/>
      <w:sz w:val="20"/>
      <w:szCs w:val="24"/>
    </w:rPr>
  </w:style>
  <w:style w:type="paragraph" w:customStyle="1" w:styleId="tag">
    <w:name w:val="tag"/>
    <w:basedOn w:val="Normal"/>
    <w:rsid w:val="00737D0E"/>
    <w:pPr>
      <w:widowControl w:val="0"/>
      <w:suppressAutoHyphens/>
    </w:pPr>
    <w:rPr>
      <w:rFonts w:ascii="Times New Roman" w:eastAsia="Times New Roman" w:hAnsi="Times New Roman" w:cs="Times New Roman"/>
      <w:b/>
      <w:sz w:val="24"/>
      <w:szCs w:val="24"/>
      <w:lang w:eastAsia="ar-SA"/>
    </w:rPr>
  </w:style>
  <w:style w:type="character" w:customStyle="1" w:styleId="cite">
    <w:name w:val="cite"/>
    <w:basedOn w:val="DefaultParagraphFont"/>
    <w:rsid w:val="00737D0E"/>
    <w:rPr>
      <w:rFonts w:ascii="Times New Roman" w:hAnsi="Times New Roman" w:cs="Times New Roman" w:hint="default"/>
      <w:b/>
      <w:bCs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24A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B24A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B24A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w:basedOn w:val="Normal"/>
    <w:next w:val="Normal"/>
    <w:link w:val="Heading3Char"/>
    <w:uiPriority w:val="3"/>
    <w:qFormat/>
    <w:rsid w:val="001B24A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1B24A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B24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24A7"/>
  </w:style>
  <w:style w:type="character" w:customStyle="1" w:styleId="Heading1Char">
    <w:name w:val="Heading 1 Char"/>
    <w:aliases w:val="Pocket Char"/>
    <w:basedOn w:val="DefaultParagraphFont"/>
    <w:link w:val="Heading1"/>
    <w:uiPriority w:val="1"/>
    <w:rsid w:val="001B24A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B24A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1B24A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B24A7"/>
    <w:rPr>
      <w:b/>
      <w:bCs/>
    </w:rPr>
  </w:style>
  <w:style w:type="character" w:customStyle="1" w:styleId="Heading3Char">
    <w:name w:val="Heading 3 Char"/>
    <w:aliases w:val="Block Char,Heading 3 Char Char Char,Char Char, Char Char"/>
    <w:basedOn w:val="DefaultParagraphFont"/>
    <w:link w:val="Heading3"/>
    <w:uiPriority w:val="3"/>
    <w:rsid w:val="001B24A7"/>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Intense Emphasis3,Intense Emphasis4,Intense Emphasis5,Intense Emphasis11,HHeading 3 + 12 pt,Intense Emphasis111,c,ci"/>
    <w:basedOn w:val="DefaultParagraphFont"/>
    <w:uiPriority w:val="6"/>
    <w:qFormat/>
    <w:rsid w:val="001B24A7"/>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1B24A7"/>
    <w:rPr>
      <w:b/>
      <w:bCs/>
      <w:sz w:val="26"/>
      <w:u w:val="none"/>
    </w:rPr>
  </w:style>
  <w:style w:type="paragraph" w:styleId="Header">
    <w:name w:val="header"/>
    <w:basedOn w:val="Normal"/>
    <w:link w:val="HeaderChar"/>
    <w:uiPriority w:val="99"/>
    <w:semiHidden/>
    <w:rsid w:val="001B24A7"/>
    <w:pPr>
      <w:tabs>
        <w:tab w:val="center" w:pos="4680"/>
        <w:tab w:val="right" w:pos="9360"/>
      </w:tabs>
    </w:pPr>
  </w:style>
  <w:style w:type="character" w:customStyle="1" w:styleId="HeaderChar">
    <w:name w:val="Header Char"/>
    <w:basedOn w:val="DefaultParagraphFont"/>
    <w:link w:val="Header"/>
    <w:uiPriority w:val="99"/>
    <w:semiHidden/>
    <w:rsid w:val="001B24A7"/>
    <w:rPr>
      <w:rFonts w:ascii="Calibri" w:hAnsi="Calibri" w:cs="Calibri"/>
    </w:rPr>
  </w:style>
  <w:style w:type="paragraph" w:styleId="Footer">
    <w:name w:val="footer"/>
    <w:basedOn w:val="Normal"/>
    <w:link w:val="FooterChar"/>
    <w:uiPriority w:val="99"/>
    <w:semiHidden/>
    <w:rsid w:val="001B24A7"/>
    <w:pPr>
      <w:tabs>
        <w:tab w:val="center" w:pos="4680"/>
        <w:tab w:val="right" w:pos="9360"/>
      </w:tabs>
    </w:pPr>
  </w:style>
  <w:style w:type="character" w:customStyle="1" w:styleId="FooterChar">
    <w:name w:val="Footer Char"/>
    <w:basedOn w:val="DefaultParagraphFont"/>
    <w:link w:val="Footer"/>
    <w:uiPriority w:val="99"/>
    <w:semiHidden/>
    <w:rsid w:val="001B24A7"/>
    <w:rPr>
      <w:rFonts w:ascii="Calibri" w:hAnsi="Calibri" w:cs="Calibri"/>
    </w:rPr>
  </w:style>
  <w:style w:type="character" w:styleId="Hyperlink">
    <w:name w:val="Hyperlink"/>
    <w:basedOn w:val="DefaultParagraphFont"/>
    <w:uiPriority w:val="99"/>
    <w:semiHidden/>
    <w:rsid w:val="001B24A7"/>
    <w:rPr>
      <w:color w:val="auto"/>
      <w:u w:val="none"/>
    </w:rPr>
  </w:style>
  <w:style w:type="character" w:styleId="FollowedHyperlink">
    <w:name w:val="FollowedHyperlink"/>
    <w:basedOn w:val="DefaultParagraphFont"/>
    <w:uiPriority w:val="99"/>
    <w:semiHidden/>
    <w:rsid w:val="001B24A7"/>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1B24A7"/>
    <w:rPr>
      <w:rFonts w:ascii="Calibri" w:eastAsiaTheme="majorEastAsia" w:hAnsi="Calibri" w:cstheme="majorBidi"/>
      <w:b/>
      <w:bCs/>
      <w:iCs/>
      <w:sz w:val="26"/>
    </w:rPr>
  </w:style>
  <w:style w:type="character" w:customStyle="1" w:styleId="apple-style-span">
    <w:name w:val="apple-style-span"/>
    <w:basedOn w:val="DefaultParagraphFont"/>
    <w:rsid w:val="00A2304A"/>
  </w:style>
  <w:style w:type="character" w:customStyle="1" w:styleId="apple-converted-space">
    <w:name w:val="apple-converted-space"/>
    <w:basedOn w:val="DefaultParagraphFont"/>
    <w:rsid w:val="00A2304A"/>
  </w:style>
  <w:style w:type="paragraph" w:customStyle="1" w:styleId="StyleStyle49pt">
    <w:name w:val="Style Style4 + 9 pt"/>
    <w:basedOn w:val="Normal"/>
    <w:link w:val="StyleStyle49ptChar"/>
    <w:rsid w:val="00A2304A"/>
    <w:pPr>
      <w:tabs>
        <w:tab w:val="num" w:pos="360"/>
      </w:tabs>
      <w:ind w:left="360" w:hanging="360"/>
    </w:pPr>
    <w:rPr>
      <w:rFonts w:ascii="Garamond" w:eastAsia="Times New Roman" w:hAnsi="Garamond" w:cs="Times New Roman"/>
      <w:szCs w:val="24"/>
      <w:u w:val="single"/>
    </w:rPr>
  </w:style>
  <w:style w:type="character" w:customStyle="1" w:styleId="StyleStyle49ptChar">
    <w:name w:val="Style Style4 + 9 pt Char"/>
    <w:link w:val="StyleStyle49pt"/>
    <w:rsid w:val="00A2304A"/>
    <w:rPr>
      <w:rFonts w:ascii="Garamond" w:eastAsia="Times New Roman" w:hAnsi="Garamond" w:cs="Times New Roman"/>
      <w:szCs w:val="24"/>
      <w:u w:val="single"/>
    </w:rPr>
  </w:style>
  <w:style w:type="character" w:customStyle="1" w:styleId="Style9ptUnderline">
    <w:name w:val="Style 9 pt Underline"/>
    <w:rsid w:val="00A2304A"/>
    <w:rPr>
      <w:sz w:val="20"/>
      <w:u w:val="single"/>
    </w:rPr>
  </w:style>
  <w:style w:type="character" w:customStyle="1" w:styleId="StyleTimesNewRoman9pt">
    <w:name w:val="Style Times New Roman 9 pt"/>
    <w:rsid w:val="00A2304A"/>
    <w:rPr>
      <w:sz w:val="20"/>
    </w:rPr>
  </w:style>
  <w:style w:type="paragraph" w:customStyle="1" w:styleId="StyleStyle49ptBold">
    <w:name w:val="Style Style4 + 9 pt Bold"/>
    <w:basedOn w:val="Normal"/>
    <w:link w:val="StyleStyle49ptBoldChar"/>
    <w:rsid w:val="00A2304A"/>
    <w:pPr>
      <w:tabs>
        <w:tab w:val="num" w:pos="360"/>
      </w:tabs>
      <w:ind w:left="360" w:hanging="360"/>
    </w:pPr>
    <w:rPr>
      <w:rFonts w:ascii="Georgia" w:eastAsia="Times New Roman" w:hAnsi="Georgia" w:cs="Times New Roman"/>
      <w:b/>
      <w:bCs/>
      <w:szCs w:val="24"/>
      <w:u w:val="single"/>
    </w:rPr>
  </w:style>
  <w:style w:type="character" w:customStyle="1" w:styleId="StyleStyle49ptBoldChar">
    <w:name w:val="Style Style4 + 9 pt Bold Char"/>
    <w:link w:val="StyleStyle49ptBold"/>
    <w:rsid w:val="00A2304A"/>
    <w:rPr>
      <w:rFonts w:ascii="Georgia" w:eastAsia="Times New Roman" w:hAnsi="Georgia" w:cs="Times New Roman"/>
      <w:b/>
      <w:bCs/>
      <w:szCs w:val="24"/>
      <w:u w:val="single"/>
    </w:rPr>
  </w:style>
  <w:style w:type="character" w:customStyle="1" w:styleId="Style9ptBoldUnderline">
    <w:name w:val="Style 9 pt Bold Underline"/>
    <w:rsid w:val="00A2304A"/>
    <w:rPr>
      <w:rFonts w:ascii="Georgia" w:hAnsi="Georgia"/>
      <w:bCs/>
      <w:sz w:val="22"/>
      <w:u w:val="single"/>
    </w:rPr>
  </w:style>
  <w:style w:type="character" w:customStyle="1" w:styleId="Style9ptItalicUnderline">
    <w:name w:val="Style 9 pt Italic Underline"/>
    <w:rsid w:val="00A2304A"/>
    <w:rPr>
      <w:i/>
      <w:iCs/>
      <w:sz w:val="20"/>
      <w:u w:val="single"/>
    </w:rPr>
  </w:style>
  <w:style w:type="paragraph" w:styleId="BodyText">
    <w:name w:val="Body Text"/>
    <w:basedOn w:val="Normal"/>
    <w:link w:val="BodyTextChar"/>
    <w:semiHidden/>
    <w:unhideWhenUsed/>
    <w:rsid w:val="00737D0E"/>
    <w:pPr>
      <w:widowControl w:val="0"/>
      <w:suppressAutoHyphens/>
    </w:pPr>
    <w:rPr>
      <w:rFonts w:ascii="Times New Roman" w:eastAsia="Times New Roman" w:hAnsi="Times New Roman" w:cs="Times New Roman"/>
      <w:sz w:val="20"/>
      <w:szCs w:val="24"/>
    </w:rPr>
  </w:style>
  <w:style w:type="character" w:customStyle="1" w:styleId="BodyTextChar">
    <w:name w:val="Body Text Char"/>
    <w:basedOn w:val="DefaultParagraphFont"/>
    <w:link w:val="BodyText"/>
    <w:semiHidden/>
    <w:rsid w:val="00737D0E"/>
    <w:rPr>
      <w:rFonts w:ascii="Times New Roman" w:eastAsia="Times New Roman" w:hAnsi="Times New Roman" w:cs="Times New Roman"/>
      <w:sz w:val="20"/>
      <w:szCs w:val="24"/>
    </w:rPr>
  </w:style>
  <w:style w:type="paragraph" w:customStyle="1" w:styleId="tag">
    <w:name w:val="tag"/>
    <w:basedOn w:val="Normal"/>
    <w:rsid w:val="00737D0E"/>
    <w:pPr>
      <w:widowControl w:val="0"/>
      <w:suppressAutoHyphens/>
    </w:pPr>
    <w:rPr>
      <w:rFonts w:ascii="Times New Roman" w:eastAsia="Times New Roman" w:hAnsi="Times New Roman" w:cs="Times New Roman"/>
      <w:b/>
      <w:sz w:val="24"/>
      <w:szCs w:val="24"/>
      <w:lang w:eastAsia="ar-SA"/>
    </w:rPr>
  </w:style>
  <w:style w:type="character" w:customStyle="1" w:styleId="cite">
    <w:name w:val="cite"/>
    <w:basedOn w:val="DefaultParagraphFont"/>
    <w:rsid w:val="00737D0E"/>
    <w:rPr>
      <w:rFonts w:ascii="Times New Roman" w:hAnsi="Times New Roman" w:cs="Times New Roman" w:hint="default"/>
      <w:b/>
      <w:bC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uddhismtoday.com/english/sociology/020-changing.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questia.com/library/1G1-227945957/examining-education-for-latinas-os-in-chicago-a-crt-latcrit"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Mils</dc:creator>
  <cp:lastModifiedBy>Mils</cp:lastModifiedBy>
  <cp:revision>2</cp:revision>
  <dcterms:created xsi:type="dcterms:W3CDTF">2013-09-25T00:26:00Z</dcterms:created>
  <dcterms:modified xsi:type="dcterms:W3CDTF">2013-09-25T00:26:00Z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