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AF0" w:rsidRDefault="009B5AF0" w:rsidP="009B5AF0">
      <w:pPr>
        <w:pStyle w:val="Heading2"/>
      </w:pPr>
      <w:r>
        <w:t>Plan Text</w:t>
      </w:r>
    </w:p>
    <w:p w:rsidR="009B5AF0" w:rsidRPr="009B5AF0" w:rsidRDefault="009B5AF0" w:rsidP="009B5AF0">
      <w:pPr>
        <w:pStyle w:val="Heading4"/>
        <w:rPr>
          <w:sz w:val="20"/>
        </w:rPr>
      </w:pPr>
      <w:r w:rsidRPr="009B5AF0">
        <w:rPr>
          <w:sz w:val="20"/>
        </w:rPr>
        <w:t>Text: The United States federal government should normalize its trade relations with the Republic of Cuba.</w:t>
      </w:r>
    </w:p>
    <w:p w:rsidR="009B5AF0" w:rsidRDefault="009B5AF0" w:rsidP="009B5AF0">
      <w:pPr>
        <w:pStyle w:val="Heading3"/>
      </w:pPr>
      <w:r>
        <w:lastRenderedPageBreak/>
        <w:t>Soft Power</w:t>
      </w:r>
    </w:p>
    <w:p w:rsidR="009B5AF0" w:rsidRPr="009B5AF0" w:rsidRDefault="009B5AF0" w:rsidP="009B5AF0">
      <w:pPr>
        <w:pStyle w:val="Heading4"/>
        <w:rPr>
          <w:sz w:val="20"/>
        </w:rPr>
      </w:pPr>
      <w:r w:rsidRPr="009B5AF0">
        <w:rPr>
          <w:sz w:val="20"/>
        </w:rPr>
        <w:t>Contention One is Soft Power:</w:t>
      </w:r>
    </w:p>
    <w:p w:rsidR="009B5AF0" w:rsidRPr="009B5AF0" w:rsidRDefault="009B5AF0" w:rsidP="009B5AF0">
      <w:pPr>
        <w:pStyle w:val="Heading4"/>
        <w:rPr>
          <w:sz w:val="20"/>
        </w:rPr>
      </w:pPr>
      <w:r w:rsidRPr="009B5AF0">
        <w:rPr>
          <w:sz w:val="20"/>
        </w:rPr>
        <w:t>The embargo kills US legitimacy—promotes backlash to unilateral sanctions and concedes to anti-American movements</w:t>
      </w:r>
    </w:p>
    <w:p w:rsidR="009B5AF0" w:rsidRPr="0060454A" w:rsidRDefault="009B5AF0" w:rsidP="009B5AF0">
      <w:r w:rsidRPr="009B5AF0">
        <w:rPr>
          <w:rStyle w:val="AuthorYear"/>
          <w:sz w:val="16"/>
        </w:rPr>
        <w:t>Perez 10</w:t>
      </w:r>
      <w:r w:rsidRPr="0060454A">
        <w:t xml:space="preserve"> </w:t>
      </w:r>
      <w:r w:rsidRPr="0060454A">
        <w:softHyphen/>
        <w:t>– JD, Yale Law (David, “America's Cuba Policy: The Way Forward: A Policy Recommendation for the U.S. State Department” 13 H</w:t>
      </w:r>
      <w:r>
        <w:t>arv. Latino L. Rev. 187</w:t>
      </w:r>
      <w:r w:rsidRPr="0060454A">
        <w:t>)</w:t>
      </w:r>
      <w:bookmarkStart w:id="0" w:name="_GoBack"/>
      <w:bookmarkEnd w:id="0"/>
    </w:p>
    <w:p w:rsidR="009B5AF0" w:rsidRDefault="009B5AF0" w:rsidP="009B5AF0">
      <w:r w:rsidRPr="009B5AF0">
        <w:t xml:space="preserve">As the global financial crisis begins to negatively affect Cuba's state-benefactors (particularly </w:t>
      </w:r>
    </w:p>
    <w:p w:rsidR="009B5AF0" w:rsidRDefault="009B5AF0" w:rsidP="009B5AF0">
      <w:r>
        <w:t>AND</w:t>
      </w:r>
    </w:p>
    <w:p w:rsidR="009B5AF0" w:rsidRPr="009B5AF0" w:rsidRDefault="009B5AF0" w:rsidP="009B5AF0">
      <w:r w:rsidRPr="009B5AF0">
        <w:t>interest in one day seeing a free and open society flourish in Cuba.</w:t>
      </w:r>
    </w:p>
    <w:p w:rsidR="009B5AF0" w:rsidRPr="009B5AF0" w:rsidRDefault="009B5AF0" w:rsidP="009B5AF0">
      <w:pPr>
        <w:pStyle w:val="Heading4"/>
        <w:rPr>
          <w:rStyle w:val="StyleStyleBold12pt"/>
          <w:b w:val="0"/>
          <w:sz w:val="20"/>
        </w:rPr>
      </w:pPr>
      <w:r w:rsidRPr="009B5AF0">
        <w:rPr>
          <w:rStyle w:val="StyleStyleBold12pt"/>
          <w:sz w:val="20"/>
        </w:rPr>
        <w:t>Lifting the embargo demonstrates a commitment to reciprocal concessions and soft power</w:t>
      </w:r>
    </w:p>
    <w:p w:rsidR="009B5AF0" w:rsidRPr="00C016E0" w:rsidRDefault="009B5AF0" w:rsidP="009B5AF0">
      <w:r w:rsidRPr="009B5AF0">
        <w:rPr>
          <w:rStyle w:val="AuthorYear"/>
          <w:sz w:val="16"/>
        </w:rPr>
        <w:t>Hinderdael 11</w:t>
      </w:r>
      <w:r w:rsidRPr="00C016E0">
        <w:t xml:space="preserve"> (Klaas, M.A. candidate at SAIS Bologna Center, concentrating in American Foreign Policy and Energy, Resources, and Environment, “Breaking the Logjam: Obama's Cuba Policy and a Guideline for Improved Leadership”, 6/11/2011, http://bcjournal.org/volume-14/breaking-the-logjam.html?printerFriendly=true)</w:t>
      </w:r>
    </w:p>
    <w:p w:rsidR="009B5AF0" w:rsidRDefault="009B5AF0" w:rsidP="009B5AF0">
      <w:r w:rsidRPr="009B5AF0">
        <w:t xml:space="preserve">The two countries’ histories have long been intertwined, particularly after the Monroe Doctrine of </w:t>
      </w:r>
    </w:p>
    <w:p w:rsidR="009B5AF0" w:rsidRDefault="009B5AF0" w:rsidP="009B5AF0">
      <w:r>
        <w:t>AND</w:t>
      </w:r>
    </w:p>
    <w:p w:rsidR="009B5AF0" w:rsidRPr="009B5AF0" w:rsidRDefault="009B5AF0" w:rsidP="009B5AF0">
      <w:r w:rsidRPr="009B5AF0">
        <w:t>truly willing to extend his hand once America’s traditional adversaries unclench their fists.</w:t>
      </w:r>
    </w:p>
    <w:p w:rsidR="009B5AF0" w:rsidRPr="009B5AF0" w:rsidRDefault="009B5AF0" w:rsidP="009B5AF0">
      <w:pPr>
        <w:pStyle w:val="Heading4"/>
        <w:rPr>
          <w:sz w:val="20"/>
        </w:rPr>
      </w:pPr>
      <w:r w:rsidRPr="009B5AF0">
        <w:rPr>
          <w:sz w:val="20"/>
        </w:rPr>
        <w:t>Engagement with Cuba solves legitimacy and the image of unwavering US hard power</w:t>
      </w:r>
    </w:p>
    <w:p w:rsidR="009B5AF0" w:rsidRPr="00422105" w:rsidRDefault="009B5AF0" w:rsidP="009B5AF0">
      <w:r w:rsidRPr="009B5AF0">
        <w:rPr>
          <w:rStyle w:val="AuthorYear"/>
          <w:sz w:val="16"/>
        </w:rPr>
        <w:t>Dickerson 10</w:t>
      </w:r>
      <w:r>
        <w:rPr>
          <w:rStyle w:val="StyleStyleBold12pt"/>
        </w:rPr>
        <w:t xml:space="preserve"> – </w:t>
      </w:r>
      <w:r w:rsidRPr="00D400F5">
        <w:t xml:space="preserve">Lieutenant Colonel Sergio M. Dickerson, 2010, "United States Security Strategy Towards Cuba," Strategy Research Project, </w:t>
      </w:r>
      <w:hyperlink r:id="rId11" w:history="1">
        <w:r w:rsidRPr="0084152E">
          <w:rPr>
            <w:rStyle w:val="Hyperlink"/>
          </w:rPr>
          <w:t>www.dtic.mil/cgi-bin/GetTRDoc?Location=U2&amp;doc=GetTRDoc.pdf&amp;AD=ADA518053</w:t>
        </w:r>
      </w:hyperlink>
    </w:p>
    <w:p w:rsidR="009B5AF0" w:rsidRDefault="009B5AF0" w:rsidP="009B5AF0">
      <w:r w:rsidRPr="009B5AF0">
        <w:t xml:space="preserve">Conclusion Today, 20 years have passed since the fall of the Berlin Wall – </w:t>
      </w:r>
    </w:p>
    <w:p w:rsidR="009B5AF0" w:rsidRDefault="009B5AF0" w:rsidP="009B5AF0">
      <w:r>
        <w:t>AND</w:t>
      </w:r>
    </w:p>
    <w:p w:rsidR="009B5AF0" w:rsidRPr="009B5AF0" w:rsidRDefault="009B5AF0" w:rsidP="009B5AF0">
      <w:r w:rsidRPr="009B5AF0">
        <w:t>decline in the greater global order bringing true peace for years to come.</w:t>
      </w:r>
    </w:p>
    <w:p w:rsidR="009B5AF0" w:rsidRPr="009B5AF0" w:rsidRDefault="009B5AF0" w:rsidP="009B5AF0">
      <w:pPr>
        <w:pStyle w:val="Heading4"/>
        <w:rPr>
          <w:sz w:val="20"/>
        </w:rPr>
      </w:pPr>
      <w:r w:rsidRPr="009B5AF0">
        <w:rPr>
          <w:sz w:val="20"/>
        </w:rPr>
        <w:t>The plan is key—Cuba is a unique symbol for American exclusion</w:t>
      </w:r>
    </w:p>
    <w:p w:rsidR="009B5AF0" w:rsidRDefault="009B5AF0" w:rsidP="009B5AF0">
      <w:pPr>
        <w:jc w:val="both"/>
      </w:pPr>
      <w:r w:rsidRPr="009B5AF0">
        <w:rPr>
          <w:rStyle w:val="AuthorYear"/>
          <w:sz w:val="16"/>
        </w:rPr>
        <w:t xml:space="preserve">Naim 09 </w:t>
      </w:r>
      <w:r w:rsidRPr="00C11444">
        <w:t>(Moises, Senior Associate in the International Economics Program at the Carnegie Endowment for International Peace,</w:t>
      </w:r>
      <w:r>
        <w:rPr>
          <w:szCs w:val="16"/>
        </w:rPr>
        <w:t xml:space="preserve"> “The Havana Obsession, Why all eyes are on a bankrupt island”, http://www.newsweek.com/2009/06/12/the-havana-obsession.html)</w:t>
      </w:r>
    </w:p>
    <w:p w:rsidR="009B5AF0" w:rsidRDefault="009B5AF0" w:rsidP="009B5AF0">
      <w:r w:rsidRPr="009B5AF0">
        <w:t xml:space="preserve">Bill Clinton and George W. Bush recently had a face-to-face </w:t>
      </w:r>
    </w:p>
    <w:p w:rsidR="009B5AF0" w:rsidRDefault="009B5AF0" w:rsidP="009B5AF0">
      <w:r>
        <w:t>AND</w:t>
      </w:r>
    </w:p>
    <w:p w:rsidR="009B5AF0" w:rsidRPr="009B5AF0" w:rsidRDefault="009B5AF0" w:rsidP="009B5AF0">
      <w:r w:rsidRPr="009B5AF0">
        <w:t>of a superpower that punishes a small island while cozying to dictators elsewhere.</w:t>
      </w:r>
    </w:p>
    <w:p w:rsidR="009B5AF0" w:rsidRPr="009B5AF0" w:rsidRDefault="009B5AF0" w:rsidP="009B5AF0">
      <w:pPr>
        <w:pStyle w:val="Heading4"/>
        <w:rPr>
          <w:sz w:val="20"/>
        </w:rPr>
      </w:pPr>
      <w:r w:rsidRPr="009B5AF0">
        <w:rPr>
          <w:sz w:val="20"/>
        </w:rPr>
        <w:t>Total, unconditional removal is critical to a sufficiently benevolent image</w:t>
      </w:r>
    </w:p>
    <w:p w:rsidR="009B5AF0" w:rsidRPr="004A4EA1" w:rsidRDefault="009B5AF0" w:rsidP="009B5AF0">
      <w:r w:rsidRPr="009B5AF0">
        <w:rPr>
          <w:rStyle w:val="AuthorYear"/>
          <w:sz w:val="16"/>
        </w:rPr>
        <w:t>Koenig 10</w:t>
      </w:r>
      <w:r w:rsidRPr="001D1897">
        <w:t xml:space="preserve"> - Colonel Lance R. Koenig, US Army</w:t>
      </w:r>
      <w:r>
        <w:t>.</w:t>
      </w:r>
      <w:r w:rsidRPr="001D1897">
        <w:t xml:space="preserve"> </w:t>
      </w:r>
      <w:r>
        <w:t>(</w:t>
      </w:r>
      <w:r w:rsidRPr="001D1897">
        <w:t xml:space="preserve">Nov. 3, ‘10, </w:t>
      </w:r>
      <w:r>
        <w:t>“Time for a New Cuba Policy</w:t>
      </w:r>
      <w:r w:rsidRPr="004A4EA1">
        <w:t>,</w:t>
      </w:r>
      <w:r>
        <w:t>”</w:t>
      </w:r>
      <w:r w:rsidRPr="004A4EA1">
        <w:t xml:space="preserve"> www.dtic.mil/cgi-bin/GetTRDoc?AD=ADA518130</w:t>
      </w:r>
      <w:r w:rsidRPr="004A4EA1">
        <w:rPr>
          <w:rFonts w:ascii="Times New Roman" w:hAnsi="Times New Roman" w:cs="Times New Roman"/>
        </w:rPr>
        <w:t>‎</w:t>
      </w:r>
      <w:r>
        <w:rPr>
          <w:rFonts w:ascii="Times New Roman" w:hAnsi="Times New Roman" w:cs="Times New Roman"/>
        </w:rPr>
        <w:t>)</w:t>
      </w:r>
    </w:p>
    <w:p w:rsidR="009B5AF0" w:rsidRDefault="009B5AF0" w:rsidP="009B5AF0">
      <w:r w:rsidRPr="009B5AF0">
        <w:t xml:space="preserve">The efforts expended by the United States to keep the embargo effective, the loss </w:t>
      </w:r>
    </w:p>
    <w:p w:rsidR="009B5AF0" w:rsidRDefault="009B5AF0" w:rsidP="009B5AF0">
      <w:r>
        <w:t>AND</w:t>
      </w:r>
    </w:p>
    <w:p w:rsidR="009B5AF0" w:rsidRPr="009B5AF0" w:rsidRDefault="009B5AF0" w:rsidP="009B5AF0">
      <w:r w:rsidRPr="009B5AF0">
        <w:t>guides her onto a path that will benefit the nations of the Americas.</w:t>
      </w:r>
    </w:p>
    <w:p w:rsidR="009B5AF0" w:rsidRPr="009B5AF0" w:rsidRDefault="009B5AF0" w:rsidP="009B5AF0">
      <w:pPr>
        <w:pStyle w:val="Heading4"/>
        <w:rPr>
          <w:sz w:val="20"/>
        </w:rPr>
      </w:pPr>
      <w:r w:rsidRPr="009B5AF0">
        <w:rPr>
          <w:sz w:val="20"/>
        </w:rPr>
        <w:t>Soft power is the key internal link to all conflict</w:t>
      </w:r>
    </w:p>
    <w:p w:rsidR="009B5AF0" w:rsidRDefault="009B5AF0" w:rsidP="009B5AF0">
      <w:pPr>
        <w:rPr>
          <w:rStyle w:val="StyleBoldUnderline"/>
          <w:b/>
        </w:rPr>
      </w:pPr>
      <w:r w:rsidRPr="009B5AF0">
        <w:rPr>
          <w:rStyle w:val="AuthorYear"/>
          <w:sz w:val="16"/>
        </w:rPr>
        <w:t>Jervis 09</w:t>
      </w:r>
      <w:r w:rsidRPr="00EC29AB">
        <w:t xml:space="preserve"> (professor of international politics at Columbia University. (Robert, Unipolarity: A Structural Perspective, World Politics Volume 61, Number 1, January 2009)</w:t>
      </w:r>
    </w:p>
    <w:p w:rsidR="009B5AF0" w:rsidRDefault="009B5AF0" w:rsidP="009B5AF0">
      <w:r w:rsidRPr="009B5AF0">
        <w:t xml:space="preserve">To say that the system is unipolar is not to argue that the unipole can </w:t>
      </w:r>
    </w:p>
    <w:p w:rsidR="009B5AF0" w:rsidRDefault="009B5AF0" w:rsidP="009B5AF0">
      <w:r>
        <w:t>AND</w:t>
      </w:r>
    </w:p>
    <w:p w:rsidR="009B5AF0" w:rsidRPr="009B5AF0" w:rsidRDefault="009B5AF0" w:rsidP="009B5AF0">
      <w:r w:rsidRPr="009B5AF0">
        <w:t>that others share the American vision and believe that its leadership is benign.</w:t>
      </w:r>
    </w:p>
    <w:p w:rsidR="009B5AF0" w:rsidRPr="009B5AF0" w:rsidRDefault="009B5AF0" w:rsidP="009B5AF0">
      <w:pPr>
        <w:pStyle w:val="Heading4"/>
        <w:rPr>
          <w:sz w:val="20"/>
        </w:rPr>
      </w:pPr>
      <w:r w:rsidRPr="009B5AF0">
        <w:rPr>
          <w:sz w:val="20"/>
        </w:rPr>
        <w:t>The impact is Balancing:</w:t>
      </w:r>
    </w:p>
    <w:p w:rsidR="009B5AF0" w:rsidRPr="009B5AF0" w:rsidRDefault="009B5AF0" w:rsidP="009B5AF0">
      <w:pPr>
        <w:pStyle w:val="Heading4"/>
        <w:rPr>
          <w:sz w:val="20"/>
        </w:rPr>
      </w:pPr>
      <w:r w:rsidRPr="009B5AF0">
        <w:rPr>
          <w:sz w:val="20"/>
        </w:rPr>
        <w:t>The image of unwavering deterrence is the root cause of proliferation and counterbalancing—credible assurances of reciprocal concessions are key to cooperation and legitimacy of world power</w:t>
      </w:r>
    </w:p>
    <w:p w:rsidR="009B5AF0" w:rsidRPr="00AC78A3" w:rsidRDefault="009B5AF0" w:rsidP="009B5AF0">
      <w:r w:rsidRPr="009B5AF0">
        <w:rPr>
          <w:rStyle w:val="AuthorYear"/>
          <w:sz w:val="16"/>
        </w:rPr>
        <w:t>Monteiro 10</w:t>
      </w:r>
      <w:r>
        <w:t xml:space="preserve"> – </w:t>
      </w:r>
      <w:r w:rsidRPr="00AC78A3">
        <w:t>Nuno P. Monteiro is an Assistant Professor of Political Science at Yale University. His research and teach</w:t>
      </w:r>
      <w:r w:rsidRPr="00AC78A3">
        <w:softHyphen/>
        <w:t>ing focuses on international relations theory and security studies. He is currently writing a book on the causes of conflict in a unipolar world. Professor Monteiro received his Ph.D. in Political Science from the University of Chicago in 2009 [http://yalejournal.org/wp-content/uploads/2010/09/105216monteiro.pdf, Spring Summer 2010, “Why U.S. Does Not Deter Challenges”]</w:t>
      </w:r>
    </w:p>
    <w:p w:rsidR="009B5AF0" w:rsidRDefault="009B5AF0" w:rsidP="009B5AF0">
      <w:r w:rsidRPr="009B5AF0">
        <w:t xml:space="preserve">Well into the Obama presidency, the broadest foreign policy challenge facing the United States </w:t>
      </w:r>
    </w:p>
    <w:p w:rsidR="009B5AF0" w:rsidRDefault="009B5AF0" w:rsidP="009B5AF0">
      <w:r>
        <w:t>AND</w:t>
      </w:r>
    </w:p>
    <w:p w:rsidR="009B5AF0" w:rsidRPr="009B5AF0" w:rsidRDefault="009B5AF0" w:rsidP="009B5AF0">
      <w:r w:rsidRPr="009B5AF0">
        <w:t xml:space="preserve">no surprise. It follows from the unparalleled power of the United States. </w:t>
      </w:r>
    </w:p>
    <w:p w:rsidR="009B5AF0" w:rsidRPr="009B5AF0" w:rsidRDefault="009B5AF0" w:rsidP="009B5AF0">
      <w:pPr>
        <w:pStyle w:val="Heading4"/>
        <w:rPr>
          <w:sz w:val="20"/>
        </w:rPr>
      </w:pPr>
      <w:r w:rsidRPr="009B5AF0">
        <w:rPr>
          <w:sz w:val="20"/>
        </w:rPr>
        <w:t>Proliferation causes extinction—coercive diplomacy ensures escalation</w:t>
      </w:r>
    </w:p>
    <w:p w:rsidR="009B5AF0" w:rsidRPr="00C33D7F" w:rsidRDefault="009B5AF0" w:rsidP="009B5AF0">
      <w:r w:rsidRPr="009B5AF0">
        <w:rPr>
          <w:rStyle w:val="AuthorYear"/>
          <w:sz w:val="16"/>
        </w:rPr>
        <w:t xml:space="preserve">Asal and Beardsley 09 </w:t>
      </w:r>
      <w:r w:rsidRPr="00C33D7F">
        <w:t xml:space="preserve">(Victor, Department of Political Science, State University of New York, Albany, and Kyle, Department of Political Science, Emory University, Winning with the Bomb, </w:t>
      </w:r>
      <w:hyperlink r:id="rId12" w:history="1">
        <w:r w:rsidRPr="00C33D7F">
          <w:rPr>
            <w:rStyle w:val="Hyperlink"/>
          </w:rPr>
          <w:t>http://belfercenter.ksg.harvard.edu/files/uploads/Beardsley-Asal_Winning_with_the_Bomb.pdf</w:t>
        </w:r>
      </w:hyperlink>
      <w:r w:rsidRPr="00C33D7F">
        <w:t>)</w:t>
      </w:r>
    </w:p>
    <w:p w:rsidR="009B5AF0" w:rsidRDefault="009B5AF0" w:rsidP="009B5AF0">
      <w:r w:rsidRPr="009B5AF0">
        <w:t xml:space="preserve">Conclusion Why do states proliferate? Nuclear weapons and the programs necessary to create them </w:t>
      </w:r>
    </w:p>
    <w:p w:rsidR="009B5AF0" w:rsidRDefault="009B5AF0" w:rsidP="009B5AF0">
      <w:r>
        <w:t>AND</w:t>
      </w:r>
    </w:p>
    <w:p w:rsidR="009B5AF0" w:rsidRPr="009B5AF0" w:rsidRDefault="009B5AF0" w:rsidP="009B5AF0">
      <w:r w:rsidRPr="009B5AF0">
        <w:t>necessarily mean that the weapons are a net benefit for peace and stability.</w:t>
      </w:r>
    </w:p>
    <w:p w:rsidR="009B5AF0" w:rsidRPr="009B5AF0" w:rsidRDefault="009B5AF0" w:rsidP="009B5AF0">
      <w:pPr>
        <w:pStyle w:val="Heading4"/>
        <w:rPr>
          <w:sz w:val="20"/>
        </w:rPr>
      </w:pPr>
      <w:r w:rsidRPr="009B5AF0">
        <w:rPr>
          <w:sz w:val="20"/>
        </w:rPr>
        <w:lastRenderedPageBreak/>
        <w:t>MAD doesn’t solve</w:t>
      </w:r>
    </w:p>
    <w:p w:rsidR="009B5AF0" w:rsidRPr="00C84644" w:rsidRDefault="009B5AF0" w:rsidP="009B5AF0">
      <w:r w:rsidRPr="009B5AF0">
        <w:rPr>
          <w:rStyle w:val="AuthorYear"/>
          <w:sz w:val="16"/>
        </w:rPr>
        <w:t>Kroenig 12</w:t>
      </w:r>
      <w:r>
        <w:t xml:space="preserve"> – Matthew Kroenig is the Assistant Professor of Government at Georgetown University and a Stanton Nuclear Security Fellow at the Council on Foreign Relations. ("The History of Proliferation Optimism: Does It Have A Future? Prepared for the Nonproliferation Policy Education Center,” May 26, 2012, </w:t>
      </w:r>
      <w:r w:rsidRPr="00C84644">
        <w:t>http://www.npolicy.org/article.php?aid=1182&amp;tid=30</w:t>
      </w:r>
      <w:r>
        <w:t>)</w:t>
      </w:r>
    </w:p>
    <w:p w:rsidR="009B5AF0" w:rsidRDefault="009B5AF0" w:rsidP="009B5AF0">
      <w:r w:rsidRPr="009B5AF0">
        <w:t xml:space="preserve">Nuclear War. The greatest threat posed by the spread of nuclear weapons is nuclear </w:t>
      </w:r>
    </w:p>
    <w:p w:rsidR="009B5AF0" w:rsidRDefault="009B5AF0" w:rsidP="009B5AF0">
      <w:r>
        <w:t>AND</w:t>
      </w:r>
    </w:p>
    <w:p w:rsidR="009B5AF0" w:rsidRPr="009B5AF0" w:rsidRDefault="009B5AF0" w:rsidP="009B5AF0">
      <w:r w:rsidRPr="009B5AF0">
        <w:t>that a future Middle East crisis could result in a devastating nuclear exchange.</w:t>
      </w:r>
    </w:p>
    <w:p w:rsidR="009B5AF0" w:rsidRPr="009B5AF0" w:rsidRDefault="009B5AF0" w:rsidP="009B5AF0">
      <w:pPr>
        <w:pStyle w:val="Heading4"/>
        <w:rPr>
          <w:sz w:val="20"/>
        </w:rPr>
      </w:pPr>
      <w:r w:rsidRPr="009B5AF0">
        <w:rPr>
          <w:sz w:val="20"/>
        </w:rPr>
        <w:t>Counterbalancing takes out free trade and international influence</w:t>
      </w:r>
    </w:p>
    <w:p w:rsidR="009B5AF0" w:rsidRPr="00E05AED" w:rsidRDefault="009B5AF0" w:rsidP="009B5AF0">
      <w:r w:rsidRPr="009B5AF0">
        <w:rPr>
          <w:rStyle w:val="AuthorYear"/>
          <w:sz w:val="16"/>
        </w:rPr>
        <w:t>Ikenberry 09</w:t>
      </w:r>
      <w:r w:rsidRPr="00E05AED">
        <w:t xml:space="preserve"> –  G. John Ikenberry is the Albert G. Milbank Professor of Politics and International Affairs at Princeton University in the Department of Politics and the Woodrow Wilson School of Public and International Affairs, Michael Mastanduno is the associate professor of government at Dartmouth, William C. Wohlforth is Assistant Professor of International Relations in the Edmund A. Walsh School of Foreign Se</w:t>
      </w:r>
      <w:r>
        <w:t>rvice at Georgetown University (</w:t>
      </w:r>
      <w:r w:rsidRPr="00E05AED">
        <w:t xml:space="preserve">http://muse.jhu.edu/journals/world_politics/summary/v061/61.1.ikenberry.html, “Introduction: Unipolarity, State Behavior, and Systemic </w:t>
      </w:r>
      <w:r>
        <w:t>Consequences, PDF, January 2009)</w:t>
      </w:r>
    </w:p>
    <w:p w:rsidR="009B5AF0" w:rsidRDefault="009B5AF0" w:rsidP="009B5AF0">
      <w:r w:rsidRPr="009B5AF0">
        <w:t xml:space="preserve">First is the logic of balancing, alliance, and opposition, discussed in the </w:t>
      </w:r>
    </w:p>
    <w:p w:rsidR="009B5AF0" w:rsidRDefault="009B5AF0" w:rsidP="009B5AF0">
      <w:r>
        <w:t>AND</w:t>
      </w:r>
    </w:p>
    <w:p w:rsidR="009B5AF0" w:rsidRPr="009B5AF0" w:rsidRDefault="009B5AF0" w:rsidP="009B5AF0">
      <w:r w:rsidRPr="009B5AF0">
        <w:t xml:space="preserve">-ranked great powers to withhold cooperation may sap the unipole’s effective power. </w:t>
      </w:r>
    </w:p>
    <w:p w:rsidR="009B5AF0" w:rsidRPr="009B5AF0" w:rsidRDefault="009B5AF0" w:rsidP="009B5AF0">
      <w:pPr>
        <w:pStyle w:val="Heading4"/>
        <w:rPr>
          <w:sz w:val="20"/>
        </w:rPr>
      </w:pPr>
      <w:r w:rsidRPr="009B5AF0">
        <w:rPr>
          <w:sz w:val="20"/>
        </w:rPr>
        <w:t>Protectionism causes nuclear war and kills solutions to all impacts</w:t>
      </w:r>
    </w:p>
    <w:p w:rsidR="009B5AF0" w:rsidRPr="00E05AED" w:rsidRDefault="009B5AF0" w:rsidP="009B5AF0">
      <w:r w:rsidRPr="009B5AF0">
        <w:rPr>
          <w:rStyle w:val="AuthorYear"/>
          <w:sz w:val="16"/>
        </w:rPr>
        <w:t>Panzner 08</w:t>
      </w:r>
      <w:r w:rsidRPr="00E05AED">
        <w:t xml:space="preserve"> – </w:t>
      </w:r>
      <w:r>
        <w:t>Michael J. Panzner is a 30-year veteran of the global stock, bond and currency markets who has worked in New York and London for such leading companies as HSBC, Soros Funds, ABN Amro, Dresdner Bank, and J.P. Morgan Chase</w:t>
      </w:r>
      <w:r w:rsidRPr="00E05AED">
        <w:t xml:space="preserve"> (“Financial Armageddon: Protect Your Future from Economic Collapse,” p. 136-138)</w:t>
      </w:r>
    </w:p>
    <w:p w:rsidR="009B5AF0" w:rsidRDefault="009B5AF0" w:rsidP="009B5AF0">
      <w:r w:rsidRPr="009B5AF0">
        <w:t xml:space="preserve">Continuing calls for curbs on the flow of finance and trade will inspire the United </w:t>
      </w:r>
    </w:p>
    <w:p w:rsidR="009B5AF0" w:rsidRDefault="009B5AF0" w:rsidP="009B5AF0">
      <w:r>
        <w:t>AND</w:t>
      </w:r>
    </w:p>
    <w:p w:rsidR="009B5AF0" w:rsidRPr="009B5AF0" w:rsidRDefault="009B5AF0" w:rsidP="009B5AF0">
      <w:r w:rsidRPr="009B5AF0">
        <w:t>between Muslims and Western societies as the beginnings of a new world war.</w:t>
      </w:r>
    </w:p>
    <w:p w:rsidR="009B5AF0" w:rsidRPr="009B5AF0" w:rsidRDefault="009B5AF0" w:rsidP="009B5AF0">
      <w:pPr>
        <w:pStyle w:val="Heading4"/>
        <w:rPr>
          <w:sz w:val="20"/>
        </w:rPr>
      </w:pPr>
      <w:r w:rsidRPr="009B5AF0">
        <w:rPr>
          <w:sz w:val="20"/>
        </w:rPr>
        <w:t>Free trade solves war by providing economic incentives and credible security commitments</w:t>
      </w:r>
    </w:p>
    <w:p w:rsidR="009B5AF0" w:rsidRPr="001D73DA" w:rsidRDefault="009B5AF0" w:rsidP="009B5AF0">
      <w:r w:rsidRPr="009B5AF0">
        <w:rPr>
          <w:rStyle w:val="AuthorYear"/>
          <w:sz w:val="16"/>
        </w:rPr>
        <w:t>Griswold 11</w:t>
      </w:r>
      <w:r w:rsidRPr="001D73DA">
        <w:t xml:space="preserve"> Daniel Griswold is director of the Center for Trade Policy Studies at the Cato Institute and author of Mad about Trade: Why Main Street America Should Embrace Globalization. “Free Trade and the Global Middle Class,” Hayek Society Journal Vol. 9 </w:t>
      </w:r>
      <w:hyperlink r:id="rId13" w:history="1">
        <w:r w:rsidRPr="001D73DA">
          <w:rPr>
            <w:rStyle w:val="Hyperlink"/>
          </w:rPr>
          <w:t>http://www.cato.org/pubs/articles/Hayek-Society-Journal-Griswold.pdf Accessed 6/30/12</w:t>
        </w:r>
      </w:hyperlink>
      <w:r w:rsidRPr="001D73DA">
        <w:t xml:space="preserve"> </w:t>
      </w:r>
    </w:p>
    <w:p w:rsidR="009B5AF0" w:rsidRDefault="009B5AF0" w:rsidP="009B5AF0">
      <w:r w:rsidRPr="009B5AF0">
        <w:t xml:space="preserve">Our more globalized world has also yielded a “peace dividend.” It may not </w:t>
      </w:r>
    </w:p>
    <w:p w:rsidR="009B5AF0" w:rsidRDefault="009B5AF0" w:rsidP="009B5AF0">
      <w:r>
        <w:t>AND</w:t>
      </w:r>
    </w:p>
    <w:p w:rsidR="009B5AF0" w:rsidRPr="009B5AF0" w:rsidRDefault="009B5AF0" w:rsidP="009B5AF0">
      <w:r w:rsidRPr="009B5AF0">
        <w:t>and less likely those gains will be destroyed by civil conflict and war.</w:t>
      </w:r>
    </w:p>
    <w:p w:rsidR="009B5AF0" w:rsidRDefault="009B5AF0" w:rsidP="009B5AF0">
      <w:pPr>
        <w:pStyle w:val="Heading3"/>
      </w:pPr>
      <w:r>
        <w:lastRenderedPageBreak/>
        <w:t>Sustainable Agriculture</w:t>
      </w:r>
    </w:p>
    <w:p w:rsidR="009B5AF0" w:rsidRPr="009B5AF0" w:rsidRDefault="009B5AF0" w:rsidP="009B5AF0">
      <w:pPr>
        <w:pStyle w:val="Heading4"/>
        <w:rPr>
          <w:sz w:val="20"/>
        </w:rPr>
      </w:pPr>
      <w:r w:rsidRPr="009B5AF0">
        <w:rPr>
          <w:sz w:val="20"/>
        </w:rPr>
        <w:t>Contention Two is Sustainable Agriculture:</w:t>
      </w:r>
    </w:p>
    <w:p w:rsidR="009B5AF0" w:rsidRPr="009B5AF0" w:rsidRDefault="009B5AF0" w:rsidP="009B5AF0">
      <w:pPr>
        <w:pStyle w:val="Heading4"/>
        <w:rPr>
          <w:sz w:val="20"/>
        </w:rPr>
      </w:pPr>
      <w:r w:rsidRPr="009B5AF0">
        <w:rPr>
          <w:sz w:val="20"/>
        </w:rPr>
        <w:t>Cuban agriculture sustainability is failing—foreign investment is key</w:t>
      </w:r>
    </w:p>
    <w:p w:rsidR="009B5AF0" w:rsidRPr="00C11444" w:rsidRDefault="009B5AF0" w:rsidP="009B5AF0">
      <w:r w:rsidRPr="009B5AF0">
        <w:rPr>
          <w:rStyle w:val="AuthorYear"/>
          <w:sz w:val="16"/>
        </w:rPr>
        <w:t>King 12</w:t>
      </w:r>
      <w:r w:rsidRPr="00C11444">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http://wpsa.research.pdx.edu/meet/2012/kingmdawn.pdf)</w:t>
      </w:r>
    </w:p>
    <w:p w:rsidR="009B5AF0" w:rsidRDefault="009B5AF0" w:rsidP="009B5AF0">
      <w:r w:rsidRPr="009B5AF0">
        <w:t xml:space="preserve">Cuba needed an alternative agricultural model when foreign oil imports were cut off significantly at </w:t>
      </w:r>
    </w:p>
    <w:p w:rsidR="009B5AF0" w:rsidRDefault="009B5AF0" w:rsidP="009B5AF0">
      <w:r>
        <w:t>AND</w:t>
      </w:r>
    </w:p>
    <w:p w:rsidR="009B5AF0" w:rsidRPr="009B5AF0" w:rsidRDefault="009B5AF0" w:rsidP="009B5AF0">
      <w:r w:rsidRPr="009B5AF0">
        <w:t>goal of sustainable development to increase short-term capital and energy needs.</w:t>
      </w:r>
    </w:p>
    <w:p w:rsidR="009B5AF0" w:rsidRPr="009B5AF0" w:rsidRDefault="009B5AF0" w:rsidP="009B5AF0">
      <w:pPr>
        <w:pStyle w:val="Heading4"/>
        <w:rPr>
          <w:sz w:val="20"/>
        </w:rPr>
      </w:pPr>
      <w:r w:rsidRPr="009B5AF0">
        <w:rPr>
          <w:sz w:val="20"/>
        </w:rPr>
        <w:t xml:space="preserve">The plan provides foreign capital to Cuba and allows its model to be exported globally </w:t>
      </w:r>
    </w:p>
    <w:p w:rsidR="009B5AF0" w:rsidRPr="00C11444" w:rsidRDefault="009B5AF0" w:rsidP="009B5AF0">
      <w:r w:rsidRPr="009B5AF0">
        <w:rPr>
          <w:rStyle w:val="AuthorYear"/>
          <w:sz w:val="16"/>
        </w:rPr>
        <w:t>Shkolnick 12</w:t>
      </w:r>
      <w:r w:rsidRPr="00C11444">
        <w:t xml:space="preserve"> – JD Candidate, Drake University Law School. (“SIN EMBARGO: THE CUBAN AGRICULTURAL REVOLUTION AND WHAT IT MEANS FOR THE UNITED STATES”, 17 Drake J. Agric. L. 683, fall, http://students.law.drake.edu/aglawjournal/docs/agVol17No3-Shkolnick.pdf)</w:t>
      </w:r>
    </w:p>
    <w:p w:rsidR="009B5AF0" w:rsidRDefault="009B5AF0" w:rsidP="009B5AF0">
      <w:r w:rsidRPr="009B5AF0">
        <w:t xml:space="preserve">Cuba today is experiencing the most rapid shifts towards privatization and reform since the revolution </w:t>
      </w:r>
    </w:p>
    <w:p w:rsidR="009B5AF0" w:rsidRDefault="009B5AF0" w:rsidP="009B5AF0">
      <w:r>
        <w:t>AND</w:t>
      </w:r>
    </w:p>
    <w:p w:rsidR="009B5AF0" w:rsidRPr="009B5AF0" w:rsidRDefault="009B5AF0" w:rsidP="009B5AF0">
      <w:r w:rsidRPr="009B5AF0">
        <w:t>presents a unique opportunity American business and agricultural enterprises cannot afford to overlook.</w:t>
      </w:r>
    </w:p>
    <w:p w:rsidR="009B5AF0" w:rsidRPr="009B5AF0" w:rsidRDefault="009B5AF0" w:rsidP="009B5AF0">
      <w:pPr>
        <w:pStyle w:val="Heading4"/>
        <w:rPr>
          <w:sz w:val="20"/>
        </w:rPr>
      </w:pPr>
      <w:r w:rsidRPr="009B5AF0">
        <w:rPr>
          <w:sz w:val="20"/>
        </w:rPr>
        <w:t>Access to the US market is critical to sustainability and emulation</w:t>
      </w:r>
    </w:p>
    <w:p w:rsidR="009B5AF0" w:rsidRPr="00C11444" w:rsidRDefault="009B5AF0" w:rsidP="009B5AF0">
      <w:r w:rsidRPr="009B5AF0">
        <w:rPr>
          <w:rStyle w:val="AuthorYear"/>
          <w:sz w:val="16"/>
        </w:rPr>
        <w:t>Kost 04</w:t>
      </w:r>
      <w:r w:rsidRPr="00C11444">
        <w:t xml:space="preserve"> – William is part of the Economic Research Service for the USDA. (“CUBAN AGRICULTURE: TO BE OR NOT TO BE ORGANIC?” 2004, http://www.ascecuba.org/publications/proceedings/volume14/pdfs/kost.pdf)</w:t>
      </w:r>
    </w:p>
    <w:p w:rsidR="009B5AF0" w:rsidRDefault="009B5AF0" w:rsidP="009B5AF0">
      <w:r w:rsidRPr="009B5AF0">
        <w:t>MARKETS MAY BE CRITICAL FOR AN ORGANIC CUBA In addition to the above European markets</w:t>
      </w:r>
    </w:p>
    <w:p w:rsidR="009B5AF0" w:rsidRDefault="009B5AF0" w:rsidP="009B5AF0">
      <w:r>
        <w:t>AND</w:t>
      </w:r>
    </w:p>
    <w:p w:rsidR="009B5AF0" w:rsidRPr="009B5AF0" w:rsidRDefault="009B5AF0" w:rsidP="009B5AF0">
      <w:r w:rsidRPr="009B5AF0">
        <w:t>and other inputs to support growth in other sectors of the Cuban economy.</w:t>
      </w:r>
    </w:p>
    <w:p w:rsidR="009B5AF0" w:rsidRPr="009B5AF0" w:rsidRDefault="009B5AF0" w:rsidP="009B5AF0">
      <w:pPr>
        <w:pStyle w:val="Heading4"/>
        <w:rPr>
          <w:sz w:val="20"/>
        </w:rPr>
      </w:pPr>
      <w:r w:rsidRPr="009B5AF0">
        <w:rPr>
          <w:sz w:val="20"/>
        </w:rPr>
        <w:t>Organic agriculture outproduces industrial agriculture—newest, best studies</w:t>
      </w:r>
    </w:p>
    <w:p w:rsidR="009B5AF0" w:rsidRDefault="009B5AF0" w:rsidP="009B5AF0">
      <w:r w:rsidRPr="009B5AF0">
        <w:rPr>
          <w:rStyle w:val="AuthorYear"/>
          <w:sz w:val="16"/>
        </w:rPr>
        <w:t>Wright, 9</w:t>
      </w:r>
      <w:r w:rsidRPr="002F4100">
        <w:t xml:space="preserve"> - Dep</w:t>
      </w:r>
      <w:r w:rsidRPr="00893A20">
        <w:t xml:space="preserve">uty Director of Coventry University's Centre for Agroecology and Food </w:t>
      </w:r>
      <w:r w:rsidRPr="00086915">
        <w:t>Security (Julia, Sustainable Agriculture and Food Security in an Era of Oil Scarcity,</w:t>
      </w:r>
      <w:r>
        <w:t xml:space="preserve"> p. 19)</w:t>
      </w:r>
    </w:p>
    <w:p w:rsidR="009B5AF0" w:rsidRDefault="009B5AF0" w:rsidP="009B5AF0">
      <w:r w:rsidRPr="009B5AF0">
        <w:t xml:space="preserve">Nonetheless, more ecologically based, organic production approaches are sidestepped by international development agencies </w:t>
      </w:r>
    </w:p>
    <w:p w:rsidR="009B5AF0" w:rsidRDefault="009B5AF0" w:rsidP="009B5AF0">
      <w:r>
        <w:t>AND</w:t>
      </w:r>
    </w:p>
    <w:p w:rsidR="009B5AF0" w:rsidRPr="009B5AF0" w:rsidRDefault="009B5AF0" w:rsidP="009B5AF0">
      <w:r w:rsidRPr="009B5AF0">
        <w:t xml:space="preserve">, their performance would be greatly enhanced (Pretty et al, 1996). </w:t>
      </w:r>
    </w:p>
    <w:p w:rsidR="009B5AF0" w:rsidRPr="009B5AF0" w:rsidRDefault="009B5AF0" w:rsidP="009B5AF0">
      <w:pPr>
        <w:pStyle w:val="Heading4"/>
        <w:rPr>
          <w:sz w:val="20"/>
        </w:rPr>
      </w:pPr>
      <w:r w:rsidRPr="009B5AF0">
        <w:rPr>
          <w:sz w:val="20"/>
        </w:rPr>
        <w:t>Industrial agriculture is the primary factor in bird flu spread</w:t>
      </w:r>
    </w:p>
    <w:p w:rsidR="009B5AF0" w:rsidRPr="00950E75" w:rsidRDefault="009B5AF0" w:rsidP="009B5AF0">
      <w:r w:rsidRPr="009B5AF0">
        <w:rPr>
          <w:rStyle w:val="AuthorYear"/>
          <w:sz w:val="16"/>
        </w:rPr>
        <w:t>Otte et al 07</w:t>
      </w:r>
      <w:r w:rsidRPr="00950E75">
        <w:t xml:space="preserve"> – </w:t>
      </w:r>
      <w:r>
        <w:t>Joachim Otte is the Senior Animal Production and Health Officer at FAO. (“Industrial Livestock Production and Global Health Risks,” Pro-Poor Livestock Policy Initiative, June 2007, MCallahan)</w:t>
      </w:r>
    </w:p>
    <w:p w:rsidR="009B5AF0" w:rsidRDefault="009B5AF0" w:rsidP="009B5AF0">
      <w:r w:rsidRPr="009B5AF0">
        <w:t xml:space="preserve">Concentration of food animal production and the unregulated ‘evolution’ of densely populated livestock production </w:t>
      </w:r>
    </w:p>
    <w:p w:rsidR="009B5AF0" w:rsidRDefault="009B5AF0" w:rsidP="009B5AF0">
      <w:r>
        <w:t>AND</w:t>
      </w:r>
    </w:p>
    <w:p w:rsidR="009B5AF0" w:rsidRPr="009B5AF0" w:rsidRDefault="009B5AF0" w:rsidP="009B5AF0">
      <w:r w:rsidRPr="009B5AF0">
        <w:t>in a watershed subunit as described by Osowski et al. (2001).</w:t>
      </w:r>
    </w:p>
    <w:p w:rsidR="009B5AF0" w:rsidRPr="009B5AF0" w:rsidRDefault="009B5AF0" w:rsidP="009B5AF0">
      <w:pPr>
        <w:pStyle w:val="Heading4"/>
        <w:rPr>
          <w:sz w:val="20"/>
        </w:rPr>
      </w:pPr>
      <w:r w:rsidRPr="009B5AF0">
        <w:rPr>
          <w:sz w:val="20"/>
        </w:rPr>
        <w:t>Overdue for a deadly bird flu mutation—their impact defense doesn’t apply—zoonotics are superhuman</w:t>
      </w:r>
    </w:p>
    <w:p w:rsidR="009B5AF0" w:rsidRDefault="009B5AF0" w:rsidP="009B5AF0">
      <w:r w:rsidRPr="009B5AF0">
        <w:rPr>
          <w:rStyle w:val="AuthorYear"/>
          <w:sz w:val="16"/>
        </w:rPr>
        <w:t>Nebehay 05</w:t>
      </w:r>
      <w:r w:rsidRPr="00617F37">
        <w:t xml:space="preserve"> [Stephanie. Staff Writer: Reuters. “Evolution of Bird Flu Virus May Favor Pandemic” Reuters, 20 Jan 05. Lexis//GBS-JV]</w:t>
      </w:r>
    </w:p>
    <w:p w:rsidR="009B5AF0" w:rsidRDefault="009B5AF0" w:rsidP="009B5AF0">
      <w:r w:rsidRPr="009B5AF0">
        <w:t xml:space="preserve">The bird flu virus endemic in Asia appears to be evolving in ways that increasingly </w:t>
      </w:r>
    </w:p>
    <w:p w:rsidR="009B5AF0" w:rsidRDefault="009B5AF0" w:rsidP="009B5AF0">
      <w:r>
        <w:t>AND</w:t>
      </w:r>
    </w:p>
    <w:p w:rsidR="009B5AF0" w:rsidRPr="009B5AF0" w:rsidRDefault="009B5AF0" w:rsidP="009B5AF0">
      <w:r w:rsidRPr="009B5AF0">
        <w:t>difficult to control and increase the likelihood of human exposures," it said.</w:t>
      </w:r>
    </w:p>
    <w:p w:rsidR="009B5AF0" w:rsidRPr="009B5AF0" w:rsidRDefault="009B5AF0" w:rsidP="009B5AF0">
      <w:pPr>
        <w:pStyle w:val="Heading4"/>
        <w:rPr>
          <w:sz w:val="20"/>
        </w:rPr>
      </w:pPr>
      <w:r w:rsidRPr="009B5AF0">
        <w:rPr>
          <w:sz w:val="20"/>
        </w:rPr>
        <w:t>Even common, harmless mutations add up to create a superhuman flu strain—cryptic mutations and heat-shock proteins prove</w:t>
      </w:r>
    </w:p>
    <w:p w:rsidR="009B5AF0" w:rsidRPr="00F636A4" w:rsidRDefault="009B5AF0" w:rsidP="009B5AF0">
      <w:r w:rsidRPr="009B5AF0">
        <w:rPr>
          <w:rStyle w:val="AuthorYear"/>
          <w:sz w:val="16"/>
        </w:rPr>
        <w:t>Yong 8/13</w:t>
      </w:r>
      <w:r w:rsidRPr="00F636A4">
        <w:t xml:space="preserve"> – </w:t>
      </w:r>
      <w:r>
        <w:t xml:space="preserve">Ed Yong is an award-winning science writer. His blog Not Exactly Rocket Science is hosted by National Geographic, and his work has also appeared in Wired, Nature, the BBC, New Scientist, the Guardian, the Times, Aeon, Discover, Scientific American, The Scientist, the BMJ, Slate, and more. (“Seemingly Unimportant Mutations Can Foster Disease”, Scientific American, 8/13/13, </w:t>
      </w:r>
      <w:hyperlink r:id="rId14" w:history="1">
        <w:r w:rsidRPr="00083E56">
          <w:rPr>
            <w:rStyle w:val="Hyperlink"/>
          </w:rPr>
          <w:t>http://www.scientificamerican.com/article.cfm?id=hidden-mutations-seemingly-unimportatnt-mutations-can-foster-disease</w:t>
        </w:r>
      </w:hyperlink>
      <w:r>
        <w:t>, MCallahan)</w:t>
      </w:r>
    </w:p>
    <w:p w:rsidR="009B5AF0" w:rsidRDefault="009B5AF0" w:rsidP="009B5AF0">
      <w:r w:rsidRPr="009B5AF0">
        <w:t xml:space="preserve">That spread “sounded alarm bells to me,” Bloom says. Something else had </w:t>
      </w:r>
    </w:p>
    <w:p w:rsidR="009B5AF0" w:rsidRDefault="009B5AF0" w:rsidP="009B5AF0">
      <w:r>
        <w:t>AND</w:t>
      </w:r>
    </w:p>
    <w:p w:rsidR="009B5AF0" w:rsidRPr="009B5AF0" w:rsidRDefault="009B5AF0" w:rsidP="009B5AF0">
      <w:r w:rsidRPr="009B5AF0">
        <w:t>of evolution’s most puzzling questions—the origin of complex combinations of traits.</w:t>
      </w:r>
    </w:p>
    <w:p w:rsidR="009B5AF0" w:rsidRPr="009B5AF0" w:rsidRDefault="009B5AF0" w:rsidP="009B5AF0">
      <w:pPr>
        <w:pStyle w:val="Heading4"/>
        <w:rPr>
          <w:sz w:val="20"/>
        </w:rPr>
      </w:pPr>
      <w:r w:rsidRPr="009B5AF0">
        <w:rPr>
          <w:sz w:val="20"/>
        </w:rPr>
        <w:t>The bird flu will lead to extinction</w:t>
      </w:r>
    </w:p>
    <w:p w:rsidR="009B5AF0" w:rsidRPr="00284D98" w:rsidRDefault="009B5AF0" w:rsidP="009B5AF0">
      <w:pPr>
        <w:rPr>
          <w:szCs w:val="16"/>
        </w:rPr>
      </w:pPr>
      <w:r w:rsidRPr="009B5AF0">
        <w:rPr>
          <w:rStyle w:val="Heading4Char"/>
          <w:rFonts w:eastAsia="Calibri"/>
          <w:sz w:val="20"/>
        </w:rPr>
        <w:t>Zakaria 05</w:t>
      </w:r>
      <w:r w:rsidRPr="00BB0F6D">
        <w:t xml:space="preserve"> (</w:t>
      </w:r>
      <w:r w:rsidRPr="00284D98">
        <w:rPr>
          <w:szCs w:val="16"/>
        </w:rPr>
        <w:t xml:space="preserve">Fareed, “A Threat Worse than Terror,” 10-31, Newsweek, </w:t>
      </w:r>
      <w:hyperlink r:id="rId15" w:history="1">
        <w:r w:rsidRPr="00284D98">
          <w:rPr>
            <w:rStyle w:val="Hyperlink"/>
            <w:szCs w:val="16"/>
          </w:rPr>
          <w:t>http://www.fareedzakaria.com/ARTICLES/newsweek/103105.html</w:t>
        </w:r>
      </w:hyperlink>
      <w:r w:rsidRPr="00284D98">
        <w:rPr>
          <w:szCs w:val="16"/>
        </w:rPr>
        <w:t>)</w:t>
      </w:r>
    </w:p>
    <w:p w:rsidR="009B5AF0" w:rsidRDefault="009B5AF0" w:rsidP="009B5AF0">
      <w:r w:rsidRPr="009B5AF0">
        <w:t xml:space="preserve">A flu pandemic is the most dangerous threat the United States faces today," says </w:t>
      </w:r>
    </w:p>
    <w:p w:rsidR="009B5AF0" w:rsidRDefault="009B5AF0" w:rsidP="009B5AF0">
      <w:r>
        <w:t>AND</w:t>
      </w:r>
    </w:p>
    <w:p w:rsidR="009B5AF0" w:rsidRPr="009B5AF0" w:rsidRDefault="009B5AF0" w:rsidP="009B5AF0">
      <w:r w:rsidRPr="009B5AF0">
        <w:t>for the first time. No such expertise exists for today's deadliest threat.</w:t>
      </w:r>
    </w:p>
    <w:p w:rsidR="009B5AF0" w:rsidRPr="009B5AF0" w:rsidRDefault="009B5AF0" w:rsidP="009B5AF0">
      <w:pPr>
        <w:pStyle w:val="Heading4"/>
        <w:rPr>
          <w:sz w:val="20"/>
        </w:rPr>
      </w:pPr>
      <w:r w:rsidRPr="009B5AF0">
        <w:rPr>
          <w:sz w:val="20"/>
        </w:rPr>
        <w:t>Continued reliance on industrial agriculture results in catastrophic emissions and global warming—non-CO2 GHGs are key</w:t>
      </w:r>
    </w:p>
    <w:p w:rsidR="009B5AF0" w:rsidRPr="00C11444" w:rsidRDefault="009B5AF0" w:rsidP="009B5AF0">
      <w:r w:rsidRPr="009B5AF0">
        <w:rPr>
          <w:rStyle w:val="AuthorYear"/>
          <w:sz w:val="16"/>
        </w:rPr>
        <w:t>Cummins 10</w:t>
      </w:r>
      <w:r w:rsidRPr="00C11444">
        <w:t xml:space="preserve"> – Ronnie is the International Director of the Organic Consumers Association. (“Industrial Agriculture and Human Survival: The Road Beyond 10/10/10”, Organic Consumer’s Association, October 7, 2010, </w:t>
      </w:r>
      <w:hyperlink r:id="rId16" w:history="1">
        <w:r w:rsidRPr="00E24018">
          <w:rPr>
            <w:rStyle w:val="Hyperlink"/>
            <w:szCs w:val="14"/>
          </w:rPr>
          <w:t>http://www.organicconsumers.org/articles/article_21747.cfm</w:t>
        </w:r>
      </w:hyperlink>
      <w:r w:rsidRPr="00C11444">
        <w:t>)</w:t>
      </w:r>
    </w:p>
    <w:p w:rsidR="009B5AF0" w:rsidRDefault="009B5AF0" w:rsidP="009B5AF0">
      <w:r w:rsidRPr="009B5AF0">
        <w:t xml:space="preserve">Although transportation, industry, and energy producers are obviously major fossil fuel users and </w:t>
      </w:r>
    </w:p>
    <w:p w:rsidR="009B5AF0" w:rsidRDefault="009B5AF0" w:rsidP="009B5AF0">
      <w:r>
        <w:lastRenderedPageBreak/>
        <w:t>AND</w:t>
      </w:r>
    </w:p>
    <w:p w:rsidR="009B5AF0" w:rsidRPr="009B5AF0" w:rsidRDefault="009B5AF0" w:rsidP="009B5AF0">
      <w:r w:rsidRPr="009B5AF0">
        <w:t>oxide, which are responsible for at least 22% of global warming.</w:t>
      </w:r>
    </w:p>
    <w:p w:rsidR="009B5AF0" w:rsidRPr="009B5AF0" w:rsidRDefault="009B5AF0" w:rsidP="009B5AF0">
      <w:pPr>
        <w:pStyle w:val="Heading4"/>
        <w:rPr>
          <w:sz w:val="20"/>
        </w:rPr>
      </w:pPr>
      <w:r w:rsidRPr="009B5AF0">
        <w:rPr>
          <w:sz w:val="20"/>
        </w:rPr>
        <w:t>A move towards organic agriculture mitigates future emissions and prevents warming</w:t>
      </w:r>
    </w:p>
    <w:p w:rsidR="009B5AF0" w:rsidRPr="00C11444" w:rsidRDefault="009B5AF0" w:rsidP="009B5AF0">
      <w:r w:rsidRPr="009B5AF0">
        <w:rPr>
          <w:rStyle w:val="AuthorYear"/>
          <w:sz w:val="16"/>
        </w:rPr>
        <w:t>Scialabba 10</w:t>
      </w:r>
      <w:r w:rsidRPr="00C11444">
        <w:t xml:space="preserve"> – Nadia is from the Natural Resources Management and Environment Department, Food and Agriculture Organization of the United Nations (FAO). (“Organic agriculture and climate change”, February 2, 2010, Renewable Agriculture and Food Systems 25.2, </w:t>
      </w:r>
      <w:hyperlink r:id="rId17" w:history="1">
        <w:r w:rsidRPr="00E24018">
          <w:rPr>
            <w:rStyle w:val="Hyperlink"/>
            <w:szCs w:val="14"/>
          </w:rPr>
          <w:t>http://www.fao.org/docs/eims/upload/275960/al185e.pdf</w:t>
        </w:r>
      </w:hyperlink>
      <w:r w:rsidRPr="00C11444">
        <w:t>)</w:t>
      </w:r>
    </w:p>
    <w:p w:rsidR="009B5AF0" w:rsidRDefault="009B5AF0" w:rsidP="009B5AF0">
      <w:r w:rsidRPr="009B5AF0">
        <w:t xml:space="preserve">Organic agricultural systems have an inherent potential to both reduce GHG emissions and to enhance </w:t>
      </w:r>
    </w:p>
    <w:p w:rsidR="009B5AF0" w:rsidRDefault="009B5AF0" w:rsidP="009B5AF0">
      <w:r>
        <w:t>AND</w:t>
      </w:r>
    </w:p>
    <w:p w:rsidR="009B5AF0" w:rsidRPr="009B5AF0" w:rsidRDefault="009B5AF0" w:rsidP="009B5AF0">
      <w:r w:rsidRPr="009B5AF0">
        <w:t>are needed to better unlock its potential and application on a large scale.</w:t>
      </w:r>
    </w:p>
    <w:p w:rsidR="009B5AF0" w:rsidRPr="009B5AF0" w:rsidRDefault="009B5AF0" w:rsidP="009B5AF0">
      <w:pPr>
        <w:pStyle w:val="Heading4"/>
        <w:rPr>
          <w:sz w:val="20"/>
        </w:rPr>
      </w:pPr>
      <w:r w:rsidRPr="009B5AF0">
        <w:rPr>
          <w:sz w:val="20"/>
        </w:rPr>
        <w:t>Warming leads to extinction, feedbacks are positive, and now is key</w:t>
      </w:r>
    </w:p>
    <w:p w:rsidR="009B5AF0" w:rsidRPr="00C46C5B" w:rsidRDefault="009B5AF0" w:rsidP="009B5AF0">
      <w:r w:rsidRPr="009B5AF0">
        <w:rPr>
          <w:rStyle w:val="AuthorYear"/>
          <w:sz w:val="16"/>
        </w:rPr>
        <w:t>Morgan 09</w:t>
      </w:r>
      <w:r w:rsidRPr="00C46C5B">
        <w:t xml:space="preserve"> – Professor of Current Affairs @ Hankuk University of Foreign Studies, South Korea (Dennis Ray, “World on fire: two scenarios of the destruction of human civilization and possible extinction of the human race”, Futures, Volume 41, Issue 10, December 2009, Pages 683-693, ScienceDirect)</w:t>
      </w:r>
    </w:p>
    <w:p w:rsidR="009B5AF0" w:rsidRDefault="009B5AF0" w:rsidP="009B5AF0">
      <w:r w:rsidRPr="009B5AF0">
        <w:t xml:space="preserve">As horrifying as the scenario of human extinction by sudden, fast-burning nuclear </w:t>
      </w:r>
    </w:p>
    <w:p w:rsidR="009B5AF0" w:rsidRDefault="009B5AF0" w:rsidP="009B5AF0">
      <w:r>
        <w:t>AND</w:t>
      </w:r>
    </w:p>
    <w:p w:rsidR="009B5AF0" w:rsidRPr="009B5AF0" w:rsidRDefault="009B5AF0" w:rsidP="009B5AF0">
      <w:r w:rsidRPr="009B5AF0">
        <w:t>Russian roulette while time increasingly stacks the cards against our chances of survival?</w:t>
      </w:r>
    </w:p>
    <w:p w:rsidR="009B5AF0" w:rsidRPr="009B5AF0" w:rsidRDefault="009B5AF0" w:rsidP="009B5AF0">
      <w:pPr>
        <w:pStyle w:val="Heading4"/>
        <w:rPr>
          <w:sz w:val="20"/>
        </w:rPr>
      </w:pPr>
      <w:r w:rsidRPr="009B5AF0">
        <w:rPr>
          <w:sz w:val="20"/>
        </w:rPr>
        <w:t>Warming is real and anthropogenic—every single warrant possible</w:t>
      </w:r>
    </w:p>
    <w:p w:rsidR="009B5AF0" w:rsidRPr="00C11444" w:rsidRDefault="009B5AF0" w:rsidP="009B5AF0">
      <w:r w:rsidRPr="009B5AF0">
        <w:rPr>
          <w:rStyle w:val="AuthorYear"/>
          <w:sz w:val="16"/>
        </w:rPr>
        <w:t>Prothero 12</w:t>
      </w:r>
      <w:r w:rsidRPr="00C11444">
        <w:t xml:space="preserve"> – Donald R. Prothero is a Professor of Geology at Occidental College and Lecturer in Geobiology at the California Institute of Technology. (“How We Know Global Warming is Real and Human Caused”, 3/1/2012, http://www.skeptic.com/eskeptic/12-02-08/)</w:t>
      </w:r>
    </w:p>
    <w:p w:rsidR="009B5AF0" w:rsidRDefault="009B5AF0" w:rsidP="009B5AF0">
      <w:r w:rsidRPr="009B5AF0">
        <w:t xml:space="preserve">How do we know that global warming is real and primarily human caused? There </w:t>
      </w:r>
    </w:p>
    <w:p w:rsidR="009B5AF0" w:rsidRDefault="009B5AF0" w:rsidP="009B5AF0">
      <w:r>
        <w:t>AND</w:t>
      </w:r>
    </w:p>
    <w:p w:rsidR="009B5AF0" w:rsidRPr="009B5AF0" w:rsidRDefault="009B5AF0" w:rsidP="009B5AF0">
      <w:r w:rsidRPr="009B5AF0">
        <w:t>honesty came first, and did not sell out to the highest bidder.</w:t>
      </w:r>
    </w:p>
    <w:p w:rsidR="009B5AF0" w:rsidRPr="009B5AF0" w:rsidRDefault="009B5AF0" w:rsidP="009B5AF0">
      <w:pPr>
        <w:pStyle w:val="Heading4"/>
        <w:rPr>
          <w:sz w:val="20"/>
        </w:rPr>
      </w:pPr>
      <w:r w:rsidRPr="009B5AF0">
        <w:rPr>
          <w:sz w:val="20"/>
        </w:rPr>
        <w:t xml:space="preserve">CO2 emissions cause ocean acidification and extinction </w:t>
      </w:r>
    </w:p>
    <w:p w:rsidR="009B5AF0" w:rsidRPr="00C11444" w:rsidRDefault="009B5AF0" w:rsidP="009B5AF0">
      <w:r w:rsidRPr="009B5AF0">
        <w:rPr>
          <w:rStyle w:val="AuthorYear"/>
          <w:sz w:val="16"/>
        </w:rPr>
        <w:t>Romm 12</w:t>
      </w:r>
      <w:r w:rsidRPr="00C11444">
        <w:t xml:space="preserve"> (Joe Romm is a Fellow at American Progress and is the editor of Climate Progress, “Science: Ocean Acidifying So Fast It Threatens Humanity’s Ability to Feed Itself,” 3/2/2012, http://thinkprogress.org/romm/2012/03/02/436193/science-ocean-acidifying-so-fast-it-threatens-humanity-ability-to-feed-itself/?utm_source=feedburner&amp;utm_medium=email&amp;utm_campaign=Feed%3A+climateprogre)</w:t>
      </w:r>
    </w:p>
    <w:p w:rsidR="009B5AF0" w:rsidRDefault="009B5AF0" w:rsidP="009B5AF0">
      <w:r w:rsidRPr="009B5AF0">
        <w:t xml:space="preserve">The world’s oceans may be turning acidic faster today from human carbon emissions than they </w:t>
      </w:r>
    </w:p>
    <w:p w:rsidR="009B5AF0" w:rsidRDefault="009B5AF0" w:rsidP="009B5AF0">
      <w:r>
        <w:t>AND</w:t>
      </w:r>
    </w:p>
    <w:p w:rsidR="009B5AF0" w:rsidRPr="009B5AF0" w:rsidRDefault="009B5AF0" w:rsidP="009B5AF0">
      <w:r w:rsidRPr="009B5AF0">
        <w:t>corals, mollusks and some plankton need for reef and shell-building.</w:t>
      </w:r>
    </w:p>
    <w:p w:rsidR="009B5AF0" w:rsidRPr="009B5AF0" w:rsidRDefault="009B5AF0" w:rsidP="009B5AF0">
      <w:pPr>
        <w:pStyle w:val="Heading4"/>
        <w:rPr>
          <w:sz w:val="20"/>
        </w:rPr>
      </w:pPr>
      <w:r w:rsidRPr="009B5AF0">
        <w:rPr>
          <w:sz w:val="20"/>
        </w:rPr>
        <w:t>CO2 releases methane from arctic permafrost—that causes extinction</w:t>
      </w:r>
    </w:p>
    <w:p w:rsidR="009B5AF0" w:rsidRPr="00C11444" w:rsidRDefault="009B5AF0" w:rsidP="009B5AF0">
      <w:r w:rsidRPr="009B5AF0">
        <w:rPr>
          <w:rStyle w:val="AuthorYear"/>
          <w:sz w:val="16"/>
        </w:rPr>
        <w:t>Ryskin 3</w:t>
      </w:r>
      <w:r w:rsidRPr="00C11444">
        <w:t xml:space="preserve"> (Gregory, Department of Chemical Engineering, Northwestern University, Illinois, “Methane-driven oceanic eruptions and mass extinctions” Geology 31(9): 741-744,)</w:t>
      </w:r>
    </w:p>
    <w:p w:rsidR="009B5AF0" w:rsidRDefault="009B5AF0" w:rsidP="009B5AF0">
      <w:r w:rsidRPr="009B5AF0">
        <w:t xml:space="preserve">The consequences of a methane-driven oceanic eruption for marine and terrestrial life are </w:t>
      </w:r>
    </w:p>
    <w:p w:rsidR="009B5AF0" w:rsidRDefault="009B5AF0" w:rsidP="009B5AF0">
      <w:r>
        <w:t>AND</w:t>
      </w:r>
    </w:p>
    <w:p w:rsidR="009B5AF0" w:rsidRPr="009B5AF0" w:rsidRDefault="009B5AF0" w:rsidP="009B5AF0">
      <w:r w:rsidRPr="009B5AF0">
        <w:t>, implicated in the nuclear winter scenario (Turco et al., 1991).</w:t>
      </w:r>
    </w:p>
    <w:p w:rsidR="00CE727A" w:rsidRDefault="00941390" w:rsidP="00941390">
      <w:pPr>
        <w:pStyle w:val="Heading1"/>
      </w:pPr>
      <w:r>
        <w:lastRenderedPageBreak/>
        <w:t>File Title</w:t>
      </w:r>
    </w:p>
    <w:p w:rsidR="00657845" w:rsidRPr="00657845" w:rsidRDefault="00657845" w:rsidP="00657845"/>
    <w:sectPr w:rsidR="00657845" w:rsidRPr="0065784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675" w:rsidRDefault="007B6675" w:rsidP="005F5576">
      <w:r>
        <w:separator/>
      </w:r>
    </w:p>
  </w:endnote>
  <w:endnote w:type="continuationSeparator" w:id="0">
    <w:p w:rsidR="007B6675" w:rsidRDefault="007B66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675" w:rsidRDefault="007B6675" w:rsidP="005F5576">
      <w:r>
        <w:separator/>
      </w:r>
    </w:p>
  </w:footnote>
  <w:footnote w:type="continuationSeparator" w:id="0">
    <w:p w:rsidR="007B6675" w:rsidRDefault="007B667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F0"/>
    <w:rsid w:val="000022F2"/>
    <w:rsid w:val="0000459F"/>
    <w:rsid w:val="00004EB4"/>
    <w:rsid w:val="00011CB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33839"/>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A213E"/>
    <w:rsid w:val="002A612B"/>
    <w:rsid w:val="002A6513"/>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57E5"/>
    <w:rsid w:val="004A305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2871"/>
    <w:rsid w:val="0061680A"/>
    <w:rsid w:val="00623B70"/>
    <w:rsid w:val="0063578B"/>
    <w:rsid w:val="00636B3D"/>
    <w:rsid w:val="00641025"/>
    <w:rsid w:val="006505F8"/>
    <w:rsid w:val="00650E98"/>
    <w:rsid w:val="0065669A"/>
    <w:rsid w:val="00656C61"/>
    <w:rsid w:val="00657845"/>
    <w:rsid w:val="006672D8"/>
    <w:rsid w:val="00670D96"/>
    <w:rsid w:val="00672877"/>
    <w:rsid w:val="00683154"/>
    <w:rsid w:val="00690115"/>
    <w:rsid w:val="00690898"/>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675"/>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5341"/>
    <w:rsid w:val="00976675"/>
    <w:rsid w:val="00976FBF"/>
    <w:rsid w:val="00977061"/>
    <w:rsid w:val="00984B38"/>
    <w:rsid w:val="009A0636"/>
    <w:rsid w:val="009A6FF5"/>
    <w:rsid w:val="009B2B47"/>
    <w:rsid w:val="009B35DB"/>
    <w:rsid w:val="009B5AF0"/>
    <w:rsid w:val="009C4298"/>
    <w:rsid w:val="009D318C"/>
    <w:rsid w:val="009E1D68"/>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908D1"/>
    <w:rsid w:val="00B940D1"/>
    <w:rsid w:val="00BB58BD"/>
    <w:rsid w:val="00BB6A26"/>
    <w:rsid w:val="00BC1034"/>
    <w:rsid w:val="00BE2408"/>
    <w:rsid w:val="00BE3EC6"/>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958E3"/>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9E4C5E5-10B5-4552-8CED-ED066ABB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F21"/>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880F21"/>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E222E4"/>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3369B"/>
    <w:rPr>
      <w:rFonts w:ascii="Georgia" w:hAnsi="Georgia"/>
      <w:b w:val="0"/>
      <w:bCs/>
      <w:sz w:val="2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880F21"/>
    <w:rPr>
      <w:rFonts w:ascii="Georgia" w:eastAsiaTheme="majorEastAsia" w:hAnsi="Georgia" w:cstheme="majorBidi"/>
      <w:b/>
      <w:bCs/>
      <w:iCs/>
      <w:sz w:val="24"/>
    </w:rPr>
  </w:style>
  <w:style w:type="paragraph" w:styleId="BalloonText">
    <w:name w:val="Balloon Text"/>
    <w:basedOn w:val="Normal"/>
    <w:link w:val="BalloonTextChar"/>
    <w:uiPriority w:val="99"/>
    <w:semiHidden/>
    <w:rsid w:val="00880F21"/>
    <w:rPr>
      <w:rFonts w:ascii="Tahoma" w:hAnsi="Tahoma" w:cs="Tahoma"/>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ListParagraph">
    <w:name w:val="List Paragraph"/>
    <w:basedOn w:val="Normal"/>
    <w:uiPriority w:val="34"/>
    <w:semiHidden/>
    <w:rsid w:val="005A78A5"/>
    <w:pPr>
      <w:ind w:left="720"/>
      <w:contextualSpacing/>
    </w:pPr>
  </w:style>
  <w:style w:type="character" w:customStyle="1" w:styleId="CardChar">
    <w:name w:val="Card Char"/>
    <w:locked/>
    <w:rsid w:val="009B5AF0"/>
    <w:rPr>
      <w:rFonts w:ascii="Palatino Linotype" w:eastAsia="Times New Roman" w:hAnsi="Palatino Linotype" w:cs="Arial"/>
      <w:bCs/>
      <w:sz w:val="20"/>
      <w:szCs w:val="24"/>
    </w:rPr>
  </w:style>
  <w:style w:type="paragraph" w:customStyle="1" w:styleId="Cites">
    <w:name w:val="Cites"/>
    <w:basedOn w:val="Normal"/>
    <w:next w:val="cards"/>
    <w:rsid w:val="009B5AF0"/>
    <w:rPr>
      <w:rFonts w:ascii="Times New Roman" w:hAnsi="Times New Roman"/>
      <w:b/>
      <w:u w:val="single"/>
    </w:rPr>
  </w:style>
  <w:style w:type="paragraph" w:customStyle="1" w:styleId="cards">
    <w:name w:val="cards"/>
    <w:basedOn w:val="Cites"/>
    <w:rsid w:val="009B5AF0"/>
    <w:rPr>
      <w:b w:val="0"/>
      <w:sz w:val="20"/>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B5AF0"/>
    <w:pPr>
      <w:spacing w:after="0" w:line="240" w:lineRule="auto"/>
    </w:pPr>
    <w:rPr>
      <w:bCs/>
      <w:u w:val="single"/>
    </w:rPr>
  </w:style>
  <w:style w:type="paragraph" w:customStyle="1" w:styleId="cites0">
    <w:name w:val="cites"/>
    <w:next w:val="Normal"/>
    <w:link w:val="citesChar"/>
    <w:autoRedefine/>
    <w:rsid w:val="009B5AF0"/>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B5AF0"/>
    <w:pPr>
      <w:spacing w:after="0" w:line="240" w:lineRule="auto"/>
      <w:contextualSpacing/>
    </w:pPr>
    <w:rPr>
      <w:rFonts w:eastAsia="Malgun Gothic" w:cs="Times New Roman"/>
      <w:sz w:val="12"/>
      <w:szCs w:val="24"/>
      <w:lang w:eastAsia="ko-KR"/>
    </w:rPr>
  </w:style>
  <w:style w:type="paragraph" w:customStyle="1" w:styleId="underlined">
    <w:name w:val="underlined"/>
    <w:next w:val="Normal"/>
    <w:link w:val="underlinedChar"/>
    <w:autoRedefine/>
    <w:rsid w:val="009B5AF0"/>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0"/>
    <w:rsid w:val="009B5AF0"/>
    <w:rPr>
      <w:rFonts w:ascii="Times New Roman" w:eastAsia="Malgun Gothic" w:hAnsi="Times New Roman" w:cs="Times New Roman"/>
      <w:b/>
      <w:szCs w:val="24"/>
      <w:u w:val="single"/>
    </w:rPr>
  </w:style>
  <w:style w:type="character" w:customStyle="1" w:styleId="underlinedChar">
    <w:name w:val="underlined Char"/>
    <w:link w:val="underlined"/>
    <w:rsid w:val="009B5AF0"/>
    <w:rPr>
      <w:rFonts w:ascii="Times New Roman" w:eastAsia="Malgun Gothic" w:hAnsi="Times New Roman" w:cs="Times New Roman"/>
      <w:sz w:val="21"/>
      <w:szCs w:val="24"/>
      <w:u w:val="single"/>
    </w:rPr>
  </w:style>
  <w:style w:type="character" w:customStyle="1" w:styleId="tinyChar">
    <w:name w:val="tiny Char"/>
    <w:link w:val="tiny"/>
    <w:rsid w:val="009B5AF0"/>
    <w:rPr>
      <w:rFonts w:eastAsia="Malgun Gothic" w:cs="Times New Roman"/>
      <w:sz w:val="12"/>
      <w:szCs w:val="24"/>
      <w:lang w:eastAsia="ko-KR"/>
    </w:rPr>
  </w:style>
  <w:style w:type="paragraph" w:customStyle="1" w:styleId="cardtext">
    <w:name w:val="card text"/>
    <w:basedOn w:val="Normal"/>
    <w:link w:val="cardtextChar"/>
    <w:rsid w:val="009B5AF0"/>
    <w:pPr>
      <w:ind w:left="288" w:right="288"/>
    </w:pPr>
  </w:style>
  <w:style w:type="character" w:customStyle="1" w:styleId="cardtextChar">
    <w:name w:val="card text Char"/>
    <w:basedOn w:val="DefaultParagraphFont"/>
    <w:link w:val="cardtext"/>
    <w:rsid w:val="009B5AF0"/>
    <w:rPr>
      <w:rFonts w:ascii="Georgia" w:hAnsi="Georgia" w:cs="Calibri"/>
      <w:sz w:val="14"/>
    </w:rPr>
  </w:style>
  <w:style w:type="character" w:customStyle="1" w:styleId="Style2Char">
    <w:name w:val="Style2 Char"/>
    <w:basedOn w:val="DefaultParagraphFont"/>
    <w:link w:val="Style2"/>
    <w:locked/>
    <w:rsid w:val="009B5AF0"/>
    <w:rPr>
      <w:rFonts w:ascii="Georgia" w:eastAsia="Calibri" w:hAnsi="Georgia" w:cs="Times New Roman"/>
      <w:sz w:val="16"/>
      <w:szCs w:val="16"/>
    </w:rPr>
  </w:style>
  <w:style w:type="paragraph" w:customStyle="1" w:styleId="Style2">
    <w:name w:val="Style2"/>
    <w:basedOn w:val="Normal"/>
    <w:link w:val="Style2Char"/>
    <w:rsid w:val="009B5AF0"/>
    <w:rPr>
      <w:rFonts w:eastAsia="Calibri" w:cs="Times New Roman"/>
      <w:sz w:val="16"/>
      <w:szCs w:val="16"/>
    </w:rPr>
  </w:style>
  <w:style w:type="character" w:customStyle="1" w:styleId="underline">
    <w:name w:val="underline"/>
    <w:link w:val="textbold"/>
    <w:qFormat/>
    <w:rsid w:val="009B5AF0"/>
    <w:rPr>
      <w:u w:val="single"/>
    </w:rPr>
  </w:style>
  <w:style w:type="paragraph" w:customStyle="1" w:styleId="textbold">
    <w:name w:val="text bold"/>
    <w:basedOn w:val="Normal"/>
    <w:link w:val="underline"/>
    <w:rsid w:val="009B5AF0"/>
    <w:pPr>
      <w:ind w:left="720"/>
      <w:jc w:val="both"/>
    </w:pPr>
    <w:rPr>
      <w:rFonts w:asciiTheme="minorHAnsi" w:hAnsiTheme="minorHAnsi" w:cstheme="minorBidi"/>
      <w:sz w:val="22"/>
      <w:u w:val="single"/>
    </w:rPr>
  </w:style>
  <w:style w:type="character" w:customStyle="1" w:styleId="StyleUnderline">
    <w:name w:val="Style Underline"/>
    <w:basedOn w:val="DefaultParagraphFont"/>
    <w:rsid w:val="009B5AF0"/>
    <w:rPr>
      <w:sz w:val="24"/>
      <w:u w:val="single"/>
    </w:rPr>
  </w:style>
  <w:style w:type="character" w:customStyle="1" w:styleId="apple-converted-space">
    <w:name w:val="apple-converted-space"/>
    <w:basedOn w:val="DefaultParagraphFont"/>
    <w:rsid w:val="009B5AF0"/>
  </w:style>
  <w:style w:type="paragraph" w:styleId="NormalWeb">
    <w:name w:val="Normal (Web)"/>
    <w:basedOn w:val="Normal"/>
    <w:uiPriority w:val="99"/>
    <w:semiHidden/>
    <w:unhideWhenUsed/>
    <w:rsid w:val="009B5AF0"/>
    <w:pPr>
      <w:spacing w:before="100" w:beforeAutospacing="1" w:after="100" w:afterAutospacing="1"/>
    </w:pPr>
    <w:rPr>
      <w:rFonts w:ascii="Times New Roman" w:eastAsia="Times New Roman" w:hAnsi="Times New Roman" w:cs="Times New Roman"/>
      <w:sz w:val="24"/>
      <w:szCs w:val="24"/>
    </w:rPr>
  </w:style>
  <w:style w:type="paragraph" w:customStyle="1" w:styleId="Cardstyle">
    <w:name w:val="Cardstyle"/>
    <w:basedOn w:val="Normal"/>
    <w:next w:val="Normal"/>
    <w:uiPriority w:val="99"/>
    <w:rsid w:val="009B5AF0"/>
    <w:rPr>
      <w:rFonts w:eastAsia="Times New Roman"/>
      <w:sz w:val="20"/>
      <w:szCs w:val="24"/>
    </w:rPr>
  </w:style>
  <w:style w:type="paragraph" w:customStyle="1" w:styleId="Tagstyle">
    <w:name w:val="Tagstyle"/>
    <w:basedOn w:val="Normal"/>
    <w:next w:val="Normal"/>
    <w:uiPriority w:val="99"/>
    <w:rsid w:val="009B5AF0"/>
    <w:rPr>
      <w:rFonts w:eastAsia="Times New Roman"/>
      <w:b/>
      <w:szCs w:val="24"/>
    </w:rPr>
  </w:style>
  <w:style w:type="character" w:styleId="Strong">
    <w:name w:val="Strong"/>
    <w:uiPriority w:val="22"/>
    <w:qFormat/>
    <w:rsid w:val="009B5A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o.org/pubs/articles/Hayek-Society-Journal-Griswold.pdf%20Accessed%206/30/12"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elfercenter.ksg.harvard.edu/files/uploads/Beardsley-Asal_Winning_with_the_Bomb.pdf" TargetMode="External"/><Relationship Id="rId17" Type="http://schemas.openxmlformats.org/officeDocument/2006/relationships/hyperlink" Target="http://www.fao.org/docs/eims/upload/275960/al185e.pdf" TargetMode="External"/><Relationship Id="rId2" Type="http://schemas.openxmlformats.org/officeDocument/2006/relationships/customXml" Target="../customXml/item2.xml"/><Relationship Id="rId16" Type="http://schemas.openxmlformats.org/officeDocument/2006/relationships/hyperlink" Target="http://www.organicconsumers.org/articles/article_21747.cf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tic.mil/cgi-bin/GetTRDoc?Location=U2&amp;doc=GetTRDoc.pdf&amp;AD=ADA518053" TargetMode="External"/><Relationship Id="rId5" Type="http://schemas.openxmlformats.org/officeDocument/2006/relationships/numbering" Target="numbering.xml"/><Relationship Id="rId15" Type="http://schemas.openxmlformats.org/officeDocument/2006/relationships/hyperlink" Target="http://www.fareedzakaria.com/ARTICLES/newsweek/103105.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cientificamerican.com/article.cfm?id=hidden-mutations-seemingly-unimportatnt-mutations-can-foster-dise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C98CE2-CDF2-4066-BED3-0AE3D402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cp:lastModifiedBy>
  <cp:revision>1</cp:revision>
  <dcterms:created xsi:type="dcterms:W3CDTF">2013-10-14T15:59:00Z</dcterms:created>
  <dcterms:modified xsi:type="dcterms:W3CDTF">2013-10-14T16:00:00Z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