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DC" w:rsidRDefault="000000DC" w:rsidP="000000DC">
      <w:pPr>
        <w:pStyle w:val="Heading3"/>
      </w:pPr>
      <w:r>
        <w:t>Plan Text</w:t>
      </w:r>
    </w:p>
    <w:p w:rsidR="000000DC" w:rsidRPr="000000DC" w:rsidRDefault="000000DC" w:rsidP="000000DC">
      <w:pPr>
        <w:pStyle w:val="Heading4"/>
        <w:rPr>
          <w:sz w:val="20"/>
        </w:rPr>
      </w:pPr>
      <w:r w:rsidRPr="000000DC">
        <w:rPr>
          <w:sz w:val="20"/>
        </w:rPr>
        <w:t>Text: The United States federal government should normalize its trade relations with the Republic of Cuba.</w:t>
      </w:r>
    </w:p>
    <w:p w:rsidR="000000DC" w:rsidRDefault="000000DC" w:rsidP="000000DC">
      <w:pPr>
        <w:pStyle w:val="Heading3"/>
      </w:pPr>
      <w:r>
        <w:lastRenderedPageBreak/>
        <w:t>Legitimacy</w:t>
      </w:r>
    </w:p>
    <w:p w:rsidR="000000DC" w:rsidRPr="000000DC" w:rsidRDefault="000000DC" w:rsidP="000000DC">
      <w:pPr>
        <w:pStyle w:val="Heading4"/>
        <w:rPr>
          <w:sz w:val="20"/>
        </w:rPr>
      </w:pPr>
      <w:r w:rsidRPr="000000DC">
        <w:rPr>
          <w:sz w:val="20"/>
        </w:rPr>
        <w:t>Contention One is Legitimacy:</w:t>
      </w:r>
    </w:p>
    <w:p w:rsidR="000000DC" w:rsidRPr="000000DC" w:rsidRDefault="000000DC" w:rsidP="000000DC">
      <w:pPr>
        <w:pStyle w:val="Heading4"/>
        <w:rPr>
          <w:sz w:val="20"/>
        </w:rPr>
      </w:pPr>
      <w:r w:rsidRPr="000000DC">
        <w:rPr>
          <w:sz w:val="20"/>
        </w:rPr>
        <w:t>Cuba is making concessions but the US isn’t responding—that ensures backlash and illegitimacy</w:t>
      </w:r>
    </w:p>
    <w:p w:rsidR="000000DC" w:rsidRPr="00E91976" w:rsidRDefault="000000DC" w:rsidP="000000DC">
      <w:r w:rsidRPr="000000DC">
        <w:rPr>
          <w:rStyle w:val="AuthorYear"/>
          <w:sz w:val="16"/>
        </w:rPr>
        <w:t>French 10</w:t>
      </w:r>
      <w:r>
        <w:t xml:space="preserve"> (Anya, Director for the U.S.-Cuba Policy Initiative at the New America Foundation, “Stiffing Havana,” http://cuba.newamerica.net/publications/articles/2010/stiffing_havana_38758)</w:t>
      </w:r>
    </w:p>
    <w:p w:rsidR="000000DC" w:rsidRDefault="000000DC" w:rsidP="000000DC">
      <w:r w:rsidRPr="000000DC">
        <w:t>In the high-stakes world of international diplomacy, bluffing is a seldom-</w:t>
      </w:r>
    </w:p>
    <w:p w:rsidR="000000DC" w:rsidRDefault="000000DC" w:rsidP="000000DC">
      <w:r>
        <w:t>AND</w:t>
      </w:r>
    </w:p>
    <w:p w:rsidR="000000DC" w:rsidRPr="000000DC" w:rsidRDefault="000000DC" w:rsidP="000000DC">
      <w:r w:rsidRPr="000000DC">
        <w:t>influence at this pivotal moment, the time to engage Cuba is now.</w:t>
      </w:r>
    </w:p>
    <w:p w:rsidR="000000DC" w:rsidRPr="000000DC" w:rsidRDefault="000000DC" w:rsidP="000000DC">
      <w:pPr>
        <w:pStyle w:val="Heading4"/>
        <w:rPr>
          <w:sz w:val="20"/>
        </w:rPr>
      </w:pPr>
      <w:r w:rsidRPr="000000DC">
        <w:rPr>
          <w:sz w:val="20"/>
        </w:rPr>
        <w:t>Full removal is key</w:t>
      </w:r>
    </w:p>
    <w:p w:rsidR="000000DC" w:rsidRPr="00A473C4" w:rsidRDefault="000000DC" w:rsidP="000000DC">
      <w:pPr>
        <w:rPr>
          <w:szCs w:val="14"/>
        </w:rPr>
      </w:pPr>
      <w:r w:rsidRPr="000000DC">
        <w:rPr>
          <w:rStyle w:val="Heading4Char"/>
          <w:sz w:val="20"/>
        </w:rPr>
        <w:t>Vivanco 6</w:t>
      </w:r>
      <w:r w:rsidRPr="00A473C4">
        <w:rPr>
          <w:szCs w:val="14"/>
        </w:rPr>
        <w:t xml:space="preserve"> – LLM from Harvard Law School, Americas director of Humans Rights Watch</w:t>
      </w:r>
      <w:r>
        <w:rPr>
          <w:szCs w:val="14"/>
        </w:rPr>
        <w:t xml:space="preserve">. </w:t>
      </w:r>
      <w:r w:rsidRPr="00A473C4">
        <w:rPr>
          <w:szCs w:val="14"/>
        </w:rPr>
        <w:t xml:space="preserve">(Jose Miguel, “Restraint, not force, will bring change to Cuba”, humans rights watch, 12/22/06, </w:t>
      </w:r>
      <w:hyperlink r:id="rId11" w:history="1">
        <w:r w:rsidRPr="00A473C4">
          <w:rPr>
            <w:rStyle w:val="Hyperlink"/>
            <w:szCs w:val="14"/>
          </w:rPr>
          <w:t>http://www.hrw.org/news/2006/12/21/restraint-not-force-will-bring-change-cuba</w:t>
        </w:r>
      </w:hyperlink>
      <w:r>
        <w:rPr>
          <w:szCs w:val="14"/>
        </w:rPr>
        <w:t>, google scholar)</w:t>
      </w:r>
    </w:p>
    <w:p w:rsidR="000000DC" w:rsidRDefault="000000DC" w:rsidP="000000DC">
      <w:r w:rsidRPr="000000DC">
        <w:t xml:space="preserve">This reluctance would be understandable but misguided. Most Cubans do want change. If </w:t>
      </w:r>
    </w:p>
    <w:p w:rsidR="000000DC" w:rsidRDefault="000000DC" w:rsidP="000000DC">
      <w:r>
        <w:t>AND</w:t>
      </w:r>
    </w:p>
    <w:p w:rsidR="000000DC" w:rsidRPr="000000DC" w:rsidRDefault="000000DC" w:rsidP="000000DC">
      <w:r w:rsidRPr="000000DC">
        <w:t>when the US stops acting like Goliath will Cuba stop looking like David.</w:t>
      </w:r>
    </w:p>
    <w:p w:rsidR="000000DC" w:rsidRPr="000000DC" w:rsidRDefault="000000DC" w:rsidP="000000DC">
      <w:pPr>
        <w:pStyle w:val="Heading4"/>
        <w:rPr>
          <w:sz w:val="20"/>
        </w:rPr>
      </w:pPr>
      <w:r w:rsidRPr="000000DC">
        <w:rPr>
          <w:sz w:val="20"/>
        </w:rPr>
        <w:t>Cuba is uniquely symbolic of imperial American policy</w:t>
      </w:r>
    </w:p>
    <w:p w:rsidR="000000DC" w:rsidRDefault="000000DC" w:rsidP="000000DC">
      <w:r w:rsidRPr="000000DC">
        <w:rPr>
          <w:rStyle w:val="AuthorYear"/>
          <w:sz w:val="16"/>
        </w:rPr>
        <w:t xml:space="preserve">Naim 09 </w:t>
      </w:r>
      <w:r w:rsidRPr="00C11444">
        <w:t>(Moises, Senior Associate in the International Economics Program at the Carnegie Endowment for International Peace,</w:t>
      </w:r>
      <w:r>
        <w:rPr>
          <w:szCs w:val="16"/>
        </w:rPr>
        <w:t xml:space="preserve"> “The Havana Obsession, Why all eyes are on a bankrupt island”, http://www.newsweek.com/2009/06/12/the-havana-obsession.html)</w:t>
      </w:r>
    </w:p>
    <w:p w:rsidR="000000DC" w:rsidRDefault="000000DC" w:rsidP="000000DC">
      <w:r w:rsidRPr="000000DC">
        <w:t xml:space="preserve">Bill Clinton and George W. Bush recently had a face-to-face </w:t>
      </w:r>
    </w:p>
    <w:p w:rsidR="000000DC" w:rsidRDefault="000000DC" w:rsidP="000000DC">
      <w:r>
        <w:t>AND</w:t>
      </w:r>
    </w:p>
    <w:p w:rsidR="000000DC" w:rsidRPr="000000DC" w:rsidRDefault="000000DC" w:rsidP="000000DC">
      <w:r w:rsidRPr="000000DC">
        <w:t>of a superpower that punishes a small island while cozying to dictators elsewhere.</w:t>
      </w:r>
    </w:p>
    <w:p w:rsidR="000000DC" w:rsidRPr="000000DC" w:rsidRDefault="000000DC" w:rsidP="000000DC">
      <w:pPr>
        <w:pStyle w:val="Heading4"/>
        <w:rPr>
          <w:rStyle w:val="StyleStyleBold12pt"/>
          <w:b w:val="0"/>
          <w:sz w:val="20"/>
        </w:rPr>
      </w:pPr>
      <w:r w:rsidRPr="000000DC">
        <w:rPr>
          <w:rStyle w:val="StyleStyleBold12pt"/>
          <w:sz w:val="20"/>
        </w:rPr>
        <w:t>Lifting the embargo signals a commitment to engage with non-democracies</w:t>
      </w:r>
    </w:p>
    <w:p w:rsidR="000000DC" w:rsidRPr="00C016E0" w:rsidRDefault="000000DC" w:rsidP="000000DC">
      <w:r w:rsidRPr="000000DC">
        <w:rPr>
          <w:rStyle w:val="AuthorYear"/>
          <w:sz w:val="16"/>
        </w:rPr>
        <w:t>Hinderdael 11</w:t>
      </w:r>
      <w:r w:rsidRPr="00C016E0">
        <w:t xml:space="preserve"> (Klaas, M.A. candidate at SAIS Bologna Center, concentrating in American Foreign Policy and Energy, Resources, and Environment, “Breaking the Logjam: Obama's Cuba Policy and a Guideline for Improved Leadership”, 6/11/2011, http://bcjournal.org/volume-14/breaking-the-logjam.html?printerFriendly=true)</w:t>
      </w:r>
    </w:p>
    <w:p w:rsidR="000000DC" w:rsidRDefault="000000DC" w:rsidP="000000DC">
      <w:r w:rsidRPr="000000DC">
        <w:t xml:space="preserve">The two countries’ histories have long been intertwined, particularly after the Monroe Doctrine of </w:t>
      </w:r>
    </w:p>
    <w:p w:rsidR="000000DC" w:rsidRDefault="000000DC" w:rsidP="000000DC">
      <w:r>
        <w:t>AND</w:t>
      </w:r>
    </w:p>
    <w:p w:rsidR="000000DC" w:rsidRPr="000000DC" w:rsidRDefault="000000DC" w:rsidP="000000DC">
      <w:r w:rsidRPr="000000DC">
        <w:t>truly willing to extend his hand once America’s traditional adversaries unclench their fists.</w:t>
      </w:r>
    </w:p>
    <w:p w:rsidR="000000DC" w:rsidRPr="000000DC" w:rsidRDefault="000000DC" w:rsidP="000000DC">
      <w:pPr>
        <w:pStyle w:val="Heading4"/>
        <w:rPr>
          <w:sz w:val="20"/>
        </w:rPr>
      </w:pPr>
      <w:r w:rsidRPr="000000DC">
        <w:rPr>
          <w:sz w:val="20"/>
        </w:rPr>
        <w:t>That’s key to global legitimacy</w:t>
      </w:r>
    </w:p>
    <w:p w:rsidR="000000DC" w:rsidRPr="00083CCA" w:rsidRDefault="000000DC" w:rsidP="000000DC">
      <w:r w:rsidRPr="000000DC">
        <w:rPr>
          <w:rStyle w:val="AuthorYear"/>
          <w:sz w:val="16"/>
        </w:rPr>
        <w:t>Kupchan and Mount 09</w:t>
      </w:r>
      <w:r w:rsidRPr="00193D9A">
        <w:t xml:space="preserve"> (Charles,</w:t>
      </w:r>
      <w:r w:rsidRPr="00083CCA">
        <w:t xml:space="preserve"> professor of International Affairs at Georgetown University and senior fellow at the Council on Foreign Relations, and Adam, doctoral candidate in the Department of Government at Georgetown University, “The Autonomy Rule,” Democracy: A Journal of Ideas, Spring 2009,</w:t>
      </w:r>
      <w:r>
        <w:t xml:space="preserve"> </w:t>
      </w:r>
      <w:r w:rsidRPr="00A67E42">
        <w:rPr>
          <w:rFonts w:asciiTheme="minorHAnsi" w:hAnsiTheme="minorHAnsi"/>
        </w:rPr>
        <w:t>http://www.democracyjournal.org/pdf/12/Kupchan.pdf</w:t>
      </w:r>
      <w:r w:rsidRPr="00C11444">
        <w:t>)</w:t>
      </w:r>
    </w:p>
    <w:p w:rsidR="000000DC" w:rsidRDefault="000000DC" w:rsidP="000000DC">
      <w:r w:rsidRPr="000000DC">
        <w:t xml:space="preserve">Many American strategists recognize the inevitability of a more level global playing field, but </w:t>
      </w:r>
    </w:p>
    <w:p w:rsidR="000000DC" w:rsidRDefault="000000DC" w:rsidP="000000DC">
      <w:r>
        <w:t>AND</w:t>
      </w:r>
    </w:p>
    <w:p w:rsidR="000000DC" w:rsidRPr="000000DC" w:rsidRDefault="000000DC" w:rsidP="000000DC">
      <w:r w:rsidRPr="000000DC">
        <w:t>the principles around which the next order is most likely to take shape.</w:t>
      </w:r>
    </w:p>
    <w:p w:rsidR="000000DC" w:rsidRPr="000000DC" w:rsidRDefault="000000DC" w:rsidP="000000DC">
      <w:pPr>
        <w:pStyle w:val="Heading4"/>
        <w:rPr>
          <w:sz w:val="20"/>
        </w:rPr>
      </w:pPr>
      <w:r w:rsidRPr="000000DC">
        <w:rPr>
          <w:sz w:val="20"/>
        </w:rPr>
        <w:t>Legitimacy is key to primacy</w:t>
      </w:r>
    </w:p>
    <w:p w:rsidR="000000DC" w:rsidRPr="00654104" w:rsidRDefault="000000DC" w:rsidP="000000DC">
      <w:r w:rsidRPr="000000DC">
        <w:rPr>
          <w:rStyle w:val="AuthorYear"/>
          <w:sz w:val="16"/>
        </w:rPr>
        <w:t>Finnemore 09</w:t>
      </w:r>
      <w:r w:rsidRPr="00654104">
        <w:t xml:space="preserve"> – (Martha Finnemore, professor of political science and international affairs at George Washington University, January 2009, “Legitimacy, Hypocrisy, and the Social Structure of Unipolarity: Why Being a Unipole Isn’t All It’s Cracked Up to Be,” World Politics, Volume 61, Number 1)</w:t>
      </w:r>
    </w:p>
    <w:p w:rsidR="000000DC" w:rsidRDefault="000000DC" w:rsidP="000000DC">
      <w:r w:rsidRPr="000000DC">
        <w:t xml:space="preserve">Legitimacy is, by its nature, a social and relational phenomenon. One’s position </w:t>
      </w:r>
    </w:p>
    <w:p w:rsidR="000000DC" w:rsidRDefault="000000DC" w:rsidP="000000DC">
      <w:r>
        <w:t>AND</w:t>
      </w:r>
    </w:p>
    <w:p w:rsidR="000000DC" w:rsidRPr="000000DC" w:rsidRDefault="000000DC" w:rsidP="000000DC">
      <w:r w:rsidRPr="000000DC">
        <w:t>must give up some of that power to secure legitimacy for their policies.</w:t>
      </w:r>
    </w:p>
    <w:p w:rsidR="000000DC" w:rsidRPr="000000DC" w:rsidRDefault="000000DC" w:rsidP="000000DC">
      <w:pPr>
        <w:pStyle w:val="Heading4"/>
        <w:rPr>
          <w:sz w:val="20"/>
        </w:rPr>
      </w:pPr>
      <w:r w:rsidRPr="000000DC">
        <w:rPr>
          <w:sz w:val="20"/>
        </w:rPr>
        <w:t>Legitimacy is the only way to successfully exercise hegemony—countries backlash because they’re afraid of US hard power</w:t>
      </w:r>
    </w:p>
    <w:p w:rsidR="000000DC" w:rsidRPr="00AC78A3" w:rsidRDefault="000000DC" w:rsidP="000000DC">
      <w:r w:rsidRPr="000000DC">
        <w:rPr>
          <w:rStyle w:val="AuthorYear"/>
          <w:sz w:val="16"/>
        </w:rPr>
        <w:t>Monteiro 10</w:t>
      </w:r>
      <w:r w:rsidRPr="00AC78A3">
        <w:t xml:space="preserve"> *Nuno P. Monteiro is an Assistant Professor of Political Science at Yale University. His research and teach</w:t>
      </w:r>
      <w:r w:rsidRPr="00AC78A3">
        <w:softHyphen/>
        <w:t>ing focuses on international relations theory and security studies. He is currently writing a book on the causes of conflict in a unipolar world. Professor Monteiro received his Ph.D. in Political Science from the University of Chicago in 2009 [http://yalejournal.org/wp-content/uploads/2010/09/105216monteiro.pdf, Spring Summer 2010, “Why U.S. Does Not Deter Challenges”]</w:t>
      </w:r>
    </w:p>
    <w:p w:rsidR="000000DC" w:rsidRDefault="000000DC" w:rsidP="000000DC">
      <w:r w:rsidRPr="000000DC">
        <w:t xml:space="preserve">Well into the Obama presidency, the broadest foreign policy challenge facing the United States </w:t>
      </w:r>
    </w:p>
    <w:p w:rsidR="000000DC" w:rsidRDefault="000000DC" w:rsidP="000000DC">
      <w:r>
        <w:t>AND</w:t>
      </w:r>
    </w:p>
    <w:p w:rsidR="000000DC" w:rsidRPr="000000DC" w:rsidRDefault="000000DC" w:rsidP="000000DC">
      <w:r w:rsidRPr="000000DC">
        <w:t>no surprise. It follows from the unparalleled power of the United States.</w:t>
      </w:r>
    </w:p>
    <w:p w:rsidR="000000DC" w:rsidRPr="000000DC" w:rsidRDefault="000000DC" w:rsidP="000000DC">
      <w:pPr>
        <w:pStyle w:val="Heading4"/>
        <w:rPr>
          <w:sz w:val="20"/>
        </w:rPr>
      </w:pPr>
      <w:r w:rsidRPr="000000DC">
        <w:rPr>
          <w:sz w:val="20"/>
        </w:rPr>
        <w:t>That’s the root cause of proliferation</w:t>
      </w:r>
    </w:p>
    <w:p w:rsidR="000000DC" w:rsidRPr="00E4259A" w:rsidRDefault="000000DC" w:rsidP="000000DC">
      <w:r w:rsidRPr="000000DC">
        <w:rPr>
          <w:rStyle w:val="AuthorYear"/>
          <w:sz w:val="16"/>
        </w:rPr>
        <w:t>Mearsheimer 10</w:t>
      </w:r>
      <w:r>
        <w:t xml:space="preserve"> – </w:t>
      </w:r>
      <w:r w:rsidRPr="00E4259A">
        <w:t>John, R. Wendell Harrison Distinguished Service Professor of Political Science at the University of Chicago [“Imperial by Design,” National Interest Magazine]</w:t>
      </w:r>
    </w:p>
    <w:p w:rsidR="000000DC" w:rsidRDefault="000000DC" w:rsidP="000000DC">
      <w:r w:rsidRPr="000000DC">
        <w:t xml:space="preserve">IF ALL of this were not enough, global dominance, especially the Bush administration’s </w:t>
      </w:r>
    </w:p>
    <w:p w:rsidR="000000DC" w:rsidRDefault="000000DC" w:rsidP="000000DC">
      <w:r>
        <w:t>AND</w:t>
      </w:r>
    </w:p>
    <w:p w:rsidR="000000DC" w:rsidRPr="000000DC" w:rsidRDefault="000000DC" w:rsidP="000000DC">
      <w:r w:rsidRPr="000000DC">
        <w:t>its nuclear capability in the absence of some sort of rapprochement with Washington.</w:t>
      </w:r>
    </w:p>
    <w:p w:rsidR="000000DC" w:rsidRPr="000000DC" w:rsidRDefault="000000DC" w:rsidP="000000DC">
      <w:pPr>
        <w:pStyle w:val="Heading4"/>
        <w:rPr>
          <w:sz w:val="20"/>
        </w:rPr>
      </w:pPr>
      <w:r w:rsidRPr="000000DC">
        <w:rPr>
          <w:sz w:val="20"/>
        </w:rPr>
        <w:lastRenderedPageBreak/>
        <w:t>Proliferation causes extinction—geopolitical incentives to coerce neighbors ensure escalation and destroy MAD</w:t>
      </w:r>
    </w:p>
    <w:p w:rsidR="000000DC" w:rsidRPr="00C84644" w:rsidRDefault="000000DC" w:rsidP="000000DC">
      <w:r w:rsidRPr="000000DC">
        <w:rPr>
          <w:rStyle w:val="AuthorYear"/>
          <w:sz w:val="16"/>
        </w:rPr>
        <w:t>Kroenig 12</w:t>
      </w:r>
      <w:r>
        <w:t xml:space="preserve"> – Matthew Kroenig is the Assistant Professor of Government at Georgetown University and a Stanton Nuclear Security Fellow at the Council on Foreign Relations. ("The History of Proliferation Optimism: Does It Have A Future? Prepared for the Nonproliferation Policy Education Center,” May 26, 2012, </w:t>
      </w:r>
      <w:r w:rsidRPr="00C84644">
        <w:t>http://www.npolicy.org/article.php?aid=1182&amp;tid=30</w:t>
      </w:r>
      <w:r>
        <w:t>)</w:t>
      </w:r>
    </w:p>
    <w:p w:rsidR="000000DC" w:rsidRDefault="000000DC" w:rsidP="000000DC">
      <w:r w:rsidRPr="000000DC">
        <w:t xml:space="preserve">Nuclear War. The greatest threat posed by the spread of nuclear weapons is nuclear </w:t>
      </w:r>
    </w:p>
    <w:p w:rsidR="000000DC" w:rsidRDefault="000000DC" w:rsidP="000000DC">
      <w:r>
        <w:t>AND</w:t>
      </w:r>
    </w:p>
    <w:p w:rsidR="000000DC" w:rsidRPr="000000DC" w:rsidRDefault="000000DC" w:rsidP="000000DC">
      <w:r w:rsidRPr="000000DC">
        <w:t>that a future Middle East crisis could result in a devastating nuclear exchange.</w:t>
      </w:r>
    </w:p>
    <w:p w:rsidR="000000DC" w:rsidRPr="000000DC" w:rsidRDefault="000000DC" w:rsidP="000000DC">
      <w:pPr>
        <w:pStyle w:val="Heading4"/>
        <w:rPr>
          <w:sz w:val="20"/>
        </w:rPr>
      </w:pPr>
      <w:r w:rsidRPr="000000DC">
        <w:rPr>
          <w:sz w:val="20"/>
        </w:rPr>
        <w:t>Effective primacy creates stability—the alternative is great power war</w:t>
      </w:r>
    </w:p>
    <w:p w:rsidR="000000DC" w:rsidRPr="00193922" w:rsidRDefault="000000DC" w:rsidP="000000DC">
      <w:r w:rsidRPr="000000DC">
        <w:rPr>
          <w:rStyle w:val="AuthorYear"/>
          <w:sz w:val="16"/>
        </w:rPr>
        <w:t>Zhang and Shi 11</w:t>
      </w:r>
      <w:r w:rsidRPr="00193922">
        <w:t xml:space="preserve"> – *Yuhan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w:t>
      </w:r>
      <w:hyperlink r:id="rId12" w:history="1">
        <w:r w:rsidRPr="00193922">
          <w:rPr>
            <w:rStyle w:val="Hyperlink"/>
          </w:rPr>
          <w:t>http://www.eastasiaforum.org/2011/01/22/americas-decline-a-harbinger-of-conflict-and-rivalry/</w:t>
        </w:r>
      </w:hyperlink>
      <w:r w:rsidRPr="00193922">
        <w:t xml:space="preserve">) </w:t>
      </w:r>
    </w:p>
    <w:p w:rsidR="000000DC" w:rsidRDefault="000000DC" w:rsidP="000000DC">
      <w:r w:rsidRPr="000000DC">
        <w:t xml:space="preserve"> Thus, the global distribution of power is shifting, and the inevitable result </w:t>
      </w:r>
    </w:p>
    <w:p w:rsidR="000000DC" w:rsidRDefault="000000DC" w:rsidP="000000DC">
      <w:r>
        <w:t>AND</w:t>
      </w:r>
    </w:p>
    <w:p w:rsidR="000000DC" w:rsidRPr="000000DC" w:rsidRDefault="000000DC" w:rsidP="000000DC">
      <w:r w:rsidRPr="000000DC">
        <w:t>forecast in a future that will inevitably be devoid of unrivalled US primacy.</w:t>
      </w:r>
    </w:p>
    <w:p w:rsidR="000000DC" w:rsidRPr="000000DC" w:rsidRDefault="000000DC" w:rsidP="000000DC">
      <w:pPr>
        <w:pStyle w:val="Heading4"/>
        <w:rPr>
          <w:rFonts w:eastAsia="Cambria"/>
          <w:sz w:val="20"/>
        </w:rPr>
      </w:pPr>
      <w:r w:rsidRPr="000000DC">
        <w:rPr>
          <w:rFonts w:eastAsia="Cambria"/>
          <w:sz w:val="20"/>
        </w:rPr>
        <w:t>The world is on balance better because of hegemony—statistics prove</w:t>
      </w:r>
    </w:p>
    <w:p w:rsidR="000000DC" w:rsidRPr="00F45E4E" w:rsidRDefault="000000DC" w:rsidP="000000DC">
      <w:r w:rsidRPr="000000DC">
        <w:rPr>
          <w:rStyle w:val="AuthorYear"/>
          <w:sz w:val="16"/>
        </w:rPr>
        <w:t>Owen 11</w:t>
      </w:r>
      <w:r>
        <w:t xml:space="preserve"> – </w:t>
      </w:r>
      <w:r w:rsidRPr="00F45E4E">
        <w:t xml:space="preserve">John M. Owen Professor of Politics at University of Virginia PhD from Harvard "DON’T DISCOUNT HEGEMONY" Feb 11 www.cato-unbound.org/2011/02/11/john-owen/dont-discount-hegemony/ </w:t>
      </w:r>
    </w:p>
    <w:p w:rsidR="000000DC" w:rsidRDefault="000000DC" w:rsidP="000000DC">
      <w:r w:rsidRPr="000000DC">
        <w:t>Andrew Mack and his colleagues at the Human Security Report Project are to be congratulated</w:t>
      </w:r>
    </w:p>
    <w:p w:rsidR="000000DC" w:rsidRDefault="000000DC" w:rsidP="000000DC">
      <w:r>
        <w:t>AND</w:t>
      </w:r>
    </w:p>
    <w:p w:rsidR="000000DC" w:rsidRPr="000000DC" w:rsidRDefault="000000DC" w:rsidP="000000DC">
      <w:r w:rsidRPr="000000DC">
        <w:t>in part by the eme</w:t>
      </w:r>
      <w:bookmarkStart w:id="0" w:name="_GoBack"/>
      <w:bookmarkEnd w:id="0"/>
      <w:r w:rsidRPr="000000DC">
        <w:t>rgence of the United States as the global hegemon.</w:t>
      </w:r>
    </w:p>
    <w:p w:rsidR="000000DC" w:rsidRDefault="000000DC" w:rsidP="000000DC">
      <w:pPr>
        <w:pStyle w:val="Heading3"/>
      </w:pPr>
      <w:r>
        <w:lastRenderedPageBreak/>
        <w:t>Sustainable Agriculture</w:t>
      </w:r>
    </w:p>
    <w:p w:rsidR="000000DC" w:rsidRPr="000000DC" w:rsidRDefault="000000DC" w:rsidP="000000DC">
      <w:pPr>
        <w:pStyle w:val="Heading4"/>
        <w:rPr>
          <w:sz w:val="20"/>
        </w:rPr>
      </w:pPr>
      <w:r w:rsidRPr="000000DC">
        <w:rPr>
          <w:sz w:val="20"/>
        </w:rPr>
        <w:t>Contention Two is Sustainable Agriculture:</w:t>
      </w:r>
    </w:p>
    <w:p w:rsidR="000000DC" w:rsidRPr="000000DC" w:rsidRDefault="000000DC" w:rsidP="000000DC">
      <w:pPr>
        <w:pStyle w:val="Heading4"/>
        <w:rPr>
          <w:sz w:val="20"/>
        </w:rPr>
      </w:pPr>
      <w:r w:rsidRPr="000000DC">
        <w:rPr>
          <w:sz w:val="20"/>
        </w:rPr>
        <w:t>Cuban agriculture sustainability is failing—foreign investment is key</w:t>
      </w:r>
    </w:p>
    <w:p w:rsidR="000000DC" w:rsidRPr="00C11444" w:rsidRDefault="000000DC" w:rsidP="000000DC">
      <w:r w:rsidRPr="000000DC">
        <w:rPr>
          <w:rStyle w:val="AuthorYear"/>
          <w:sz w:val="16"/>
        </w:rPr>
        <w:t>King 12</w:t>
      </w:r>
      <w:r w:rsidRPr="00C11444">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http://wpsa.research.pdx.edu/meet/2012/kingmdawn.pdf)</w:t>
      </w:r>
    </w:p>
    <w:p w:rsidR="000000DC" w:rsidRDefault="000000DC" w:rsidP="000000DC">
      <w:r w:rsidRPr="000000DC">
        <w:t xml:space="preserve">Cuba needed an alternative agricultural model when foreign oil imports were cut off significantly at </w:t>
      </w:r>
    </w:p>
    <w:p w:rsidR="000000DC" w:rsidRDefault="000000DC" w:rsidP="000000DC">
      <w:r>
        <w:t>AND</w:t>
      </w:r>
    </w:p>
    <w:p w:rsidR="000000DC" w:rsidRPr="000000DC" w:rsidRDefault="000000DC" w:rsidP="000000DC">
      <w:r w:rsidRPr="000000DC">
        <w:t>goal of sustainable development to increase short-term capital and energy needs.</w:t>
      </w:r>
    </w:p>
    <w:p w:rsidR="000000DC" w:rsidRPr="000000DC" w:rsidRDefault="000000DC" w:rsidP="000000DC">
      <w:pPr>
        <w:pStyle w:val="Heading4"/>
        <w:rPr>
          <w:sz w:val="20"/>
        </w:rPr>
      </w:pPr>
      <w:r w:rsidRPr="000000DC">
        <w:rPr>
          <w:sz w:val="20"/>
        </w:rPr>
        <w:t>The plan provides investment which fosters exportation of Cuba’s agricultural model</w:t>
      </w:r>
    </w:p>
    <w:p w:rsidR="000000DC" w:rsidRPr="00C11444" w:rsidRDefault="000000DC" w:rsidP="000000DC">
      <w:r w:rsidRPr="000000DC">
        <w:rPr>
          <w:rStyle w:val="AuthorYear"/>
          <w:sz w:val="16"/>
        </w:rPr>
        <w:t>Shkolnick 12</w:t>
      </w:r>
      <w:r w:rsidRPr="00C11444">
        <w:t xml:space="preserve"> – JD Candidate, Drake University Law School. (“SIN EMBARGO: THE CUBAN AGRICULTURAL REVOLUTION AND WHAT IT MEANS FOR THE UNITED STATES”, 17 Drake J. Agric. L. 683, fall, http://students.law.drake.edu/aglawjournal/docs/agVol17No3-Shkolnick.pdf)</w:t>
      </w:r>
    </w:p>
    <w:p w:rsidR="000000DC" w:rsidRDefault="000000DC" w:rsidP="000000DC">
      <w:r w:rsidRPr="000000DC">
        <w:t xml:space="preserve">Cuba today is experiencing the most rapid shifts towards privatization and reform since the revolution </w:t>
      </w:r>
    </w:p>
    <w:p w:rsidR="000000DC" w:rsidRDefault="000000DC" w:rsidP="000000DC">
      <w:r>
        <w:t>AND</w:t>
      </w:r>
    </w:p>
    <w:p w:rsidR="000000DC" w:rsidRPr="000000DC" w:rsidRDefault="000000DC" w:rsidP="000000DC">
      <w:r w:rsidRPr="000000DC">
        <w:t>presents a unique opportunity American business and agricultural enterprises cannot afford to overlook.</w:t>
      </w:r>
    </w:p>
    <w:p w:rsidR="000000DC" w:rsidRPr="000000DC" w:rsidRDefault="000000DC" w:rsidP="000000DC">
      <w:pPr>
        <w:pStyle w:val="Heading4"/>
        <w:rPr>
          <w:sz w:val="20"/>
        </w:rPr>
      </w:pPr>
      <w:r w:rsidRPr="000000DC">
        <w:rPr>
          <w:sz w:val="20"/>
        </w:rPr>
        <w:t>Access to the US market is critical to sustainability and emulation</w:t>
      </w:r>
    </w:p>
    <w:p w:rsidR="000000DC" w:rsidRPr="00C11444" w:rsidRDefault="000000DC" w:rsidP="000000DC">
      <w:r w:rsidRPr="000000DC">
        <w:rPr>
          <w:rStyle w:val="AuthorYear"/>
          <w:sz w:val="16"/>
        </w:rPr>
        <w:t>Kost 04</w:t>
      </w:r>
      <w:r w:rsidRPr="00C11444">
        <w:t xml:space="preserve"> – William is part of the Economic Research Service for the USDA. (“CUBAN AGRICULTURE: TO BE OR NOT TO BE ORGANIC?” 2004, http://www.ascecuba.org/publications/proceedings/volume14/pdfs/kost.pdf)</w:t>
      </w:r>
    </w:p>
    <w:p w:rsidR="000000DC" w:rsidRDefault="000000DC" w:rsidP="000000DC">
      <w:r w:rsidRPr="000000DC">
        <w:t>MARKETS MAY BE CRITICAL FOR AN ORGANIC CUBA In addition to the above European markets</w:t>
      </w:r>
    </w:p>
    <w:p w:rsidR="000000DC" w:rsidRDefault="000000DC" w:rsidP="000000DC">
      <w:r>
        <w:t>AND</w:t>
      </w:r>
    </w:p>
    <w:p w:rsidR="000000DC" w:rsidRPr="000000DC" w:rsidRDefault="000000DC" w:rsidP="000000DC">
      <w:r w:rsidRPr="000000DC">
        <w:t>and other inputs to support growth in other sectors of the Cuban economy.</w:t>
      </w:r>
    </w:p>
    <w:p w:rsidR="000000DC" w:rsidRPr="000000DC" w:rsidRDefault="000000DC" w:rsidP="000000DC">
      <w:pPr>
        <w:pStyle w:val="Heading4"/>
        <w:rPr>
          <w:sz w:val="20"/>
        </w:rPr>
      </w:pPr>
      <w:r w:rsidRPr="000000DC">
        <w:rPr>
          <w:sz w:val="20"/>
        </w:rPr>
        <w:t>Resistance to industrial agriculture in Cuba will overwhelm agribusinesses</w:t>
      </w:r>
    </w:p>
    <w:p w:rsidR="000000DC" w:rsidRPr="002748FA" w:rsidRDefault="000000DC" w:rsidP="000000DC">
      <w:r w:rsidRPr="000000DC">
        <w:rPr>
          <w:rStyle w:val="AuthorYear"/>
          <w:sz w:val="16"/>
        </w:rPr>
        <w:t>Zunes 2K</w:t>
      </w:r>
      <w:r w:rsidRPr="002748FA">
        <w:t xml:space="preserve"> – associate professor of politics and chair of the Peace &amp; Justice Studies Program at the University of San Francisco (Stephen, “Cuba’s New Revolution” Design/Builder, August </w:t>
      </w:r>
      <w:hyperlink r:id="rId13" w:history="1">
        <w:r w:rsidRPr="002748FA">
          <w:rPr>
            <w:rStyle w:val="Hyperlink"/>
          </w:rPr>
          <w:t>http://stephenzunes.org/wp-content/uploads/2010/09/Cubas-New-Revolution.pdf</w:t>
        </w:r>
      </w:hyperlink>
      <w:r w:rsidRPr="002748FA">
        <w:t>)</w:t>
      </w:r>
    </w:p>
    <w:p w:rsidR="000000DC" w:rsidRDefault="000000DC" w:rsidP="000000DC">
      <w:r w:rsidRPr="000000DC">
        <w:t xml:space="preserve">Most of Cuba's ecological innovations were made more out of necessity than by design. </w:t>
      </w:r>
    </w:p>
    <w:p w:rsidR="000000DC" w:rsidRDefault="000000DC" w:rsidP="000000DC">
      <w:r>
        <w:t>AND</w:t>
      </w:r>
    </w:p>
    <w:p w:rsidR="000000DC" w:rsidRPr="000000DC" w:rsidRDefault="000000DC" w:rsidP="000000DC">
      <w:r w:rsidRPr="000000DC">
        <w:t>of a good example, which is perhaps the biggest threat of all.</w:t>
      </w:r>
    </w:p>
    <w:p w:rsidR="000000DC" w:rsidRPr="000000DC" w:rsidRDefault="000000DC" w:rsidP="000000DC">
      <w:pPr>
        <w:pStyle w:val="Heading4"/>
        <w:rPr>
          <w:sz w:val="20"/>
        </w:rPr>
      </w:pPr>
      <w:r w:rsidRPr="000000DC">
        <w:rPr>
          <w:sz w:val="20"/>
        </w:rPr>
        <w:t>Need card that Cuba’s model would succeed worldwide</w:t>
      </w:r>
    </w:p>
    <w:p w:rsidR="000000DC" w:rsidRPr="000000DC" w:rsidRDefault="000000DC" w:rsidP="000000DC">
      <w:pPr>
        <w:pStyle w:val="Heading4"/>
        <w:rPr>
          <w:sz w:val="20"/>
        </w:rPr>
      </w:pPr>
      <w:r w:rsidRPr="000000DC">
        <w:rPr>
          <w:sz w:val="20"/>
        </w:rPr>
        <w:t>Industrial agriculture results in zoonotic diseases</w:t>
      </w:r>
    </w:p>
    <w:p w:rsidR="000000DC" w:rsidRPr="00950E75" w:rsidRDefault="000000DC" w:rsidP="000000DC">
      <w:r w:rsidRPr="000000DC">
        <w:rPr>
          <w:rStyle w:val="AuthorYear"/>
          <w:sz w:val="16"/>
        </w:rPr>
        <w:t>Otte et al 07</w:t>
      </w:r>
      <w:r w:rsidRPr="00950E75">
        <w:t xml:space="preserve"> – </w:t>
      </w:r>
      <w:r>
        <w:t>Joachim Otte is the Senior Animal Production and Health Officer at FAO. (“Industrial Livestock Production and Global Health Risks,” Pro-Poor Livestock Policy Initiative, June 2007, MCallahan)</w:t>
      </w:r>
    </w:p>
    <w:p w:rsidR="000000DC" w:rsidRDefault="000000DC" w:rsidP="000000DC">
      <w:r w:rsidRPr="000000DC">
        <w:t xml:space="preserve">Concentration of food animal production and the unregulated ‘evolution’ of densely populated livestock production </w:t>
      </w:r>
    </w:p>
    <w:p w:rsidR="000000DC" w:rsidRDefault="000000DC" w:rsidP="000000DC">
      <w:r>
        <w:t>AND</w:t>
      </w:r>
    </w:p>
    <w:p w:rsidR="000000DC" w:rsidRPr="000000DC" w:rsidRDefault="000000DC" w:rsidP="000000DC">
      <w:r w:rsidRPr="000000DC">
        <w:t>in a watershed subunit as described by Osowski et al. (2001).</w:t>
      </w:r>
    </w:p>
    <w:p w:rsidR="000000DC" w:rsidRPr="000000DC" w:rsidRDefault="000000DC" w:rsidP="000000DC">
      <w:pPr>
        <w:pStyle w:val="Heading4"/>
        <w:rPr>
          <w:sz w:val="20"/>
        </w:rPr>
      </w:pPr>
      <w:r w:rsidRPr="000000DC">
        <w:rPr>
          <w:sz w:val="20"/>
        </w:rPr>
        <w:t>Industrial agriculture also destroys natural resistance to diseases</w:t>
      </w:r>
    </w:p>
    <w:p w:rsidR="000000DC" w:rsidRPr="00BB0F6D" w:rsidRDefault="000000DC" w:rsidP="000000DC">
      <w:r w:rsidRPr="000000DC">
        <w:rPr>
          <w:rStyle w:val="AuthorYear"/>
          <w:sz w:val="16"/>
        </w:rPr>
        <w:t>Wright 08</w:t>
      </w:r>
      <w:r>
        <w:t xml:space="preserve"> – </w:t>
      </w:r>
      <w:r w:rsidRPr="00BB0F6D">
        <w:t xml:space="preserve">Julia Wright: Ph.D., Ecological Farming and Food Systems in Cuba, Wageningen University, The Netherlands. P.G.Dip., Land and Water Management, Cranfield University. M.Sc., Sustainable Agriculture, University of London. B.A., Studies in the Rural Environment, University of Wales. She is now a Deputy Director at the Centre for Agroecology and Food Security, (“Sustainable Agriculture and Food Security in an Era of Oil Scarcity : Lessons from Cuba ”, page 1, November 2008) </w:t>
      </w:r>
    </w:p>
    <w:p w:rsidR="000000DC" w:rsidRDefault="000000DC" w:rsidP="000000DC">
      <w:r w:rsidRPr="000000DC">
        <w:t xml:space="preserve">Comparing the human health impacts of foods produced under different farming regimes is challenging: </w:t>
      </w:r>
    </w:p>
    <w:p w:rsidR="000000DC" w:rsidRDefault="000000DC" w:rsidP="000000DC">
      <w:r>
        <w:t>AND</w:t>
      </w:r>
    </w:p>
    <w:p w:rsidR="000000DC" w:rsidRPr="000000DC" w:rsidRDefault="000000DC" w:rsidP="000000DC">
      <w:r w:rsidRPr="000000DC">
        <w:t>2005; Lauridsen et al, 2005; Baranska et al, 2007).</w:t>
      </w:r>
    </w:p>
    <w:p w:rsidR="000000DC" w:rsidRPr="000000DC" w:rsidRDefault="000000DC" w:rsidP="000000DC">
      <w:pPr>
        <w:pStyle w:val="Heading4"/>
        <w:rPr>
          <w:sz w:val="20"/>
        </w:rPr>
      </w:pPr>
      <w:r w:rsidRPr="000000DC">
        <w:rPr>
          <w:sz w:val="20"/>
        </w:rPr>
        <w:t>Zoonotic diseases lead to extinction</w:t>
      </w:r>
    </w:p>
    <w:p w:rsidR="000000DC" w:rsidRPr="0071065D" w:rsidRDefault="000000DC" w:rsidP="000000DC">
      <w:r w:rsidRPr="000000DC">
        <w:rPr>
          <w:rStyle w:val="AuthorYear"/>
          <w:sz w:val="16"/>
        </w:rPr>
        <w:t>Casadevall 12</w:t>
      </w:r>
      <w:r w:rsidRPr="0071065D">
        <w:t xml:space="preserve"> – Prof @ Department of Microbiology and Immunology and the Division of Infectious Diseases of the Albert Einstein College of Medicine Arturo. (“The future of biological warfare,” Microbial Biotechnology, p. 584-5)</w:t>
      </w:r>
    </w:p>
    <w:p w:rsidR="000000DC" w:rsidRDefault="000000DC" w:rsidP="000000DC">
      <w:r w:rsidRPr="000000DC">
        <w:t xml:space="preserve">In considering the importance of biological warfare as a subject for concern it is worthwhile </w:t>
      </w:r>
    </w:p>
    <w:p w:rsidR="000000DC" w:rsidRDefault="000000DC" w:rsidP="000000DC">
      <w:r>
        <w:t>AND</w:t>
      </w:r>
    </w:p>
    <w:p w:rsidR="000000DC" w:rsidRPr="000000DC" w:rsidRDefault="000000DC" w:rsidP="000000DC">
      <w:r w:rsidRPr="000000DC">
        <w:t>acquired the capacity for pathogenicity as a consequence of natural evolution or bioengineering.</w:t>
      </w:r>
    </w:p>
    <w:p w:rsidR="000000DC" w:rsidRPr="000000DC" w:rsidRDefault="000000DC" w:rsidP="000000DC">
      <w:pPr>
        <w:pStyle w:val="Heading4"/>
        <w:rPr>
          <w:sz w:val="20"/>
        </w:rPr>
      </w:pPr>
      <w:r w:rsidRPr="000000DC">
        <w:rPr>
          <w:sz w:val="20"/>
        </w:rPr>
        <w:t>Industrial agriculture is the primary factor in global warming—catastrophic extinction is inevitable without organic agriculture</w:t>
      </w:r>
    </w:p>
    <w:p w:rsidR="000000DC" w:rsidRDefault="000000DC" w:rsidP="000000DC">
      <w:r w:rsidRPr="000000DC">
        <w:rPr>
          <w:rStyle w:val="AuthorYear"/>
          <w:sz w:val="16"/>
        </w:rPr>
        <w:t>Cummins 10</w:t>
      </w:r>
      <w:r>
        <w:t xml:space="preserve"> – Ronnie Cummins is the International Director of the Organic Consumers Association, 10/7 (Agriculture and Human Survival: The Road Beyond 10/10/10, http://www.commondreams.org/view/2010/10/07-9)</w:t>
      </w:r>
    </w:p>
    <w:p w:rsidR="000000DC" w:rsidRDefault="000000DC" w:rsidP="000000DC">
      <w:r w:rsidRPr="000000DC">
        <w:t xml:space="preserve">Despite decades of deception and mystification, a critical mass at the grassroots is waking </w:t>
      </w:r>
    </w:p>
    <w:p w:rsidR="000000DC" w:rsidRDefault="000000DC" w:rsidP="000000DC">
      <w:r>
        <w:t>AND</w:t>
      </w:r>
    </w:p>
    <w:p w:rsidR="000000DC" w:rsidRPr="000000DC" w:rsidRDefault="000000DC" w:rsidP="000000DC">
      <w:r w:rsidRPr="000000DC">
        <w:t>oxide, which are responsible for at least 22% of global warming.</w:t>
      </w:r>
    </w:p>
    <w:p w:rsidR="000000DC" w:rsidRPr="000000DC" w:rsidRDefault="000000DC" w:rsidP="000000DC">
      <w:pPr>
        <w:pStyle w:val="Heading4"/>
        <w:rPr>
          <w:sz w:val="20"/>
        </w:rPr>
      </w:pPr>
      <w:r w:rsidRPr="000000DC">
        <w:rPr>
          <w:sz w:val="20"/>
        </w:rPr>
        <w:lastRenderedPageBreak/>
        <w:t>Warming is real and anthropogenic—every single warrant possible</w:t>
      </w:r>
    </w:p>
    <w:p w:rsidR="000000DC" w:rsidRPr="00C11444" w:rsidRDefault="000000DC" w:rsidP="000000DC">
      <w:r w:rsidRPr="000000DC">
        <w:rPr>
          <w:rStyle w:val="AuthorYear"/>
          <w:sz w:val="16"/>
        </w:rPr>
        <w:t>Prothero 12</w:t>
      </w:r>
      <w:r w:rsidRPr="00C11444">
        <w:t xml:space="preserve"> – Donald R. Prothero is a Professor of Geology at Occidental College and Lecturer in Geobiology at the California Institute of Technology. (“How We Know Global Warming is Real and Human Caused”, 3/1/2012, http://www.skeptic.com/eskeptic/12-02-08/)</w:t>
      </w:r>
    </w:p>
    <w:p w:rsidR="000000DC" w:rsidRDefault="000000DC" w:rsidP="000000DC">
      <w:r w:rsidRPr="000000DC">
        <w:t xml:space="preserve">How do we know that global warming is real and primarily human caused? There </w:t>
      </w:r>
    </w:p>
    <w:p w:rsidR="000000DC" w:rsidRDefault="000000DC" w:rsidP="000000DC">
      <w:r>
        <w:t>AND</w:t>
      </w:r>
    </w:p>
    <w:p w:rsidR="000000DC" w:rsidRPr="000000DC" w:rsidRDefault="000000DC" w:rsidP="000000DC">
      <w:r w:rsidRPr="000000DC">
        <w:t>honesty came first, and did not sell out to the highest bidder.</w:t>
      </w:r>
    </w:p>
    <w:p w:rsidR="000000DC" w:rsidRPr="000000DC" w:rsidRDefault="000000DC" w:rsidP="000000DC">
      <w:pPr>
        <w:pStyle w:val="Heading4"/>
        <w:rPr>
          <w:sz w:val="20"/>
        </w:rPr>
      </w:pPr>
      <w:r w:rsidRPr="000000DC">
        <w:rPr>
          <w:sz w:val="20"/>
        </w:rPr>
        <w:t xml:space="preserve">CO2 emissions cause ocean acidification and extinction </w:t>
      </w:r>
    </w:p>
    <w:p w:rsidR="000000DC" w:rsidRPr="00C11444" w:rsidRDefault="000000DC" w:rsidP="000000DC">
      <w:r w:rsidRPr="000000DC">
        <w:rPr>
          <w:rStyle w:val="AuthorYear"/>
          <w:sz w:val="16"/>
        </w:rPr>
        <w:t>Romm 12</w:t>
      </w:r>
      <w:r w:rsidRPr="00C11444">
        <w:t xml:space="preserve"> (Joe Romm is a Fellow at American Progress and is the editor of Climate Progress, “Science: Ocean Acidifying So Fast It Threatens Humanity’s Ability to Feed Itself,” 3/2/2012, http://thinkprogress.org/romm/2012/03/02/436193/science-ocean-acidifying-so-fast-it-threatens-humanity-ability-to-feed-itself/?utm_source=feedburner&amp;utm_medium=email&amp;utm_campaign=Feed%3A+climateprogre)</w:t>
      </w:r>
    </w:p>
    <w:p w:rsidR="000000DC" w:rsidRDefault="000000DC" w:rsidP="000000DC">
      <w:r w:rsidRPr="000000DC">
        <w:t xml:space="preserve">The world’s oceans may be turning acidic faster today from human carbon emissions than they </w:t>
      </w:r>
    </w:p>
    <w:p w:rsidR="000000DC" w:rsidRDefault="000000DC" w:rsidP="000000DC">
      <w:r>
        <w:t>AND</w:t>
      </w:r>
    </w:p>
    <w:p w:rsidR="000000DC" w:rsidRPr="000000DC" w:rsidRDefault="000000DC" w:rsidP="000000DC">
      <w:r w:rsidRPr="000000DC">
        <w:t>corals, mollusks and some plankton need for reef and shell-building.</w:t>
      </w:r>
    </w:p>
    <w:p w:rsidR="000000DC" w:rsidRPr="000000DC" w:rsidRDefault="000000DC" w:rsidP="000000DC">
      <w:pPr>
        <w:pStyle w:val="Heading4"/>
        <w:rPr>
          <w:sz w:val="20"/>
        </w:rPr>
      </w:pPr>
      <w:r w:rsidRPr="000000DC">
        <w:rPr>
          <w:sz w:val="20"/>
        </w:rPr>
        <w:t>CO2 releases methane from arctic permafrost—that causes extinction</w:t>
      </w:r>
    </w:p>
    <w:p w:rsidR="000000DC" w:rsidRPr="00C11444" w:rsidRDefault="000000DC" w:rsidP="000000DC">
      <w:r w:rsidRPr="000000DC">
        <w:rPr>
          <w:rStyle w:val="AuthorYear"/>
          <w:sz w:val="16"/>
        </w:rPr>
        <w:t>Ryskin 3</w:t>
      </w:r>
      <w:r w:rsidRPr="00C11444">
        <w:t xml:space="preserve"> (Gregory, Department of Chemical Engineering, Northwestern University, Illinois, “Methane-driven oceanic eruptions and mass extinctions” Geology 31(9): 741-744,)</w:t>
      </w:r>
    </w:p>
    <w:p w:rsidR="000000DC" w:rsidRDefault="000000DC" w:rsidP="000000DC">
      <w:r w:rsidRPr="000000DC">
        <w:t xml:space="preserve">The consequences of a methane-driven oceanic eruption for marine and terrestrial life are </w:t>
      </w:r>
    </w:p>
    <w:p w:rsidR="000000DC" w:rsidRDefault="000000DC" w:rsidP="000000DC">
      <w:r>
        <w:t>AND</w:t>
      </w:r>
    </w:p>
    <w:p w:rsidR="00657845" w:rsidRPr="00657845" w:rsidRDefault="000000DC" w:rsidP="00657845">
      <w:r w:rsidRPr="000000DC">
        <w:t>, implicated in the nuclear winter scenario (Turco et al., 1991).</w:t>
      </w:r>
    </w:p>
    <w:sectPr w:rsidR="00657845" w:rsidRPr="0065784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A35" w:rsidRDefault="00A37A35" w:rsidP="005F5576">
      <w:r>
        <w:separator/>
      </w:r>
    </w:p>
  </w:endnote>
  <w:endnote w:type="continuationSeparator" w:id="0">
    <w:p w:rsidR="00A37A35" w:rsidRDefault="00A37A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A35" w:rsidRDefault="00A37A35" w:rsidP="005F5576">
      <w:r>
        <w:separator/>
      </w:r>
    </w:p>
  </w:footnote>
  <w:footnote w:type="continuationSeparator" w:id="0">
    <w:p w:rsidR="00A37A35" w:rsidRDefault="00A37A3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DC"/>
    <w:rsid w:val="000000DC"/>
    <w:rsid w:val="000022F2"/>
    <w:rsid w:val="0000459F"/>
    <w:rsid w:val="00004EB4"/>
    <w:rsid w:val="00011CB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33839"/>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A213E"/>
    <w:rsid w:val="002A612B"/>
    <w:rsid w:val="002A6513"/>
    <w:rsid w:val="002B0DF2"/>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57E5"/>
    <w:rsid w:val="004A305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505F8"/>
    <w:rsid w:val="00650E98"/>
    <w:rsid w:val="0065669A"/>
    <w:rsid w:val="00656C61"/>
    <w:rsid w:val="00657845"/>
    <w:rsid w:val="006672D8"/>
    <w:rsid w:val="00670D96"/>
    <w:rsid w:val="00672877"/>
    <w:rsid w:val="00683154"/>
    <w:rsid w:val="00690115"/>
    <w:rsid w:val="00690898"/>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5341"/>
    <w:rsid w:val="00976675"/>
    <w:rsid w:val="00976FBF"/>
    <w:rsid w:val="00977061"/>
    <w:rsid w:val="00984B38"/>
    <w:rsid w:val="009A0636"/>
    <w:rsid w:val="009A6FF5"/>
    <w:rsid w:val="009B2B47"/>
    <w:rsid w:val="009B35DB"/>
    <w:rsid w:val="009C4298"/>
    <w:rsid w:val="009D318C"/>
    <w:rsid w:val="009E1D68"/>
    <w:rsid w:val="009F5B02"/>
    <w:rsid w:val="00A10B8B"/>
    <w:rsid w:val="00A20D78"/>
    <w:rsid w:val="00A2174A"/>
    <w:rsid w:val="00A26733"/>
    <w:rsid w:val="00A3595E"/>
    <w:rsid w:val="00A37A35"/>
    <w:rsid w:val="00A46C7F"/>
    <w:rsid w:val="00A73245"/>
    <w:rsid w:val="00A77145"/>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908D1"/>
    <w:rsid w:val="00B940D1"/>
    <w:rsid w:val="00BB58BD"/>
    <w:rsid w:val="00BB6A26"/>
    <w:rsid w:val="00BC1034"/>
    <w:rsid w:val="00BE10C7"/>
    <w:rsid w:val="00BE2408"/>
    <w:rsid w:val="00BE3EC6"/>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958E3"/>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8BC2E8D-2640-4B9B-A6B2-14E9810E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F21"/>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880F21"/>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E222E4"/>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3369B"/>
    <w:rPr>
      <w:rFonts w:ascii="Georgia" w:hAnsi="Georgia"/>
      <w:b w:val="0"/>
      <w:bCs/>
      <w:sz w:val="2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880F21"/>
    <w:rPr>
      <w:rFonts w:ascii="Georgia" w:eastAsiaTheme="majorEastAsia" w:hAnsi="Georgia" w:cstheme="majorBidi"/>
      <w:b/>
      <w:bCs/>
      <w:iCs/>
      <w:sz w:val="24"/>
    </w:rPr>
  </w:style>
  <w:style w:type="paragraph" w:styleId="BalloonText">
    <w:name w:val="Balloon Text"/>
    <w:basedOn w:val="Normal"/>
    <w:link w:val="BalloonTextChar"/>
    <w:uiPriority w:val="99"/>
    <w:semiHidden/>
    <w:rsid w:val="00880F21"/>
    <w:rPr>
      <w:rFonts w:ascii="Tahoma" w:hAnsi="Tahoma" w:cs="Tahoma"/>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ListParagraph">
    <w:name w:val="List Paragraph"/>
    <w:basedOn w:val="Normal"/>
    <w:uiPriority w:val="34"/>
    <w:semiHidden/>
    <w:rsid w:val="005A78A5"/>
    <w:pPr>
      <w:ind w:left="720"/>
      <w:contextualSpacing/>
    </w:pPr>
  </w:style>
  <w:style w:type="character" w:customStyle="1" w:styleId="CardChar">
    <w:name w:val="Card Char"/>
    <w:locked/>
    <w:rsid w:val="000000DC"/>
    <w:rPr>
      <w:rFonts w:ascii="Palatino Linotype" w:eastAsia="Times New Roman" w:hAnsi="Palatino Linotype" w:cs="Arial"/>
      <w:bCs/>
      <w:sz w:val="20"/>
      <w:szCs w:val="24"/>
    </w:rPr>
  </w:style>
  <w:style w:type="paragraph" w:customStyle="1" w:styleId="Cites">
    <w:name w:val="Cites"/>
    <w:basedOn w:val="Normal"/>
    <w:next w:val="cards"/>
    <w:rsid w:val="000000DC"/>
    <w:rPr>
      <w:rFonts w:ascii="Times New Roman" w:hAnsi="Times New Roman"/>
      <w:b/>
      <w:u w:val="single"/>
    </w:rPr>
  </w:style>
  <w:style w:type="paragraph" w:customStyle="1" w:styleId="cards">
    <w:name w:val="cards"/>
    <w:basedOn w:val="Cites"/>
    <w:rsid w:val="000000DC"/>
    <w:rPr>
      <w:b w:val="0"/>
      <w:sz w:val="20"/>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000DC"/>
    <w:pPr>
      <w:spacing w:after="0" w:line="240" w:lineRule="auto"/>
    </w:pPr>
    <w:rPr>
      <w:bCs/>
      <w:u w:val="single"/>
    </w:rPr>
  </w:style>
  <w:style w:type="paragraph" w:customStyle="1" w:styleId="cites0">
    <w:name w:val="cites"/>
    <w:next w:val="Normal"/>
    <w:link w:val="citesChar"/>
    <w:autoRedefine/>
    <w:rsid w:val="000000DC"/>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0000DC"/>
    <w:pPr>
      <w:spacing w:after="0" w:line="240" w:lineRule="auto"/>
      <w:contextualSpacing/>
    </w:pPr>
    <w:rPr>
      <w:rFonts w:eastAsia="Malgun Gothic" w:cs="Times New Roman"/>
      <w:sz w:val="12"/>
      <w:szCs w:val="24"/>
      <w:lang w:eastAsia="ko-KR"/>
    </w:rPr>
  </w:style>
  <w:style w:type="paragraph" w:customStyle="1" w:styleId="underlined">
    <w:name w:val="underlined"/>
    <w:next w:val="Normal"/>
    <w:link w:val="underlinedChar"/>
    <w:autoRedefine/>
    <w:rsid w:val="000000DC"/>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0"/>
    <w:rsid w:val="000000DC"/>
    <w:rPr>
      <w:rFonts w:ascii="Times New Roman" w:eastAsia="Malgun Gothic" w:hAnsi="Times New Roman" w:cs="Times New Roman"/>
      <w:b/>
      <w:szCs w:val="24"/>
      <w:u w:val="single"/>
    </w:rPr>
  </w:style>
  <w:style w:type="character" w:customStyle="1" w:styleId="underlinedChar">
    <w:name w:val="underlined Char"/>
    <w:link w:val="underlined"/>
    <w:rsid w:val="000000DC"/>
    <w:rPr>
      <w:rFonts w:ascii="Times New Roman" w:eastAsia="Malgun Gothic" w:hAnsi="Times New Roman" w:cs="Times New Roman"/>
      <w:sz w:val="21"/>
      <w:szCs w:val="24"/>
      <w:u w:val="single"/>
    </w:rPr>
  </w:style>
  <w:style w:type="character" w:customStyle="1" w:styleId="tinyChar">
    <w:name w:val="tiny Char"/>
    <w:link w:val="tiny"/>
    <w:rsid w:val="000000DC"/>
    <w:rPr>
      <w:rFonts w:eastAsia="Malgun Gothic" w:cs="Times New Roman"/>
      <w:sz w:val="12"/>
      <w:szCs w:val="24"/>
      <w:lang w:eastAsia="ko-KR"/>
    </w:rPr>
  </w:style>
  <w:style w:type="paragraph" w:customStyle="1" w:styleId="cardtext">
    <w:name w:val="card text"/>
    <w:basedOn w:val="Normal"/>
    <w:link w:val="cardtextChar"/>
    <w:rsid w:val="000000DC"/>
    <w:pPr>
      <w:ind w:left="288" w:right="288"/>
    </w:pPr>
  </w:style>
  <w:style w:type="character" w:customStyle="1" w:styleId="cardtextChar">
    <w:name w:val="card text Char"/>
    <w:basedOn w:val="DefaultParagraphFont"/>
    <w:link w:val="cardtext"/>
    <w:rsid w:val="000000DC"/>
    <w:rPr>
      <w:rFonts w:ascii="Georgia" w:hAnsi="Georgia" w:cs="Calibri"/>
      <w:sz w:val="14"/>
    </w:rPr>
  </w:style>
  <w:style w:type="character" w:customStyle="1" w:styleId="Style2Char">
    <w:name w:val="Style2 Char"/>
    <w:basedOn w:val="DefaultParagraphFont"/>
    <w:link w:val="Style2"/>
    <w:locked/>
    <w:rsid w:val="000000DC"/>
    <w:rPr>
      <w:rFonts w:ascii="Georgia" w:eastAsia="Calibri" w:hAnsi="Georgia" w:cs="Times New Roman"/>
      <w:sz w:val="16"/>
      <w:szCs w:val="16"/>
    </w:rPr>
  </w:style>
  <w:style w:type="paragraph" w:customStyle="1" w:styleId="Style2">
    <w:name w:val="Style2"/>
    <w:basedOn w:val="Normal"/>
    <w:link w:val="Style2Char"/>
    <w:rsid w:val="000000DC"/>
    <w:rPr>
      <w:rFonts w:eastAsia="Calibri" w:cs="Times New Roman"/>
      <w:sz w:val="16"/>
      <w:szCs w:val="16"/>
    </w:rPr>
  </w:style>
  <w:style w:type="character" w:customStyle="1" w:styleId="underline">
    <w:name w:val="underline"/>
    <w:link w:val="textbold"/>
    <w:qFormat/>
    <w:rsid w:val="000000DC"/>
    <w:rPr>
      <w:u w:val="single"/>
    </w:rPr>
  </w:style>
  <w:style w:type="paragraph" w:customStyle="1" w:styleId="textbold">
    <w:name w:val="text bold"/>
    <w:basedOn w:val="Normal"/>
    <w:link w:val="underline"/>
    <w:rsid w:val="000000DC"/>
    <w:pPr>
      <w:ind w:left="720"/>
      <w:jc w:val="both"/>
    </w:pPr>
    <w:rPr>
      <w:rFonts w:asciiTheme="minorHAnsi" w:hAnsiTheme="minorHAnsi" w:cstheme="minorBidi"/>
      <w:sz w:val="22"/>
      <w:u w:val="single"/>
    </w:rPr>
  </w:style>
  <w:style w:type="character" w:customStyle="1" w:styleId="StyleUnderline">
    <w:name w:val="Style Underline"/>
    <w:basedOn w:val="DefaultParagraphFont"/>
    <w:rsid w:val="000000DC"/>
    <w:rPr>
      <w:sz w:val="24"/>
      <w:u w:val="single"/>
    </w:rPr>
  </w:style>
  <w:style w:type="character" w:customStyle="1" w:styleId="apple-converted-space">
    <w:name w:val="apple-converted-space"/>
    <w:basedOn w:val="DefaultParagraphFont"/>
    <w:rsid w:val="000000DC"/>
  </w:style>
  <w:style w:type="paragraph" w:styleId="NormalWeb">
    <w:name w:val="Normal (Web)"/>
    <w:basedOn w:val="Normal"/>
    <w:uiPriority w:val="99"/>
    <w:semiHidden/>
    <w:unhideWhenUsed/>
    <w:rsid w:val="000000DC"/>
    <w:pPr>
      <w:spacing w:before="100" w:beforeAutospacing="1" w:after="100" w:afterAutospacing="1"/>
    </w:pPr>
    <w:rPr>
      <w:rFonts w:ascii="Times New Roman" w:eastAsia="Times New Roman" w:hAnsi="Times New Roman" w:cs="Times New Roman"/>
      <w:sz w:val="24"/>
      <w:szCs w:val="24"/>
    </w:rPr>
  </w:style>
  <w:style w:type="paragraph" w:customStyle="1" w:styleId="Cardstyle">
    <w:name w:val="Cardstyle"/>
    <w:basedOn w:val="Normal"/>
    <w:next w:val="Normal"/>
    <w:uiPriority w:val="99"/>
    <w:rsid w:val="000000DC"/>
    <w:rPr>
      <w:rFonts w:eastAsia="Times New Roman"/>
      <w:sz w:val="20"/>
      <w:szCs w:val="24"/>
    </w:rPr>
  </w:style>
  <w:style w:type="paragraph" w:customStyle="1" w:styleId="Tagstyle">
    <w:name w:val="Tagstyle"/>
    <w:basedOn w:val="Normal"/>
    <w:next w:val="Normal"/>
    <w:uiPriority w:val="99"/>
    <w:rsid w:val="000000DC"/>
    <w:rPr>
      <w:rFonts w:eastAsia="Times New Roman"/>
      <w:b/>
      <w:szCs w:val="24"/>
    </w:rPr>
  </w:style>
  <w:style w:type="character" w:styleId="Strong">
    <w:name w:val="Strong"/>
    <w:uiPriority w:val="22"/>
    <w:qFormat/>
    <w:rsid w:val="000000DC"/>
    <w:rPr>
      <w:b/>
      <w:bCs/>
    </w:rPr>
  </w:style>
  <w:style w:type="character" w:customStyle="1" w:styleId="TitleChar">
    <w:name w:val="Title Char"/>
    <w:aliases w:val="Cites and Cards Char,UNDERLINE Char,Bold Underlined Char"/>
    <w:link w:val="Title"/>
    <w:uiPriority w:val="6"/>
    <w:qFormat/>
    <w:rsid w:val="000000DC"/>
    <w:rPr>
      <w:szCs w:val="24"/>
      <w:u w:val="single"/>
    </w:rPr>
  </w:style>
  <w:style w:type="paragraph" w:styleId="Title">
    <w:name w:val="Title"/>
    <w:aliases w:val="Cites and Cards,UNDERLINE,Bold Underlined"/>
    <w:basedOn w:val="Normal"/>
    <w:next w:val="Normal"/>
    <w:link w:val="TitleChar"/>
    <w:uiPriority w:val="6"/>
    <w:qFormat/>
    <w:rsid w:val="000000DC"/>
    <w:pPr>
      <w:ind w:left="720"/>
      <w:outlineLvl w:val="0"/>
    </w:pPr>
    <w:rPr>
      <w:rFonts w:asciiTheme="minorHAnsi" w:hAnsiTheme="minorHAnsi" w:cstheme="minorBidi"/>
      <w:sz w:val="22"/>
      <w:szCs w:val="24"/>
      <w:u w:val="single"/>
    </w:rPr>
  </w:style>
  <w:style w:type="character" w:customStyle="1" w:styleId="TitleChar1">
    <w:name w:val="Title Char1"/>
    <w:basedOn w:val="DefaultParagraphFont"/>
    <w:uiPriority w:val="10"/>
    <w:rsid w:val="000000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phenzunes.org/wp-content/uploads/2010/09/Cubas-New-Revolution.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rw.org/news/2006/12/21/restraint-not-force-will-bring-change-cub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9361C0C-155D-46F3-8BE8-D55E7BB4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cp:lastModifiedBy>
  <cp:revision>1</cp:revision>
  <dcterms:created xsi:type="dcterms:W3CDTF">2013-11-22T16:56:00Z</dcterms:created>
  <dcterms:modified xsi:type="dcterms:W3CDTF">2013-11-22T17:01:00Z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