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CC" w:rsidRDefault="005B01CC" w:rsidP="005B01CC">
      <w:pPr>
        <w:pStyle w:val="Heading4"/>
      </w:pPr>
      <w:r>
        <w:t>CIR is top of the Agenda and can pass – focused effort by Obama utilizing his PC and newfound strategies are key</w:t>
      </w:r>
    </w:p>
    <w:p w:rsidR="005B01CC" w:rsidRDefault="005B01CC" w:rsidP="005B01CC"/>
    <w:p w:rsidR="005B01CC" w:rsidRDefault="005B01CC" w:rsidP="005B01CC">
      <w:pPr>
        <w:rPr>
          <w:rStyle w:val="StyleStyleBold12pt"/>
        </w:rPr>
      </w:pPr>
      <w:r>
        <w:rPr>
          <w:rStyle w:val="StyleStyleBold12pt"/>
        </w:rPr>
        <w:t>Daily Mail 10/17/13</w:t>
      </w:r>
    </w:p>
    <w:p w:rsidR="005B01CC" w:rsidRDefault="005B01CC" w:rsidP="005B01CC">
      <w:pPr>
        <w:rPr>
          <w:rStyle w:val="StyleStyleBold12pt"/>
        </w:rPr>
      </w:pPr>
      <w:r>
        <w:rPr>
          <w:rStyle w:val="StyleStyleBold12pt"/>
        </w:rPr>
        <w:t>(“Immigration battle threatens to dwarf debt-limit fight as many Republicans fear power of 17 MILLION newly legalized loyal Democrats,” pg online @ http://www.dailymail.co.uk/news/article-2464112/Immigration-battle-threatens-dwarf-debt-limit-fight-Republicans-fear-power-17-MILLION-newly-legalized-loyal-Democrats.html#ixzz2i182BrcS //ghs-ef)</w:t>
      </w:r>
      <w:bookmarkStart w:id="0" w:name="_GoBack"/>
      <w:bookmarkEnd w:id="0"/>
    </w:p>
    <w:p w:rsidR="005B01CC" w:rsidRPr="00D44746" w:rsidRDefault="005B01CC" w:rsidP="005B01CC">
      <w:pPr>
        <w:rPr>
          <w:sz w:val="10"/>
        </w:rPr>
      </w:pPr>
      <w:r w:rsidRPr="007D3EFF">
        <w:rPr>
          <w:rStyle w:val="Emphasis"/>
          <w:highlight w:val="green"/>
        </w:rPr>
        <w:t>The White House has</w:t>
      </w:r>
      <w:r w:rsidRPr="00852AEE">
        <w:rPr>
          <w:rStyle w:val="Emphasis"/>
        </w:rPr>
        <w:t xml:space="preserve"> </w:t>
      </w:r>
      <w:r>
        <w:rPr>
          <w:rStyle w:val="Emphasis"/>
        </w:rPr>
        <w:t>…</w:t>
      </w:r>
      <w:r w:rsidRPr="005B01CC">
        <w:rPr>
          <w:rStyle w:val="Emphasis"/>
          <w:sz w:val="24"/>
          <w:szCs w:val="24"/>
        </w:rPr>
        <w:t>.</w:t>
      </w:r>
      <w:r w:rsidRPr="005B01CC">
        <w:rPr>
          <w:sz w:val="24"/>
          <w:szCs w:val="24"/>
        </w:rPr>
        <w:t>addition to doing the right thing.'</w:t>
      </w:r>
    </w:p>
    <w:p w:rsidR="005B01CC" w:rsidRDefault="005B01CC" w:rsidP="005B01CC"/>
    <w:p w:rsidR="005B01CC" w:rsidRDefault="005B01CC" w:rsidP="005B01CC"/>
    <w:p w:rsidR="005B01CC" w:rsidRDefault="005B01CC" w:rsidP="005B01CC">
      <w:pPr>
        <w:pStyle w:val="Heading4"/>
      </w:pPr>
      <w:r w:rsidRPr="009202DF">
        <w:t>Drains capital – Backlash and hostage taking on unrelated priority legislation is empirically proven,</w:t>
      </w:r>
    </w:p>
    <w:p w:rsidR="005B01CC" w:rsidRDefault="005B01CC" w:rsidP="005B01CC">
      <w:pPr>
        <w:rPr>
          <w:rStyle w:val="StyleStyleBold12pt"/>
        </w:rPr>
      </w:pPr>
      <w:r>
        <w:rPr>
          <w:rStyle w:val="StyleStyleBold12pt"/>
        </w:rPr>
        <w:t>LeoGrande, 12</w:t>
      </w:r>
    </w:p>
    <w:p w:rsidR="005B01CC" w:rsidRDefault="005B01CC" w:rsidP="005B01CC">
      <w:r>
        <w:t>William M. LeoGrande School of Public Affairs American University, Professor of Government and a specialist in Latin American politics and U.S. foreign policy toward Latin America, Professor LeoGrande has been a frequent adviser to government and private sector agencies, 12/18/12, http://www.american.edu/clals/upload/LeoGrande-Fresh-Start.pdf</w:t>
      </w:r>
    </w:p>
    <w:p w:rsidR="005B01CC" w:rsidRDefault="005B01CC" w:rsidP="005B01CC"/>
    <w:p w:rsidR="005B01CC" w:rsidRDefault="005B01CC" w:rsidP="005B01CC">
      <w:pPr>
        <w:rPr>
          <w:rStyle w:val="StyleBoldUnderline"/>
        </w:rPr>
      </w:pPr>
      <w:r>
        <w:t xml:space="preserve">The Second Obama Administration </w:t>
      </w:r>
      <w:r>
        <w:t xml:space="preserve">… </w:t>
      </w:r>
      <w:r>
        <w:rPr>
          <w:rStyle w:val="StyleBoldUnderline"/>
        </w:rPr>
        <w:t>policymakers to take action.</w:t>
      </w:r>
    </w:p>
    <w:p w:rsidR="005B01CC" w:rsidRPr="00D17C4E" w:rsidRDefault="005B01CC" w:rsidP="005B01CC"/>
    <w:p w:rsidR="005B01CC" w:rsidRDefault="005B01CC" w:rsidP="005B01CC">
      <w:pPr>
        <w:spacing w:after="200" w:line="276" w:lineRule="auto"/>
        <w:rPr>
          <w:rFonts w:asciiTheme="minorHAnsi" w:hAnsiTheme="minorHAnsi" w:cstheme="minorBidi"/>
          <w:sz w:val="22"/>
        </w:rPr>
      </w:pPr>
    </w:p>
    <w:p w:rsidR="005B01CC" w:rsidRDefault="005B01CC" w:rsidP="005B01CC">
      <w:pPr>
        <w:pStyle w:val="Heading4"/>
      </w:pPr>
      <w:r>
        <w:t>Key to Clean tech industry</w:t>
      </w:r>
    </w:p>
    <w:p w:rsidR="005B01CC" w:rsidRPr="009C25D0" w:rsidRDefault="005B01CC" w:rsidP="005B01CC">
      <w:pPr>
        <w:pStyle w:val="Cards"/>
        <w:rPr>
          <w:sz w:val="10"/>
        </w:rPr>
      </w:pPr>
    </w:p>
    <w:p w:rsidR="005B01CC" w:rsidRPr="00206D88" w:rsidRDefault="005B01CC" w:rsidP="005B01CC">
      <w:pPr>
        <w:rPr>
          <w:b/>
          <w:szCs w:val="20"/>
        </w:rPr>
      </w:pPr>
      <w:r w:rsidRPr="00206D88">
        <w:rPr>
          <w:b/>
          <w:szCs w:val="20"/>
        </w:rPr>
        <w:t>Herman and Smith 2k10</w:t>
      </w:r>
    </w:p>
    <w:p w:rsidR="005B01CC" w:rsidRPr="00206D88" w:rsidRDefault="005B01CC" w:rsidP="005B01CC">
      <w:r w:rsidRPr="00206D88">
        <w:t>(Richard T. Herman and Robert L. Smith, founder of Richard T. Herman &amp; Associates, an immigration and business law firm and veteran journalist who has written extensively on immigration, June 23, 2010, “Why Immigrants Can Drive the Green Economy,” http://www.immigrationpolicy.org/perspectives/why-immigrants-can-drive-green-economy)</w:t>
      </w:r>
    </w:p>
    <w:p w:rsidR="005B01CC" w:rsidRPr="009C25D0" w:rsidRDefault="005B01CC" w:rsidP="005B01CC">
      <w:pPr>
        <w:pStyle w:val="Cards"/>
        <w:rPr>
          <w:sz w:val="10"/>
        </w:rPr>
      </w:pPr>
      <w:r w:rsidRPr="005B01CC">
        <w:rPr>
          <w:sz w:val="24"/>
          <w:szCs w:val="24"/>
        </w:rPr>
        <w:t xml:space="preserve">It should come as no </w:t>
      </w:r>
      <w:r w:rsidRPr="005B01CC">
        <w:rPr>
          <w:sz w:val="24"/>
          <w:szCs w:val="24"/>
        </w:rPr>
        <w:t xml:space="preserve">….. </w:t>
      </w:r>
      <w:r w:rsidRPr="005B01CC">
        <w:rPr>
          <w:rStyle w:val="underline"/>
          <w:sz w:val="24"/>
          <w:szCs w:val="24"/>
          <w:u w:val="thick"/>
        </w:rPr>
        <w:t>is required now</w:t>
      </w:r>
      <w:r w:rsidRPr="009C25D0">
        <w:rPr>
          <w:sz w:val="10"/>
        </w:rPr>
        <w:t>.</w:t>
      </w:r>
    </w:p>
    <w:p w:rsidR="005B01CC" w:rsidRPr="009C25D0" w:rsidRDefault="005B01CC" w:rsidP="005B01CC">
      <w:pPr>
        <w:pStyle w:val="Cards"/>
        <w:rPr>
          <w:sz w:val="10"/>
        </w:rPr>
      </w:pPr>
    </w:p>
    <w:p w:rsidR="005B01CC" w:rsidRPr="009C25D0" w:rsidRDefault="005B01CC" w:rsidP="005B01CC">
      <w:pPr>
        <w:pStyle w:val="Cards"/>
        <w:rPr>
          <w:sz w:val="10"/>
        </w:rPr>
      </w:pPr>
    </w:p>
    <w:p w:rsidR="005B01CC" w:rsidRPr="006742DB" w:rsidRDefault="005B01CC" w:rsidP="005B01CC">
      <w:pPr>
        <w:pStyle w:val="Heading4"/>
      </w:pPr>
      <w:r w:rsidRPr="006742DB">
        <w:t xml:space="preserve">Extinction </w:t>
      </w:r>
    </w:p>
    <w:p w:rsidR="005B01CC" w:rsidRPr="00F81126" w:rsidRDefault="005B01CC" w:rsidP="005B01CC">
      <w:pPr>
        <w:rPr>
          <w:rStyle w:val="StyleStyleBold12pt"/>
        </w:rPr>
      </w:pPr>
      <w:r w:rsidRPr="00F81126">
        <w:rPr>
          <w:rStyle w:val="StyleStyleBold12pt"/>
        </w:rPr>
        <w:t>Leeb, 2004</w:t>
      </w:r>
    </w:p>
    <w:p w:rsidR="005B01CC" w:rsidRPr="00F81126" w:rsidRDefault="005B01CC" w:rsidP="005B01CC">
      <w:pPr>
        <w:rPr>
          <w:rStyle w:val="StyleStyleBold12pt"/>
        </w:rPr>
      </w:pPr>
      <w:r w:rsidRPr="00F81126">
        <w:rPr>
          <w:rStyle w:val="StyleStyleBold12pt"/>
        </w:rPr>
        <w:t>president of Leeb Capital Management, (Stephen and Donna, The Oil Factor: Protect Yourself and Profit from the Coming Oil Crisis, pg 205)</w:t>
      </w:r>
    </w:p>
    <w:p w:rsidR="005B01CC" w:rsidRPr="005B01CC" w:rsidRDefault="005B01CC" w:rsidP="005B01CC">
      <w:pPr>
        <w:pStyle w:val="Cards"/>
        <w:rPr>
          <w:sz w:val="24"/>
          <w:szCs w:val="24"/>
          <w:u w:val="thick"/>
        </w:rPr>
      </w:pPr>
      <w:r w:rsidRPr="005B01CC">
        <w:rPr>
          <w:sz w:val="24"/>
          <w:szCs w:val="24"/>
        </w:rPr>
        <w:t xml:space="preserve">Those words resonated </w:t>
      </w:r>
      <w:r w:rsidRPr="005B01CC">
        <w:rPr>
          <w:sz w:val="24"/>
          <w:szCs w:val="24"/>
        </w:rPr>
        <w:t xml:space="preserve">…. </w:t>
      </w:r>
      <w:r w:rsidRPr="005B01CC">
        <w:rPr>
          <w:sz w:val="24"/>
          <w:szCs w:val="24"/>
          <w:highlight w:val="green"/>
          <w:u w:val="thick"/>
        </w:rPr>
        <w:t>weapons-grade plutonium</w:t>
      </w:r>
      <w:r w:rsidRPr="005B01CC">
        <w:rPr>
          <w:sz w:val="24"/>
          <w:szCs w:val="24"/>
          <w:u w:val="thick"/>
        </w:rPr>
        <w:t>.</w:t>
      </w:r>
    </w:p>
    <w:p w:rsidR="005B01CC" w:rsidRDefault="005B01CC" w:rsidP="005B01CC">
      <w:pPr>
        <w:pStyle w:val="Cards"/>
        <w:rPr>
          <w:sz w:val="24"/>
          <w:u w:val="thick"/>
        </w:rPr>
      </w:pPr>
    </w:p>
    <w:p w:rsidR="005B01CC" w:rsidRPr="0070425A" w:rsidRDefault="005B01CC" w:rsidP="005B01CC">
      <w:pPr>
        <w:pStyle w:val="Heading4"/>
      </w:pPr>
      <w:r w:rsidRPr="0070425A">
        <w:t>Excluding immigration from integration fosters anxiety – it Dehumanizes immigrants, constructing as “The Other” - as a threat which fuels a social cycle of repression</w:t>
      </w:r>
    </w:p>
    <w:p w:rsidR="005B01CC" w:rsidRPr="0070425A" w:rsidRDefault="005B01CC" w:rsidP="005B01CC">
      <w:pPr>
        <w:rPr>
          <w:sz w:val="14"/>
        </w:rPr>
      </w:pPr>
    </w:p>
    <w:p w:rsidR="005B01CC" w:rsidRPr="0070425A" w:rsidRDefault="005B01CC" w:rsidP="005B01CC">
      <w:pPr>
        <w:rPr>
          <w:sz w:val="14"/>
        </w:rPr>
      </w:pPr>
      <w:r w:rsidRPr="0070425A">
        <w:rPr>
          <w:b/>
        </w:rPr>
        <w:t>Ward 2013 – Assistant Professor of Sociology at the University of Southern Mississippi</w:t>
      </w:r>
      <w:r w:rsidRPr="0070425A">
        <w:rPr>
          <w:sz w:val="14"/>
        </w:rPr>
        <w:t xml:space="preserve"> [Matthew, , “They Say Bad Things Come in Threes: How Economic, Political and Cultural Shifts Facilitated Contemporary Anti-Immigration Activism in the United States,” Journal of Historical Sociology, May 29, 2013, http://onlinelibrary.wiley.com/doi/10.1111/johs.12024/abstract, Accessed July 18, 2013]</w:t>
      </w:r>
    </w:p>
    <w:p w:rsidR="005B01CC" w:rsidRPr="005B01CC" w:rsidRDefault="005B01CC" w:rsidP="005B01CC">
      <w:pPr>
        <w:rPr>
          <w:sz w:val="24"/>
          <w:szCs w:val="24"/>
        </w:rPr>
      </w:pPr>
    </w:p>
    <w:p w:rsidR="005B01CC" w:rsidRPr="005B01CC" w:rsidRDefault="005B01CC" w:rsidP="005B01CC">
      <w:pPr>
        <w:rPr>
          <w:sz w:val="24"/>
          <w:szCs w:val="24"/>
        </w:rPr>
      </w:pPr>
      <w:r w:rsidRPr="005B01CC">
        <w:rPr>
          <w:sz w:val="24"/>
          <w:szCs w:val="24"/>
        </w:rPr>
        <w:t xml:space="preserve">This history of shifting </w:t>
      </w:r>
      <w:r w:rsidRPr="005B01CC">
        <w:rPr>
          <w:sz w:val="24"/>
          <w:szCs w:val="24"/>
        </w:rPr>
        <w:t xml:space="preserve">… </w:t>
      </w:r>
      <w:r w:rsidRPr="005B01CC">
        <w:rPr>
          <w:sz w:val="24"/>
          <w:szCs w:val="24"/>
        </w:rPr>
        <w:t>to conservative mobilization.</w:t>
      </w:r>
    </w:p>
    <w:p w:rsidR="005B01CC" w:rsidRPr="006742DB" w:rsidRDefault="005B01CC" w:rsidP="005B01CC">
      <w:pPr>
        <w:pStyle w:val="Cards"/>
        <w:rPr>
          <w:sz w:val="24"/>
          <w:u w:val="thick"/>
        </w:rPr>
      </w:pP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099" w:rsidRDefault="00195099" w:rsidP="005F5576">
      <w:r>
        <w:separator/>
      </w:r>
    </w:p>
  </w:endnote>
  <w:endnote w:type="continuationSeparator" w:id="0">
    <w:p w:rsidR="00195099" w:rsidRDefault="0019509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099" w:rsidRDefault="00195099" w:rsidP="005F5576">
      <w:r>
        <w:separator/>
      </w:r>
    </w:p>
  </w:footnote>
  <w:footnote w:type="continuationSeparator" w:id="0">
    <w:p w:rsidR="00195099" w:rsidRDefault="0019509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095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099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01C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1488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66D36504-EFC9-42A6-91C6-0C7EA0A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5B01CC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TAG,Ch,no read,No Spacing211,No Spacing12,No Spacing2111,Car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tag2,ED - Tag,Evidence,Highlighted,Size 10,emphasis in card,Underlined,emphasis,Bold Underline,Emphasis!!,small,Qualifications"/>
    <w:basedOn w:val="DefaultParagraphFont"/>
    <w:uiPriority w:val="7"/>
    <w:qFormat/>
    <w:rsid w:val="00D176BE"/>
    <w:rPr>
      <w:rFonts w:ascii="Arial" w:hAnsi="Arial" w:cs="Arial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Style,Underline Char,Bold Cite Char,Citation Char Char Char,ci,c,cite,9.5 pt,Bo,Intense Emphasis111,B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  <w:style w:type="paragraph" w:customStyle="1" w:styleId="Cards">
    <w:name w:val="Cards"/>
    <w:basedOn w:val="Normal"/>
    <w:link w:val="CardsChar1"/>
    <w:qFormat/>
    <w:rsid w:val="005B01CC"/>
    <w:pPr>
      <w:autoSpaceDE w:val="0"/>
      <w:autoSpaceDN w:val="0"/>
      <w:adjustRightInd w:val="0"/>
      <w:ind w:left="432" w:right="432"/>
      <w:jc w:val="both"/>
    </w:pPr>
    <w:rPr>
      <w:rFonts w:eastAsia="MS Mincho"/>
      <w:szCs w:val="20"/>
    </w:rPr>
  </w:style>
  <w:style w:type="character" w:customStyle="1" w:styleId="CardsChar1">
    <w:name w:val="Cards Char1"/>
    <w:link w:val="Cards"/>
    <w:rsid w:val="005B01CC"/>
    <w:rPr>
      <w:rFonts w:ascii="Arial" w:eastAsia="MS Mincho" w:hAnsi="Arial" w:cs="Arial"/>
      <w:sz w:val="20"/>
      <w:szCs w:val="20"/>
    </w:rPr>
  </w:style>
  <w:style w:type="character" w:customStyle="1" w:styleId="underline">
    <w:name w:val="underline"/>
    <w:link w:val="textbold"/>
    <w:qFormat/>
    <w:rsid w:val="005B01CC"/>
    <w:rPr>
      <w:u w:val="single"/>
    </w:rPr>
  </w:style>
  <w:style w:type="paragraph" w:customStyle="1" w:styleId="textbold">
    <w:name w:val="text bold"/>
    <w:basedOn w:val="Normal"/>
    <w:link w:val="underline"/>
    <w:qFormat/>
    <w:rsid w:val="005B01CC"/>
    <w:pPr>
      <w:ind w:left="720"/>
    </w:pPr>
    <w:rPr>
      <w:rFonts w:asciiTheme="minorHAnsi" w:hAnsiTheme="minorHAnsi" w:cstheme="minorBidi"/>
      <w:sz w:val="22"/>
      <w:u w:val="single"/>
    </w:rPr>
  </w:style>
  <w:style w:type="character" w:customStyle="1" w:styleId="Emphasis2">
    <w:name w:val="Emphasis2"/>
    <w:rsid w:val="005B01CC"/>
    <w:rPr>
      <w:rFonts w:ascii="Franklin Gothic Heavy" w:hAnsi="Franklin Gothic Heavy"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Ricardo Jaramillo</cp:lastModifiedBy>
  <cp:revision>1</cp:revision>
  <dcterms:created xsi:type="dcterms:W3CDTF">2013-10-20T15:16:00Z</dcterms:created>
  <dcterms:modified xsi:type="dcterms:W3CDTF">2013-10-20T15:17:00Z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