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43E" w:rsidRPr="0042467F" w:rsidRDefault="00A7643E" w:rsidP="00A7643E">
      <w:pPr>
        <w:pStyle w:val="Heading3"/>
      </w:pPr>
      <w:bookmarkStart w:id="0" w:name="_Toc303556378"/>
      <w:r w:rsidRPr="0042467F">
        <w:t xml:space="preserve">1NC </w:t>
      </w:r>
      <w:bookmarkEnd w:id="0"/>
      <w:r>
        <w:t>FW</w:t>
      </w:r>
    </w:p>
    <w:p w:rsidR="00A7643E" w:rsidRPr="0042467F" w:rsidRDefault="00A7643E" w:rsidP="00A7643E">
      <w:pPr>
        <w:rPr>
          <w:sz w:val="14"/>
        </w:rPr>
      </w:pPr>
    </w:p>
    <w:p w:rsidR="00A7643E" w:rsidRPr="00D77FE7" w:rsidRDefault="00A7643E" w:rsidP="00A7643E">
      <w:pPr>
        <w:pStyle w:val="Heading4"/>
      </w:pPr>
      <w:r w:rsidRPr="00D77FE7">
        <w:t>A. The affirmative must exclusively defend a world in which a topical plan is hypothetically enacted</w:t>
      </w:r>
    </w:p>
    <w:p w:rsidR="00A7643E" w:rsidRPr="0042467F" w:rsidRDefault="00A7643E" w:rsidP="00A7643E">
      <w:pPr>
        <w:rPr>
          <w:sz w:val="14"/>
        </w:rPr>
      </w:pPr>
      <w:r w:rsidRPr="008B56D5">
        <w:rPr>
          <w:rStyle w:val="Heading2Char"/>
          <w:sz w:val="22"/>
          <w:u w:val="single"/>
        </w:rPr>
        <w:t>Ericson ‘3</w:t>
      </w:r>
      <w:r w:rsidRPr="0042467F">
        <w:rPr>
          <w:sz w:val="14"/>
        </w:rPr>
        <w:t xml:space="preserve"> (Jon, Dean Emeritus, College of Liberal Arts – California Polytechnic U., The Debater’s Guide, Third Edition, p. 4)</w:t>
      </w:r>
    </w:p>
    <w:p w:rsidR="00A7643E" w:rsidRPr="0042467F" w:rsidRDefault="00A7643E" w:rsidP="00A7643E">
      <w:pPr>
        <w:rPr>
          <w:sz w:val="14"/>
        </w:rPr>
      </w:pPr>
    </w:p>
    <w:p w:rsidR="00A7643E" w:rsidRPr="00A7643E" w:rsidRDefault="00A7643E" w:rsidP="00A7643E">
      <w:r w:rsidRPr="00A7643E">
        <w:t xml:space="preserve">The Proposition of Policy: </w:t>
      </w:r>
      <w:proofErr w:type="gramStart"/>
      <w:r w:rsidRPr="00A7643E">
        <w:t>Urging ….</w:t>
      </w:r>
      <w:proofErr w:type="gramEnd"/>
      <w:r w:rsidRPr="00A7643E">
        <w:t xml:space="preserve"> </w:t>
      </w:r>
      <w:proofErr w:type="gramStart"/>
      <w:r w:rsidRPr="00A7643E">
        <w:t>future</w:t>
      </w:r>
      <w:proofErr w:type="gramEnd"/>
      <w:r w:rsidRPr="00A7643E">
        <w:t xml:space="preserve"> action that you propose. </w:t>
      </w:r>
    </w:p>
    <w:p w:rsidR="00A7643E" w:rsidRDefault="00A7643E" w:rsidP="00A7643E"/>
    <w:p w:rsidR="00A7643E" w:rsidRDefault="00A7643E" w:rsidP="00A7643E">
      <w:pPr>
        <w:pStyle w:val="Heading3"/>
      </w:pPr>
      <w:r>
        <w:lastRenderedPageBreak/>
        <w:t>T – Only Economic 1NC</w:t>
      </w:r>
    </w:p>
    <w:p w:rsidR="00A7643E" w:rsidRDefault="00A7643E" w:rsidP="00A7643E"/>
    <w:p w:rsidR="00A7643E" w:rsidRPr="00823684" w:rsidRDefault="00A7643E" w:rsidP="00A7643E">
      <w:pPr>
        <w:pStyle w:val="Heading4"/>
      </w:pPr>
      <w:r>
        <w:t xml:space="preserve">“Economic engagement” is limited to expanding </w:t>
      </w:r>
      <w:r w:rsidRPr="00823684">
        <w:rPr>
          <w:u w:val="single"/>
        </w:rPr>
        <w:t>economic</w:t>
      </w:r>
      <w:r>
        <w:t xml:space="preserve"> ties</w:t>
      </w:r>
    </w:p>
    <w:p w:rsidR="00A7643E" w:rsidRDefault="00A7643E" w:rsidP="00A7643E">
      <w:proofErr w:type="spellStart"/>
      <w:r w:rsidRPr="00474375">
        <w:rPr>
          <w:rStyle w:val="StyleStyleBold12pt"/>
        </w:rPr>
        <w:t>Çelik</w:t>
      </w:r>
      <w:proofErr w:type="spellEnd"/>
      <w:r w:rsidRPr="00474375">
        <w:rPr>
          <w:rStyle w:val="StyleStyleBold12pt"/>
        </w:rPr>
        <w:t xml:space="preserve"> 11</w:t>
      </w:r>
      <w:r>
        <w:t xml:space="preserve"> – </w:t>
      </w:r>
      <w:proofErr w:type="spellStart"/>
      <w:r>
        <w:t>Arda</w:t>
      </w:r>
      <w:proofErr w:type="spellEnd"/>
      <w:r>
        <w:t xml:space="preserve"> Can </w:t>
      </w:r>
      <w:proofErr w:type="spellStart"/>
      <w:r>
        <w:t>Çelik</w:t>
      </w:r>
      <w:proofErr w:type="spellEnd"/>
      <w:r>
        <w:t>, Master’s Degree in Politics and International Studies from Uppsala University, Economic Sanctions and Engagement Policies, p. 11</w:t>
      </w:r>
    </w:p>
    <w:p w:rsidR="00A7643E" w:rsidRPr="00474375" w:rsidRDefault="00A7643E" w:rsidP="00A7643E">
      <w:pPr>
        <w:rPr>
          <w:sz w:val="16"/>
        </w:rPr>
      </w:pPr>
      <w:r w:rsidRPr="00474375">
        <w:rPr>
          <w:sz w:val="16"/>
        </w:rPr>
        <w:t>Introduction</w:t>
      </w:r>
    </w:p>
    <w:p w:rsidR="00A7643E" w:rsidRDefault="00A7643E" w:rsidP="00A7643E">
      <w:pPr>
        <w:rPr>
          <w:sz w:val="16"/>
        </w:rPr>
      </w:pPr>
      <w:r w:rsidRPr="00A7643E">
        <w:t>Economic engagement policies are strategic … others in the same direction</w:t>
      </w:r>
      <w:r w:rsidRPr="00474375">
        <w:rPr>
          <w:sz w:val="16"/>
        </w:rPr>
        <w:t>.</w:t>
      </w:r>
    </w:p>
    <w:p w:rsidR="00A7643E" w:rsidRPr="00142805" w:rsidRDefault="00A7643E" w:rsidP="00A7643E">
      <w:pPr>
        <w:pStyle w:val="Heading4"/>
      </w:pPr>
      <w:r>
        <w:t xml:space="preserve">“Economic” engagement is limited to trade and financial transactions --- including more </w:t>
      </w:r>
      <w:r>
        <w:rPr>
          <w:u w:val="single"/>
        </w:rPr>
        <w:t>explodes</w:t>
      </w:r>
      <w:r>
        <w:t xml:space="preserve"> the topic to broad diplomatic, military, and cultural arenas --- our interpretation is the </w:t>
      </w:r>
      <w:r>
        <w:rPr>
          <w:u w:val="single"/>
        </w:rPr>
        <w:t>best middle ground</w:t>
      </w:r>
      <w:r>
        <w:t xml:space="preserve"> because it still lets the </w:t>
      </w:r>
      <w:proofErr w:type="spellStart"/>
      <w:r>
        <w:t>Aff</w:t>
      </w:r>
      <w:proofErr w:type="spellEnd"/>
      <w:r>
        <w:t xml:space="preserve"> choose a </w:t>
      </w:r>
      <w:r>
        <w:rPr>
          <w:u w:val="single"/>
        </w:rPr>
        <w:t>number</w:t>
      </w:r>
      <w:r>
        <w:t xml:space="preserve"> of positive sanctions and objectives, but </w:t>
      </w:r>
      <w:r>
        <w:rPr>
          <w:u w:val="single"/>
        </w:rPr>
        <w:t>locks in</w:t>
      </w:r>
      <w:r>
        <w:t xml:space="preserve"> economic </w:t>
      </w:r>
      <w:r>
        <w:rPr>
          <w:u w:val="single"/>
        </w:rPr>
        <w:t>means</w:t>
      </w:r>
      <w:r>
        <w:t xml:space="preserve"> as a site of Negative ground</w:t>
      </w:r>
    </w:p>
    <w:p w:rsidR="00A7643E" w:rsidRDefault="00A7643E" w:rsidP="00A7643E">
      <w:proofErr w:type="spellStart"/>
      <w:r w:rsidRPr="00142805">
        <w:rPr>
          <w:rStyle w:val="StyleStyleBold12pt"/>
        </w:rPr>
        <w:t>Resnick</w:t>
      </w:r>
      <w:proofErr w:type="spellEnd"/>
      <w:r w:rsidRPr="00142805">
        <w:rPr>
          <w:rStyle w:val="StyleStyleBold12pt"/>
        </w:rPr>
        <w:t xml:space="preserve"> 1</w:t>
      </w:r>
      <w:r>
        <w:t xml:space="preserve"> – Dr. Evan </w:t>
      </w:r>
      <w:proofErr w:type="spellStart"/>
      <w:r>
        <w:t>Resnick</w:t>
      </w:r>
      <w:proofErr w:type="spellEnd"/>
      <w:r>
        <w:t xml:space="preserve">, Ph.D. in Political Science from Columbia University, Assistant Professor of Political Science at Yeshiva University, “Defining Engagement”, Journal of International Affairs, Spring, 54(2), </w:t>
      </w:r>
      <w:proofErr w:type="spellStart"/>
      <w:r>
        <w:t>Ebsco</w:t>
      </w:r>
      <w:proofErr w:type="spellEnd"/>
    </w:p>
    <w:p w:rsidR="00A7643E" w:rsidRDefault="00A7643E" w:rsidP="00A7643E"/>
    <w:p w:rsidR="00A7643E" w:rsidRPr="00A7643E" w:rsidRDefault="00A7643E" w:rsidP="00A7643E">
      <w:r w:rsidRPr="00A7643E">
        <w:t>Scholars have limited the concept … multiple types of positive sanctions</w:t>
      </w:r>
    </w:p>
    <w:p w:rsidR="00A7643E" w:rsidRDefault="00A7643E" w:rsidP="00A7643E"/>
    <w:p w:rsidR="00A7643E" w:rsidRDefault="00A7643E" w:rsidP="00A7643E">
      <w:pPr>
        <w:pStyle w:val="Heading3"/>
      </w:pPr>
      <w:r>
        <w:t>1NC</w:t>
      </w:r>
      <w:r>
        <w:t xml:space="preserve"> </w:t>
      </w:r>
      <w:proofErr w:type="spellStart"/>
      <w:r>
        <w:t>Subalternity</w:t>
      </w:r>
      <w:proofErr w:type="spellEnd"/>
    </w:p>
    <w:p w:rsidR="00A7643E" w:rsidRDefault="00A7643E" w:rsidP="00A7643E"/>
    <w:p w:rsidR="00A7643E" w:rsidRDefault="00A7643E" w:rsidP="00A7643E">
      <w:pPr>
        <w:pStyle w:val="Heading4"/>
      </w:pPr>
      <w:r>
        <w:t xml:space="preserve">This is a form of shallow inclusion that reduces the interests of entire group to a sound-bite – they depoliticize the voices of marginalized groups to maintain the normative coherence of the nation </w:t>
      </w:r>
    </w:p>
    <w:p w:rsidR="00A7643E" w:rsidRPr="00A62CA9" w:rsidRDefault="00A7643E" w:rsidP="00A7643E">
      <w:pPr>
        <w:rPr>
          <w:rStyle w:val="StyleStyleBold12pt"/>
        </w:rPr>
      </w:pPr>
      <w:proofErr w:type="spellStart"/>
      <w:r w:rsidRPr="00A62CA9">
        <w:rPr>
          <w:rStyle w:val="StyleStyleBold12pt"/>
        </w:rPr>
        <w:t>Berlant</w:t>
      </w:r>
      <w:proofErr w:type="spellEnd"/>
      <w:r w:rsidRPr="00A62CA9">
        <w:rPr>
          <w:rStyle w:val="StyleStyleBold12pt"/>
        </w:rPr>
        <w:t xml:space="preserve"> 10</w:t>
      </w:r>
    </w:p>
    <w:p w:rsidR="00A7643E" w:rsidRPr="008C4591" w:rsidRDefault="00A7643E" w:rsidP="00A7643E">
      <w:pPr>
        <w:rPr>
          <w:rFonts w:asciiTheme="minorHAnsi" w:hAnsiTheme="minorHAnsi"/>
        </w:rPr>
      </w:pPr>
      <w:r w:rsidRPr="008C4591">
        <w:rPr>
          <w:rFonts w:asciiTheme="minorHAnsi" w:hAnsiTheme="minorHAnsi"/>
        </w:rPr>
        <w:t xml:space="preserve">Lauren </w:t>
      </w:r>
      <w:proofErr w:type="spellStart"/>
      <w:r w:rsidRPr="008C4591">
        <w:rPr>
          <w:rFonts w:asciiTheme="minorHAnsi" w:hAnsiTheme="minorHAnsi"/>
        </w:rPr>
        <w:t>Berlant</w:t>
      </w:r>
      <w:proofErr w:type="spellEnd"/>
      <w:r w:rsidRPr="008C4591">
        <w:rPr>
          <w:rFonts w:asciiTheme="minorHAnsi" w:hAnsiTheme="minorHAnsi"/>
        </w:rPr>
        <w:t xml:space="preserve">, The Queen of America Goes to Washington City: Essays on Sex and Citizenship (Durham, NC: Duke University Press, 1997) 37, </w:t>
      </w:r>
      <w:proofErr w:type="spellStart"/>
      <w:r w:rsidRPr="008C4591">
        <w:rPr>
          <w:rFonts w:asciiTheme="minorHAnsi" w:hAnsiTheme="minorHAnsi"/>
        </w:rPr>
        <w:t>Questia</w:t>
      </w:r>
      <w:proofErr w:type="spellEnd"/>
      <w:r w:rsidRPr="008C4591">
        <w:rPr>
          <w:rFonts w:asciiTheme="minorHAnsi" w:hAnsiTheme="minorHAnsi"/>
        </w:rPr>
        <w:t>, Web, 25 Oct. 2010.</w:t>
      </w:r>
    </w:p>
    <w:p w:rsidR="00A7643E" w:rsidRPr="008C4591" w:rsidRDefault="00A7643E" w:rsidP="00A7643E">
      <w:pPr>
        <w:rPr>
          <w:rFonts w:asciiTheme="minorHAnsi" w:hAnsiTheme="minorHAnsi"/>
        </w:rPr>
      </w:pPr>
    </w:p>
    <w:p w:rsidR="00A7643E" w:rsidRPr="00A7643E" w:rsidRDefault="00A7643E" w:rsidP="00A7643E">
      <w:proofErr w:type="gramStart"/>
      <w:r w:rsidRPr="00A7643E">
        <w:t>More than a struggle to … promise of quotidian practical intimacy.</w:t>
      </w:r>
      <w:proofErr w:type="gramEnd"/>
      <w:r w:rsidRPr="00A7643E">
        <w:t xml:space="preserve">  </w:t>
      </w:r>
    </w:p>
    <w:p w:rsidR="00A7643E" w:rsidRDefault="00A7643E" w:rsidP="00A7643E"/>
    <w:p w:rsidR="00A7643E" w:rsidRPr="0082528D" w:rsidRDefault="00A7643E" w:rsidP="00A7643E"/>
    <w:p w:rsidR="00A7643E" w:rsidRPr="00121671" w:rsidRDefault="00A7643E" w:rsidP="00A7643E">
      <w:pPr>
        <w:pStyle w:val="Heading4"/>
      </w:pPr>
      <w:r w:rsidRPr="00121671">
        <w:t xml:space="preserve">White </w:t>
      </w:r>
      <w:proofErr w:type="spellStart"/>
      <w:r w:rsidRPr="00121671">
        <w:t>racialized</w:t>
      </w:r>
      <w:proofErr w:type="spellEnd"/>
      <w:r w:rsidRPr="00121671">
        <w:t xml:space="preserve"> identity hidden beneath democracy is the condition of possibility for US interventionism. The cultural </w:t>
      </w:r>
      <w:r>
        <w:t>fear based politics a</w:t>
      </w:r>
      <w:r w:rsidRPr="00121671">
        <w:t>nd consensus building based off of this whiteness is what fuels ou</w:t>
      </w:r>
      <w:r>
        <w:t xml:space="preserve">r </w:t>
      </w:r>
      <w:proofErr w:type="spellStart"/>
      <w:r>
        <w:t>messianism</w:t>
      </w:r>
      <w:proofErr w:type="spellEnd"/>
      <w:r>
        <w:t xml:space="preserve"> in other countries, making backlash and all their impacts inevitable.</w:t>
      </w:r>
    </w:p>
    <w:p w:rsidR="00A7643E" w:rsidRPr="00A758CD" w:rsidRDefault="00A7643E" w:rsidP="00A7643E">
      <w:pPr>
        <w:rPr>
          <w:rStyle w:val="StyleStyleBold12pt"/>
          <w:rFonts w:asciiTheme="minorHAnsi" w:hAnsiTheme="minorHAnsi" w:cstheme="minorHAnsi"/>
        </w:rPr>
      </w:pPr>
    </w:p>
    <w:p w:rsidR="00A7643E" w:rsidRPr="00A7643E" w:rsidRDefault="00A7643E" w:rsidP="00A7643E">
      <w:pPr>
        <w:pStyle w:val="tag"/>
        <w:rPr>
          <w:rStyle w:val="StyleStyleBold12pt"/>
          <w:rFonts w:asciiTheme="minorHAnsi" w:hAnsiTheme="minorHAnsi" w:cstheme="minorHAnsi"/>
          <w:b/>
        </w:rPr>
      </w:pPr>
      <w:proofErr w:type="spellStart"/>
      <w:r w:rsidRPr="00A7643E">
        <w:rPr>
          <w:rStyle w:val="StyleStyleBold12pt"/>
          <w:rFonts w:asciiTheme="minorHAnsi" w:hAnsiTheme="minorHAnsi" w:cstheme="minorHAnsi"/>
          <w:b/>
        </w:rPr>
        <w:t>Martinot</w:t>
      </w:r>
      <w:proofErr w:type="spellEnd"/>
      <w:r w:rsidRPr="00A7643E">
        <w:rPr>
          <w:rStyle w:val="StyleStyleBold12pt"/>
          <w:rFonts w:asciiTheme="minorHAnsi" w:hAnsiTheme="minorHAnsi" w:cstheme="minorHAnsi"/>
          <w:b/>
        </w:rPr>
        <w:t xml:space="preserve">, 2003 </w:t>
      </w:r>
    </w:p>
    <w:p w:rsidR="00A7643E" w:rsidRPr="00A758CD" w:rsidRDefault="00A7643E" w:rsidP="00A7643E">
      <w:pPr>
        <w:pStyle w:val="tag"/>
        <w:rPr>
          <w:rFonts w:asciiTheme="minorHAnsi" w:hAnsiTheme="minorHAnsi" w:cstheme="minorHAnsi"/>
          <w:b w:val="0"/>
          <w:sz w:val="22"/>
        </w:rPr>
      </w:pPr>
      <w:r w:rsidRPr="00A758CD">
        <w:rPr>
          <w:rFonts w:asciiTheme="minorHAnsi" w:hAnsiTheme="minorHAnsi" w:cstheme="minorHAnsi"/>
          <w:b w:val="0"/>
          <w:sz w:val="22"/>
        </w:rPr>
        <w:t>(Steve, lecturer at San Francisco State University in the Center for Interdisciplinary Programs, “The Cultural Roots of Interventionism in the US,” Social Justice Vol. 30, No. 1 (2003), pp. 19-20)</w:t>
      </w:r>
    </w:p>
    <w:p w:rsidR="00A7643E" w:rsidRPr="00A758CD" w:rsidRDefault="00A7643E" w:rsidP="00A7643E">
      <w:pPr>
        <w:rPr>
          <w:rFonts w:asciiTheme="minorHAnsi" w:hAnsiTheme="minorHAnsi" w:cstheme="minorHAnsi"/>
        </w:rPr>
      </w:pPr>
    </w:p>
    <w:p w:rsidR="00A7643E" w:rsidRPr="00A7643E" w:rsidRDefault="00A7643E" w:rsidP="00A7643E">
      <w:r w:rsidRPr="00A7643E">
        <w:t xml:space="preserve">American nationalism took a slightly … violently enforced allegiance to it. </w:t>
      </w:r>
    </w:p>
    <w:p w:rsidR="00A7643E" w:rsidRPr="00182F79" w:rsidRDefault="00A7643E" w:rsidP="00A7643E">
      <w:pPr>
        <w:rPr>
          <w:rFonts w:asciiTheme="minorHAnsi" w:hAnsiTheme="minorHAnsi" w:cstheme="minorHAnsi"/>
        </w:rPr>
      </w:pPr>
    </w:p>
    <w:p w:rsidR="00A7643E" w:rsidRDefault="00A7643E" w:rsidP="00A7643E"/>
    <w:p w:rsidR="00A7643E" w:rsidRDefault="00A7643E" w:rsidP="00A7643E">
      <w:pPr>
        <w:pStyle w:val="Heading4"/>
      </w:pPr>
      <w:proofErr w:type="gramStart"/>
      <w:r>
        <w:t>liberal</w:t>
      </w:r>
      <w:proofErr w:type="gramEnd"/>
      <w:r>
        <w:t xml:space="preserve"> reformist attempt to solve racism are actually just ways to alleviate white guilt and are ultimately just a plea for erasure by shoring up the </w:t>
      </w:r>
      <w:proofErr w:type="spellStart"/>
      <w:r>
        <w:t>magnamity</w:t>
      </w:r>
      <w:proofErr w:type="spellEnd"/>
      <w:r>
        <w:t xml:space="preserve"> of whiteness. </w:t>
      </w:r>
      <w:proofErr w:type="gramStart"/>
      <w:r>
        <w:t>comfort</w:t>
      </w:r>
      <w:proofErr w:type="gramEnd"/>
      <w:r>
        <w:t xml:space="preserve"> of imagined future reconciliation contributes to violence and a will to amnesia. Only the relinquishing of the future and liberal values can allow us to engage.  </w:t>
      </w:r>
    </w:p>
    <w:p w:rsidR="00A7643E" w:rsidRPr="00B90598" w:rsidRDefault="00A7643E" w:rsidP="00A7643E">
      <w:pPr>
        <w:rPr>
          <w:rStyle w:val="StyleStyleBold12pt"/>
          <w:rFonts w:asciiTheme="minorHAnsi" w:hAnsiTheme="minorHAnsi"/>
        </w:rPr>
      </w:pPr>
      <w:proofErr w:type="spellStart"/>
      <w:r w:rsidRPr="00B90598">
        <w:rPr>
          <w:rStyle w:val="StyleStyleBold12pt"/>
          <w:rFonts w:asciiTheme="minorHAnsi" w:hAnsiTheme="minorHAnsi"/>
        </w:rPr>
        <w:t>Winnubust</w:t>
      </w:r>
      <w:proofErr w:type="spellEnd"/>
      <w:r w:rsidRPr="00B90598">
        <w:rPr>
          <w:rStyle w:val="StyleStyleBold12pt"/>
          <w:rFonts w:asciiTheme="minorHAnsi" w:hAnsiTheme="minorHAnsi"/>
        </w:rPr>
        <w:t xml:space="preserve"> 06</w:t>
      </w:r>
    </w:p>
    <w:p w:rsidR="00A7643E" w:rsidRDefault="00A7643E" w:rsidP="00A7643E">
      <w:pPr>
        <w:rPr>
          <w:rFonts w:asciiTheme="minorHAnsi" w:hAnsiTheme="minorHAnsi"/>
        </w:rPr>
      </w:pPr>
      <w:r w:rsidRPr="00B90598">
        <w:rPr>
          <w:rFonts w:asciiTheme="minorHAnsi" w:hAnsiTheme="minorHAnsi"/>
        </w:rPr>
        <w:t xml:space="preserve">Shannon, </w:t>
      </w:r>
      <w:proofErr w:type="spellStart"/>
      <w:r w:rsidRPr="00B90598">
        <w:rPr>
          <w:rFonts w:asciiTheme="minorHAnsi" w:hAnsiTheme="minorHAnsi"/>
        </w:rPr>
        <w:t>Winnubst</w:t>
      </w:r>
      <w:proofErr w:type="spellEnd"/>
      <w:r w:rsidRPr="00B90598">
        <w:rPr>
          <w:rFonts w:asciiTheme="minorHAnsi" w:hAnsiTheme="minorHAnsi"/>
        </w:rPr>
        <w:t xml:space="preserve">. Queering Freedom. Bloomington, IN. </w:t>
      </w:r>
      <w:proofErr w:type="gramStart"/>
      <w:r w:rsidRPr="00B90598">
        <w:rPr>
          <w:rFonts w:asciiTheme="minorHAnsi" w:hAnsiTheme="minorHAnsi"/>
        </w:rPr>
        <w:t>USA :</w:t>
      </w:r>
      <w:proofErr w:type="gramEnd"/>
      <w:r w:rsidRPr="00B90598">
        <w:rPr>
          <w:rFonts w:asciiTheme="minorHAnsi" w:hAnsiTheme="minorHAnsi"/>
        </w:rPr>
        <w:t xml:space="preserve"> </w:t>
      </w:r>
      <w:proofErr w:type="spellStart"/>
      <w:r w:rsidRPr="00B90598">
        <w:rPr>
          <w:rFonts w:asciiTheme="minorHAnsi" w:hAnsiTheme="minorHAnsi"/>
        </w:rPr>
        <w:t>Indiiana</w:t>
      </w:r>
      <w:proofErr w:type="spellEnd"/>
      <w:r w:rsidRPr="00B90598">
        <w:rPr>
          <w:rFonts w:asciiTheme="minorHAnsi" w:hAnsiTheme="minorHAnsi"/>
        </w:rPr>
        <w:t xml:space="preserve"> university Press. </w:t>
      </w:r>
      <w:proofErr w:type="spellStart"/>
      <w:r w:rsidRPr="00B90598">
        <w:rPr>
          <w:rFonts w:asciiTheme="minorHAnsi" w:hAnsiTheme="minorHAnsi"/>
        </w:rPr>
        <w:t>Pg</w:t>
      </w:r>
      <w:proofErr w:type="spellEnd"/>
      <w:r w:rsidRPr="00B90598">
        <w:rPr>
          <w:rFonts w:asciiTheme="minorHAnsi" w:hAnsiTheme="minorHAnsi"/>
        </w:rPr>
        <w:t xml:space="preserve"> 192. Sexuality </w:t>
      </w:r>
      <w:r>
        <w:rPr>
          <w:rFonts w:asciiTheme="minorHAnsi" w:hAnsiTheme="minorHAnsi"/>
        </w:rPr>
        <w:t>studies @ Ohio State pg. 157-8</w:t>
      </w:r>
      <w:r w:rsidRPr="00B90598">
        <w:rPr>
          <w:rFonts w:asciiTheme="minorHAnsi" w:hAnsiTheme="minorHAnsi"/>
        </w:rPr>
        <w:t>(MI)</w:t>
      </w:r>
    </w:p>
    <w:p w:rsidR="00A7643E" w:rsidRDefault="00A7643E" w:rsidP="00A7643E">
      <w:pPr>
        <w:rPr>
          <w:sz w:val="16"/>
        </w:rPr>
      </w:pPr>
    </w:p>
    <w:p w:rsidR="00A7643E" w:rsidRPr="00A7643E" w:rsidRDefault="00A7643E" w:rsidP="00A7643E">
      <w:proofErr w:type="gramStart"/>
      <w:r w:rsidRPr="00A7643E">
        <w:t>The registers of the confessions … generosity, and compassion¶ of whiteness.</w:t>
      </w:r>
      <w:proofErr w:type="gramEnd"/>
    </w:p>
    <w:p w:rsidR="00A7643E" w:rsidRDefault="00A7643E" w:rsidP="00A7643E"/>
    <w:p w:rsidR="00A7643E" w:rsidRPr="009E0618" w:rsidRDefault="00A7643E" w:rsidP="00A7643E">
      <w:pPr>
        <w:pStyle w:val="Heading4"/>
      </w:pPr>
      <w:r>
        <w:t>T</w:t>
      </w:r>
      <w:r w:rsidRPr="009E0618">
        <w:t>heir engagement the Otherness is parasitic and consumptive, naturalizing academic colonialism and oppression</w:t>
      </w:r>
    </w:p>
    <w:p w:rsidR="00A7643E" w:rsidRPr="009E0618" w:rsidRDefault="00A7643E" w:rsidP="00A7643E">
      <w:pPr>
        <w:rPr>
          <w:b/>
          <w:u w:val="single"/>
        </w:rPr>
      </w:pPr>
      <w:r w:rsidRPr="009E0618">
        <w:rPr>
          <w:b/>
          <w:u w:val="single"/>
        </w:rPr>
        <w:t xml:space="preserve">Chow, </w:t>
      </w:r>
      <w:r w:rsidRPr="0060215C">
        <w:t xml:space="preserve">Anne </w:t>
      </w:r>
      <w:proofErr w:type="spellStart"/>
      <w:r w:rsidRPr="0060215C">
        <w:t>Firor</w:t>
      </w:r>
      <w:proofErr w:type="spellEnd"/>
      <w:r w:rsidRPr="0060215C">
        <w:t xml:space="preserve"> Scott Professor of Literature at Duke</w:t>
      </w:r>
      <w:r w:rsidRPr="009E0618">
        <w:rPr>
          <w:b/>
          <w:u w:val="single"/>
        </w:rPr>
        <w:t>, 93</w:t>
      </w:r>
    </w:p>
    <w:p w:rsidR="00A7643E" w:rsidRPr="009E0618" w:rsidRDefault="00A7643E" w:rsidP="00A7643E">
      <w:pPr>
        <w:rPr>
          <w:sz w:val="16"/>
        </w:rPr>
      </w:pPr>
      <w:r w:rsidRPr="0060215C">
        <w:t xml:space="preserve">(Rey, Writing Diaspora, Indiana University of Press, 1993, p.10-13, accessed via Google Books on 5-29-12, JDB) </w:t>
      </w:r>
    </w:p>
    <w:p w:rsidR="00A7643E" w:rsidRPr="00A7643E" w:rsidRDefault="00A7643E" w:rsidP="00A7643E">
      <w:r w:rsidRPr="00A7643E">
        <w:t xml:space="preserve">The Orientalist has a special sibling … have had our </w:t>
      </w:r>
      <w:proofErr w:type="spellStart"/>
      <w:r w:rsidRPr="00A7643E">
        <w:t>consciousnesses</w:t>
      </w:r>
      <w:proofErr w:type="spellEnd"/>
      <w:r w:rsidRPr="00A7643E">
        <w:t xml:space="preserve"> “raised.” </w:t>
      </w:r>
    </w:p>
    <w:p w:rsidR="00A7643E" w:rsidRPr="009E0618" w:rsidRDefault="00A7643E" w:rsidP="00A7643E">
      <w:pPr>
        <w:rPr>
          <w:sz w:val="16"/>
        </w:rPr>
      </w:pPr>
    </w:p>
    <w:p w:rsidR="00A7643E" w:rsidRDefault="00A7643E" w:rsidP="00A7643E"/>
    <w:p w:rsidR="00A7643E" w:rsidRDefault="00A7643E" w:rsidP="00A7643E">
      <w:pPr>
        <w:pStyle w:val="Heading4"/>
      </w:pPr>
      <w:r>
        <w:t xml:space="preserve">The alternative is to endorse an archive of shadow feminism by refusing to recapture representations and knowledge of the subaltern. </w:t>
      </w:r>
    </w:p>
    <w:p w:rsidR="00A7643E" w:rsidRPr="00705DE9" w:rsidRDefault="00A7643E" w:rsidP="00A7643E">
      <w:pPr>
        <w:rPr>
          <w:rStyle w:val="StyleStyleBold12pt"/>
        </w:rPr>
      </w:pPr>
      <w:proofErr w:type="spellStart"/>
      <w:r w:rsidRPr="00705DE9">
        <w:rPr>
          <w:rStyle w:val="StyleStyleBold12pt"/>
        </w:rPr>
        <w:t>Halberstam</w:t>
      </w:r>
      <w:proofErr w:type="spellEnd"/>
      <w:r w:rsidRPr="00705DE9">
        <w:rPr>
          <w:rStyle w:val="StyleStyleBold12pt"/>
        </w:rPr>
        <w:t xml:space="preserve"> 11</w:t>
      </w:r>
    </w:p>
    <w:p w:rsidR="00A7643E" w:rsidRDefault="00A7643E" w:rsidP="00A7643E">
      <w:r>
        <w:t xml:space="preserve">Jack "The Queer Art of Failure" Duke Univ. Press </w:t>
      </w:r>
      <w:r w:rsidRPr="00DF4881">
        <w:t>Professor of English and Director of The Center for Feminist Research at University of Southern California.</w:t>
      </w:r>
      <w:r>
        <w:t xml:space="preserve"> (MI)</w:t>
      </w:r>
    </w:p>
    <w:p w:rsidR="00A7643E" w:rsidRPr="002022E3" w:rsidRDefault="00A7643E" w:rsidP="00A7643E"/>
    <w:p w:rsidR="00A7643E" w:rsidRPr="00A7643E" w:rsidRDefault="00A7643E" w:rsidP="00A7643E">
      <w:r w:rsidRPr="00A7643E">
        <w:t xml:space="preserve">This </w:t>
      </w:r>
      <w:proofErr w:type="gramStart"/>
      <w:r w:rsidRPr="00A7643E">
        <w:t>idea, that intellectuals construct …</w:t>
      </w:r>
      <w:proofErr w:type="gramEnd"/>
      <w:r w:rsidRPr="00A7643E">
        <w:t xml:space="preserve"> to fulfillment, recognition, and achievement.</w:t>
      </w:r>
    </w:p>
    <w:p w:rsidR="00A7643E" w:rsidRDefault="00A7643E" w:rsidP="00A7643E"/>
    <w:p w:rsidR="00A7643E" w:rsidRDefault="00A7643E" w:rsidP="00A7643E">
      <w:pPr>
        <w:pStyle w:val="Heading3"/>
      </w:pPr>
      <w:r>
        <w:t>Speaking for Others</w:t>
      </w:r>
    </w:p>
    <w:p w:rsidR="00A7643E" w:rsidRDefault="00A7643E" w:rsidP="00A7643E"/>
    <w:p w:rsidR="00A7643E" w:rsidRPr="00A5400E" w:rsidRDefault="00A7643E" w:rsidP="00A7643E">
      <w:pPr>
        <w:rPr>
          <w:rFonts w:ascii="Georgia" w:hAnsi="Georgia"/>
          <w:b/>
        </w:rPr>
      </w:pPr>
      <w:bookmarkStart w:id="1" w:name="_GoBack"/>
      <w:r w:rsidRPr="00A5400E">
        <w:rPr>
          <w:rFonts w:ascii="Georgia" w:hAnsi="Georgia"/>
          <w:b/>
        </w:rPr>
        <w:t xml:space="preserve">Speaking for others solves nothing and recreates their harms. </w:t>
      </w:r>
    </w:p>
    <w:p w:rsidR="00A7643E" w:rsidRDefault="00A7643E" w:rsidP="00A7643E">
      <w:pPr>
        <w:rPr>
          <w:rFonts w:ascii="Georgia" w:hAnsi="Georgia"/>
        </w:rPr>
      </w:pPr>
      <w:r w:rsidRPr="00A5400E">
        <w:rPr>
          <w:rFonts w:ascii="Georgia" w:hAnsi="Georgia"/>
        </w:rPr>
        <w:t>Linda </w:t>
      </w:r>
      <w:proofErr w:type="spellStart"/>
      <w:r w:rsidRPr="00A5400E">
        <w:rPr>
          <w:rFonts w:ascii="Georgia" w:hAnsi="Georgia"/>
          <w:b/>
          <w:bCs/>
        </w:rPr>
        <w:t>Alcoff</w:t>
      </w:r>
      <w:proofErr w:type="spellEnd"/>
      <w:r w:rsidRPr="00A5400E">
        <w:rPr>
          <w:rFonts w:ascii="Georgia" w:hAnsi="Georgia"/>
        </w:rPr>
        <w:t>, Professor of Philosophy, Women's Studies and Political Science, Director of Women’s Studies, Syracuse University, 19</w:t>
      </w:r>
      <w:r w:rsidRPr="00A5400E">
        <w:rPr>
          <w:rFonts w:ascii="Georgia" w:hAnsi="Georgia"/>
          <w:b/>
          <w:bCs/>
        </w:rPr>
        <w:t>95</w:t>
      </w:r>
      <w:r w:rsidRPr="00A5400E">
        <w:rPr>
          <w:rFonts w:ascii="Georgia" w:hAnsi="Georgia"/>
        </w:rPr>
        <w:t>, Linda Martin-</w:t>
      </w:r>
      <w:proofErr w:type="spellStart"/>
      <w:r w:rsidRPr="00A5400E">
        <w:rPr>
          <w:rFonts w:ascii="Georgia" w:hAnsi="Georgia"/>
        </w:rPr>
        <w:t>Alcoff</w:t>
      </w:r>
      <w:proofErr w:type="spellEnd"/>
      <w:r w:rsidRPr="00A5400E">
        <w:rPr>
          <w:rFonts w:ascii="Georgia" w:hAnsi="Georgia"/>
        </w:rPr>
        <w:t>, “The Problem of Speaking for Others,” </w:t>
      </w:r>
      <w:hyperlink r:id="rId8" w:history="1">
        <w:r w:rsidRPr="00A5400E">
          <w:rPr>
            <w:rStyle w:val="Hyperlink"/>
            <w:rFonts w:ascii="Georgia" w:hAnsi="Georgia"/>
          </w:rPr>
          <w:t>http://www.alcoff.com/content/speaothers.html</w:t>
        </w:r>
      </w:hyperlink>
    </w:p>
    <w:p w:rsidR="00A7643E" w:rsidRDefault="00A7643E" w:rsidP="00A7643E">
      <w:pPr>
        <w:rPr>
          <w:rFonts w:ascii="Georgia" w:hAnsi="Georgia"/>
        </w:rPr>
      </w:pPr>
    </w:p>
    <w:p w:rsidR="00A7643E" w:rsidRPr="00A7643E" w:rsidRDefault="00A7643E" w:rsidP="00A7643E">
      <w:r w:rsidRPr="00A7643E">
        <w:t xml:space="preserve">Feminist discourse is not </w:t>
      </w:r>
      <w:proofErr w:type="gramStart"/>
      <w:r w:rsidRPr="00A7643E">
        <w:t>the … of</w:t>
      </w:r>
      <w:proofErr w:type="gramEnd"/>
      <w:r w:rsidRPr="00A7643E">
        <w:t xml:space="preserve"> those oppressed groups themselves.</w:t>
      </w:r>
      <w:hyperlink r:id="rId9" w:anchor="footnote6" w:history="1">
        <w:r w:rsidRPr="00A7643E">
          <w:t>6</w:t>
        </w:r>
      </w:hyperlink>
    </w:p>
    <w:p w:rsidR="00A7643E" w:rsidRDefault="00A7643E" w:rsidP="00A7643E">
      <w:pPr>
        <w:rPr>
          <w:rFonts w:ascii="Georgia" w:hAnsi="Georgia"/>
        </w:rPr>
      </w:pPr>
    </w:p>
    <w:p w:rsidR="00A7643E" w:rsidRPr="000244BE" w:rsidRDefault="00A7643E" w:rsidP="00A7643E">
      <w:pPr>
        <w:rPr>
          <w:rFonts w:ascii="Georgia" w:hAnsi="Georgia"/>
          <w:b/>
        </w:rPr>
      </w:pPr>
      <w:r w:rsidRPr="000244BE">
        <w:rPr>
          <w:rFonts w:ascii="Georgia" w:hAnsi="Georgia"/>
          <w:b/>
        </w:rPr>
        <w:t xml:space="preserve">The </w:t>
      </w:r>
      <w:proofErr w:type="spellStart"/>
      <w:r w:rsidRPr="000244BE">
        <w:rPr>
          <w:rFonts w:ascii="Georgia" w:hAnsi="Georgia"/>
          <w:b/>
        </w:rPr>
        <w:t>aff’s</w:t>
      </w:r>
      <w:proofErr w:type="spellEnd"/>
      <w:r w:rsidRPr="000244BE">
        <w:rPr>
          <w:rFonts w:ascii="Georgia" w:hAnsi="Georgia"/>
          <w:b/>
        </w:rPr>
        <w:t xml:space="preserve"> doesn’t allow us to acknowledge the choices we are making which means we can never actually address the problems we are trying to solve</w:t>
      </w:r>
    </w:p>
    <w:p w:rsidR="00A7643E" w:rsidRPr="00A5400E" w:rsidRDefault="00A7643E" w:rsidP="00A7643E">
      <w:pPr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Pr="00A5400E">
        <w:rPr>
          <w:rFonts w:ascii="Georgia" w:hAnsi="Georgia"/>
        </w:rPr>
        <w:t>Linda </w:t>
      </w:r>
      <w:proofErr w:type="spellStart"/>
      <w:r w:rsidRPr="00A5400E">
        <w:rPr>
          <w:rFonts w:ascii="Georgia" w:hAnsi="Georgia"/>
          <w:b/>
          <w:bCs/>
        </w:rPr>
        <w:t>Alcoff</w:t>
      </w:r>
      <w:proofErr w:type="spellEnd"/>
      <w:r w:rsidRPr="00A5400E">
        <w:rPr>
          <w:rFonts w:ascii="Georgia" w:hAnsi="Georgia"/>
        </w:rPr>
        <w:t>, Professor of Philosophy, Women's Studies and Political Science, Director of Women’s Studies, Syracuse University, 19</w:t>
      </w:r>
      <w:r w:rsidRPr="00A5400E">
        <w:rPr>
          <w:rFonts w:ascii="Georgia" w:hAnsi="Georgia"/>
          <w:b/>
          <w:bCs/>
        </w:rPr>
        <w:t>95</w:t>
      </w:r>
      <w:r w:rsidRPr="00A5400E">
        <w:rPr>
          <w:rFonts w:ascii="Georgia" w:hAnsi="Georgia"/>
        </w:rPr>
        <w:t>, Linda Martin-</w:t>
      </w:r>
      <w:proofErr w:type="spellStart"/>
      <w:r w:rsidRPr="00A5400E">
        <w:rPr>
          <w:rFonts w:ascii="Georgia" w:hAnsi="Georgia"/>
        </w:rPr>
        <w:t>Alcoff</w:t>
      </w:r>
      <w:proofErr w:type="spellEnd"/>
      <w:r w:rsidRPr="00A5400E">
        <w:rPr>
          <w:rFonts w:ascii="Georgia" w:hAnsi="Georgia"/>
        </w:rPr>
        <w:t>, “The Problem of Speaking for Others,” </w:t>
      </w:r>
      <w:hyperlink r:id="rId10" w:history="1">
        <w:r w:rsidRPr="00A5400E">
          <w:rPr>
            <w:rStyle w:val="Hyperlink"/>
            <w:rFonts w:ascii="Georgia" w:hAnsi="Georgia"/>
          </w:rPr>
          <w:t>http://www.alcoff.com/content/speaothers.html</w:t>
        </w:r>
      </w:hyperlink>
    </w:p>
    <w:p w:rsidR="00A7643E" w:rsidRPr="00A5400E" w:rsidRDefault="00A7643E" w:rsidP="00A7643E">
      <w:pPr>
        <w:rPr>
          <w:rFonts w:ascii="Georgia" w:hAnsi="Georgia"/>
        </w:rPr>
      </w:pPr>
    </w:p>
    <w:p w:rsidR="00A7643E" w:rsidRPr="00A7643E" w:rsidRDefault="00A7643E" w:rsidP="00A7643E">
      <w:r w:rsidRPr="00A7643E">
        <w:t>In the examples used above, there … the articulation of the problem.</w:t>
      </w:r>
    </w:p>
    <w:bookmarkEnd w:id="1"/>
    <w:p w:rsidR="00A7643E" w:rsidRDefault="00A7643E" w:rsidP="00A7643E">
      <w:pPr>
        <w:rPr>
          <w:u w:val="single"/>
        </w:rPr>
      </w:pPr>
    </w:p>
    <w:p w:rsidR="00A7643E" w:rsidRDefault="00A7643E" w:rsidP="00A7643E">
      <w:pPr>
        <w:rPr>
          <w:u w:val="single"/>
        </w:rPr>
      </w:pPr>
    </w:p>
    <w:p w:rsidR="00A7643E" w:rsidRPr="007F3BDF" w:rsidRDefault="00A7643E" w:rsidP="00A7643E"/>
    <w:p w:rsidR="00B45FE9" w:rsidRPr="00AF5046" w:rsidRDefault="00B45FE9" w:rsidP="007A3515"/>
    <w:sectPr w:rsidR="00B45FE9" w:rsidRPr="00AF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43E" w:rsidRDefault="00A7643E" w:rsidP="00E46E7E">
      <w:r>
        <w:separator/>
      </w:r>
    </w:p>
  </w:endnote>
  <w:endnote w:type="continuationSeparator" w:id="0">
    <w:p w:rsidR="00A7643E" w:rsidRDefault="00A7643E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43E" w:rsidRDefault="00A7643E" w:rsidP="00E46E7E">
      <w:r>
        <w:separator/>
      </w:r>
    </w:p>
  </w:footnote>
  <w:footnote w:type="continuationSeparator" w:id="0">
    <w:p w:rsidR="00A7643E" w:rsidRDefault="00A7643E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43E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7643E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3" w:qFormat="1"/>
    <w:lsdException w:name="heading 4" w:uiPriority="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7643E"/>
    <w:rPr>
      <w:rFonts w:ascii="Calibri" w:eastAsia="Calibri" w:hAnsi="Calibri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,Big card,body,small text,Normal Tag,heading 2,Heading 2 Char2 Char,Heading 2 Char1 Char Char, Ch,no read,No Spacing211,No Spacing2111,Ch,No Spacing111111,No Spacing11111,No Spacing12,No Spacing21"/>
    <w:basedOn w:val="Normal"/>
    <w:next w:val="Normal"/>
    <w:link w:val="Heading4Char"/>
    <w:uiPriority w:val="4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emphasis,Underlined,Emphasis!!,small,Qualifications,Bold Underline"/>
    <w:basedOn w:val="DefaultParagraphFont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no read Char,No Spacing211 Char,No Spacing2111 Char,Ch Char,No Spacing111111 Char"/>
    <w:basedOn w:val="DefaultParagraphFont"/>
    <w:link w:val="Heading4"/>
    <w:uiPriority w:val="4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1 pt,tagld + 12 pt,Style Style Bold + 13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Title Char,Bold Cite Char,Citation Char Char Char,Heading 3 Char1 Char Char Char,ci,c,Bo,B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eastAsiaTheme="minorEastAsia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StyleTimesNewRoman9pt">
    <w:name w:val="Style Times New Roman 9 pt"/>
    <w:rsid w:val="00A7643E"/>
    <w:rPr>
      <w:sz w:val="20"/>
    </w:rPr>
  </w:style>
  <w:style w:type="character" w:customStyle="1" w:styleId="underline">
    <w:name w:val="underline"/>
    <w:basedOn w:val="DefaultParagraphFont"/>
    <w:link w:val="textbold"/>
    <w:qFormat/>
    <w:rsid w:val="00A7643E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A7643E"/>
    <w:pPr>
      <w:ind w:left="720"/>
      <w:jc w:val="both"/>
    </w:pPr>
    <w:rPr>
      <w:rFonts w:asciiTheme="minorHAnsi" w:eastAsiaTheme="minorEastAsia" w:hAnsiTheme="minorHAnsi" w:cstheme="minorBidi"/>
      <w:b/>
      <w:sz w:val="24"/>
      <w:szCs w:val="24"/>
      <w:u w:val="single"/>
    </w:rPr>
  </w:style>
  <w:style w:type="paragraph" w:customStyle="1" w:styleId="tag">
    <w:name w:val="tag"/>
    <w:basedOn w:val="Normal"/>
    <w:next w:val="Normal"/>
    <w:qFormat/>
    <w:rsid w:val="00A7643E"/>
    <w:rPr>
      <w:rFonts w:ascii="Times New Roman" w:hAnsi="Times New Roman" w:cs="Times New Roman"/>
      <w:b/>
      <w:sz w:val="24"/>
    </w:rPr>
  </w:style>
  <w:style w:type="paragraph" w:customStyle="1" w:styleId="card">
    <w:name w:val="card"/>
    <w:basedOn w:val="Normal"/>
    <w:next w:val="Normal"/>
    <w:link w:val="cardChar"/>
    <w:qFormat/>
    <w:rsid w:val="00A7643E"/>
    <w:pPr>
      <w:ind w:left="288" w:right="288"/>
    </w:pPr>
    <w:rPr>
      <w:rFonts w:ascii="Times New Roman" w:hAnsi="Times New Roman" w:cs="Times New Roman"/>
      <w:sz w:val="16"/>
    </w:rPr>
  </w:style>
  <w:style w:type="character" w:customStyle="1" w:styleId="cardChar">
    <w:name w:val="card Char"/>
    <w:link w:val="card"/>
    <w:rsid w:val="00A7643E"/>
    <w:rPr>
      <w:rFonts w:ascii="Times New Roman" w:eastAsia="Calibri" w:hAnsi="Times New Roman" w:cs="Times New Roman"/>
      <w:sz w:val="16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3" w:qFormat="1"/>
    <w:lsdException w:name="heading 4" w:uiPriority="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7643E"/>
    <w:rPr>
      <w:rFonts w:ascii="Calibri" w:eastAsia="Calibri" w:hAnsi="Calibri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,Big card,body,small text,Normal Tag,heading 2,Heading 2 Char2 Char,Heading 2 Char1 Char Char, Ch,no read,No Spacing211,No Spacing2111,Ch,No Spacing111111,No Spacing11111,No Spacing12,No Spacing21"/>
    <w:basedOn w:val="Normal"/>
    <w:next w:val="Normal"/>
    <w:link w:val="Heading4Char"/>
    <w:uiPriority w:val="4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emphasis,Underlined,Emphasis!!,small,Qualifications,Bold Underline"/>
    <w:basedOn w:val="DefaultParagraphFont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no read Char,No Spacing211 Char,No Spacing2111 Char,Ch Char,No Spacing111111 Char"/>
    <w:basedOn w:val="DefaultParagraphFont"/>
    <w:link w:val="Heading4"/>
    <w:uiPriority w:val="4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1 pt,tagld + 12 pt,Style Style Bold + 13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Title Char,Bold Cite Char,Citation Char Char Char,Heading 3 Char1 Char Char Char,ci,c,Bo,B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eastAsiaTheme="minorEastAsia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StyleTimesNewRoman9pt">
    <w:name w:val="Style Times New Roman 9 pt"/>
    <w:rsid w:val="00A7643E"/>
    <w:rPr>
      <w:sz w:val="20"/>
    </w:rPr>
  </w:style>
  <w:style w:type="character" w:customStyle="1" w:styleId="underline">
    <w:name w:val="underline"/>
    <w:basedOn w:val="DefaultParagraphFont"/>
    <w:link w:val="textbold"/>
    <w:qFormat/>
    <w:rsid w:val="00A7643E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A7643E"/>
    <w:pPr>
      <w:ind w:left="720"/>
      <w:jc w:val="both"/>
    </w:pPr>
    <w:rPr>
      <w:rFonts w:asciiTheme="minorHAnsi" w:eastAsiaTheme="minorEastAsia" w:hAnsiTheme="minorHAnsi" w:cstheme="minorBidi"/>
      <w:b/>
      <w:sz w:val="24"/>
      <w:szCs w:val="24"/>
      <w:u w:val="single"/>
    </w:rPr>
  </w:style>
  <w:style w:type="paragraph" w:customStyle="1" w:styleId="tag">
    <w:name w:val="tag"/>
    <w:basedOn w:val="Normal"/>
    <w:next w:val="Normal"/>
    <w:qFormat/>
    <w:rsid w:val="00A7643E"/>
    <w:rPr>
      <w:rFonts w:ascii="Times New Roman" w:hAnsi="Times New Roman" w:cs="Times New Roman"/>
      <w:b/>
      <w:sz w:val="24"/>
    </w:rPr>
  </w:style>
  <w:style w:type="paragraph" w:customStyle="1" w:styleId="card">
    <w:name w:val="card"/>
    <w:basedOn w:val="Normal"/>
    <w:next w:val="Normal"/>
    <w:link w:val="cardChar"/>
    <w:qFormat/>
    <w:rsid w:val="00A7643E"/>
    <w:pPr>
      <w:ind w:left="288" w:right="288"/>
    </w:pPr>
    <w:rPr>
      <w:rFonts w:ascii="Times New Roman" w:hAnsi="Times New Roman" w:cs="Times New Roman"/>
      <w:sz w:val="16"/>
    </w:rPr>
  </w:style>
  <w:style w:type="character" w:customStyle="1" w:styleId="cardChar">
    <w:name w:val="card Char"/>
    <w:link w:val="card"/>
    <w:rsid w:val="00A7643E"/>
    <w:rPr>
      <w:rFonts w:ascii="Times New Roman" w:eastAsia="Calibri" w:hAnsi="Times New Roman" w:cs="Times New Roman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lcoff.com/content/speaothers.html" TargetMode="External"/><Relationship Id="rId9" Type="http://schemas.openxmlformats.org/officeDocument/2006/relationships/hyperlink" Target="http://alcoff.com/content/speaothers.html" TargetMode="External"/><Relationship Id="rId10" Type="http://schemas.openxmlformats.org/officeDocument/2006/relationships/hyperlink" Target="http://www.alcoff.com/content/speaother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luvhalo96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5</Pages>
  <Words>706</Words>
  <Characters>4025</Characters>
  <Application>Microsoft Macintosh Word</Application>
  <DocSecurity>0</DocSecurity>
  <Lines>33</Lines>
  <Paragraphs>9</Paragraphs>
  <ScaleCrop>false</ScaleCrop>
  <Company>Whitman College</Company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Walrath</dc:creator>
  <cp:keywords/>
  <dc:description/>
  <cp:lastModifiedBy>Caitlin Walrath</cp:lastModifiedBy>
  <cp:revision>1</cp:revision>
  <dcterms:created xsi:type="dcterms:W3CDTF">2013-10-29T01:42:00Z</dcterms:created>
  <dcterms:modified xsi:type="dcterms:W3CDTF">2013-10-29T01:45:00Z</dcterms:modified>
</cp:coreProperties>
</file>