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444" w:rsidRPr="00624E57" w:rsidRDefault="003A478F" w:rsidP="00C45444">
      <w:pPr>
        <w:pStyle w:val="Heading1"/>
        <w:rPr>
          <w:lang w:eastAsia="ko-KR"/>
        </w:rPr>
      </w:pPr>
      <w:r>
        <w:rPr>
          <w:rFonts w:hint="eastAsia"/>
          <w:lang w:eastAsia="ko-KR"/>
        </w:rPr>
        <w:t>DA</w:t>
      </w:r>
    </w:p>
    <w:p w:rsidR="00092E02" w:rsidRPr="00624E57" w:rsidRDefault="00092E02" w:rsidP="00092E02">
      <w:pPr>
        <w:pStyle w:val="Heading4"/>
      </w:pPr>
      <w:r w:rsidRPr="00624E57">
        <w:t>Hardline against Cuba now – terror list</w:t>
      </w:r>
    </w:p>
    <w:p w:rsidR="00092E02" w:rsidRPr="00333700" w:rsidRDefault="00092E02" w:rsidP="00092E02">
      <w:pPr>
        <w:rPr>
          <w:rFonts w:eastAsia="Malgun Gothic"/>
          <w:lang w:eastAsia="ko-KR"/>
        </w:rPr>
      </w:pPr>
      <w:r w:rsidRPr="00624E57">
        <w:rPr>
          <w:rStyle w:val="StyleStyleBold12pt"/>
        </w:rPr>
        <w:t xml:space="preserve">Kasperowicz5/30/13 </w:t>
      </w:r>
      <w:r w:rsidRPr="00624E57">
        <w:t>[Pete, Staff Writer for the Hill, "State keeps Cuba on terror sponsors list", 5/30/13</w:t>
      </w:r>
      <w:r w:rsidRPr="00624E57">
        <w:rPr>
          <w:rStyle w:val="StyleStyleBold12pt"/>
        </w:rPr>
        <w:t xml:space="preserve">, </w:t>
      </w:r>
      <w:r w:rsidRPr="00624E57">
        <w:t>http://thehill.com/blogs/global-affairs/americas/302609-cuba-remains-a-state-sponsor-of-terror-despite-some-improvements, Accessed July 6,]</w:t>
      </w:r>
    </w:p>
    <w:p w:rsidR="00215626" w:rsidRPr="00333700" w:rsidRDefault="00215626" w:rsidP="00092E02">
      <w:pPr>
        <w:rPr>
          <w:rFonts w:eastAsia="Malgun Gothic"/>
          <w:b/>
          <w:bCs/>
          <w:sz w:val="26"/>
          <w:lang w:eastAsia="ko-KR"/>
        </w:rPr>
      </w:pPr>
    </w:p>
    <w:p w:rsidR="00092E02" w:rsidRPr="005E49C2" w:rsidRDefault="00092E02" w:rsidP="005E49C2">
      <w:r w:rsidRPr="005E49C2">
        <w:t xml:space="preserve">As expected, the State Department on </w:t>
      </w:r>
      <w:r w:rsidR="00215626" w:rsidRPr="005E49C2">
        <w:t>……………</w:t>
      </w:r>
      <w:r w:rsidR="00215626" w:rsidRPr="005E49C2">
        <w:rPr>
          <w:rFonts w:hint="eastAsia"/>
        </w:rPr>
        <w:t xml:space="preserve">. </w:t>
      </w:r>
      <w:r w:rsidRPr="005E49C2">
        <w:t>to remove Cuba from the list.</w:t>
      </w:r>
    </w:p>
    <w:p w:rsidR="00092E02" w:rsidRPr="00624E57" w:rsidRDefault="00092E02" w:rsidP="00092E02">
      <w:pPr>
        <w:pStyle w:val="Heading4"/>
      </w:pPr>
      <w:r w:rsidRPr="00624E57">
        <w:t>Lifting the embargo is appeasement –it’s a global signal of weakness</w:t>
      </w:r>
    </w:p>
    <w:p w:rsidR="00092E02" w:rsidRPr="00624E57" w:rsidRDefault="00092E02" w:rsidP="00092E02">
      <w:r w:rsidRPr="00624E57">
        <w:rPr>
          <w:rStyle w:val="StyleStyleBold12pt"/>
        </w:rPr>
        <w:t>Perales10</w:t>
      </w:r>
      <w:r w:rsidRPr="00624E57">
        <w:t xml:space="preserve"> (José Raúl August “The United States and Cuba: Implications of an Economic Relationship” (Woodrow Wilson International Center for Scholars Latin American Program, Senior Program Associate) </w:t>
      </w:r>
      <w:hyperlink r:id="rId10" w:history="1">
        <w:r w:rsidRPr="00624E57">
          <w:rPr>
            <w:rStyle w:val="Hyperlink"/>
          </w:rPr>
          <w:t>http://www.wilsoncenter.org/sites/default/files/LAP_Cuba_Implications.pdf</w:t>
        </w:r>
      </w:hyperlink>
    </w:p>
    <w:p w:rsidR="00092E02" w:rsidRPr="00624E57" w:rsidRDefault="00092E02" w:rsidP="00092E02"/>
    <w:p w:rsidR="00092E02" w:rsidRPr="005E49C2" w:rsidRDefault="00092E02" w:rsidP="005E49C2">
      <w:r w:rsidRPr="005E49C2">
        <w:t xml:space="preserve">The Helms-BurtonAct  created </w:t>
      </w:r>
      <w:r w:rsidR="00215626" w:rsidRPr="005E49C2">
        <w:t>……………</w:t>
      </w:r>
      <w:r w:rsidR="00215626" w:rsidRPr="005E49C2">
        <w:rPr>
          <w:rFonts w:hint="eastAsia"/>
        </w:rPr>
        <w:t>..</w:t>
      </w:r>
      <w:r w:rsidRPr="005E49C2">
        <w:t xml:space="preserve"> would that send  to the world?</w:t>
      </w:r>
    </w:p>
    <w:p w:rsidR="00092E02" w:rsidRPr="00624E57" w:rsidRDefault="00092E02" w:rsidP="00092E02">
      <w:pPr>
        <w:pStyle w:val="Heading4"/>
      </w:pPr>
      <w:r w:rsidRPr="00624E57">
        <w:t>Appeasement kills credibility – it shows countries that the US isn’t hard line - playing a weak hand doesn’t work</w:t>
      </w:r>
    </w:p>
    <w:p w:rsidR="00092E02" w:rsidRPr="00333700" w:rsidRDefault="00092E02" w:rsidP="00092E02">
      <w:pPr>
        <w:rPr>
          <w:rFonts w:eastAsia="Malgun Gothic"/>
          <w:lang w:eastAsia="ko-KR"/>
        </w:rPr>
      </w:pPr>
      <w:r w:rsidRPr="00624E57">
        <w:rPr>
          <w:rStyle w:val="StyleStyleBold12pt"/>
        </w:rPr>
        <w:t>Weissberg 10</w:t>
      </w:r>
      <w:r w:rsidRPr="00624E57">
        <w:t xml:space="preserve"> - Professor of Political Science-Emeritus, University of Illinois-Urbana (Robert, “President Obama's Compulsive Appeasement Disorder”, August 27 of 2010, American Thinker, </w:t>
      </w:r>
      <w:hyperlink r:id="rId11" w:history="1">
        <w:r w:rsidRPr="00624E57">
          <w:rPr>
            <w:rStyle w:val="Hyperlink"/>
          </w:rPr>
          <w:t>http://www.americanthinker.com/2010/08/president_obamas_compulsive_ap.html</w:t>
        </w:r>
      </w:hyperlink>
      <w:r w:rsidRPr="00624E57">
        <w:t>)</w:t>
      </w:r>
    </w:p>
    <w:p w:rsidR="005E49C2" w:rsidRPr="00333700" w:rsidRDefault="005E49C2" w:rsidP="00092E02">
      <w:pPr>
        <w:rPr>
          <w:rFonts w:eastAsia="Malgun Gothic"/>
          <w:lang w:eastAsia="ko-KR"/>
        </w:rPr>
      </w:pPr>
    </w:p>
    <w:p w:rsidR="00092E02" w:rsidRPr="005E49C2" w:rsidRDefault="00092E02" w:rsidP="005E49C2">
      <w:r w:rsidRPr="005E49C2">
        <w:t xml:space="preserve">There's a simple explanation: we </w:t>
      </w:r>
      <w:r w:rsidR="00215626" w:rsidRPr="005E49C2">
        <w:t>……………………………</w:t>
      </w:r>
      <w:r w:rsidR="00215626" w:rsidRPr="005E49C2">
        <w:rPr>
          <w:rFonts w:hint="eastAsia"/>
        </w:rPr>
        <w:t>.</w:t>
      </w:r>
      <w:r w:rsidRPr="005E49C2">
        <w:t xml:space="preserve"> lesson, regardless of world outrage.</w:t>
      </w:r>
    </w:p>
    <w:p w:rsidR="00092E02" w:rsidRPr="00624E57" w:rsidRDefault="00092E02" w:rsidP="00092E02">
      <w:pPr>
        <w:pStyle w:val="Heading4"/>
      </w:pPr>
      <w:r w:rsidRPr="00624E57">
        <w:t>Obama’s credibility is uniquely key to solve conflict – prevents Iran prolif</w:t>
      </w:r>
    </w:p>
    <w:p w:rsidR="00092E02" w:rsidRPr="00624E57" w:rsidRDefault="00092E02" w:rsidP="00092E02">
      <w:pPr>
        <w:rPr>
          <w:lang w:eastAsia="ko-KR"/>
        </w:rPr>
      </w:pPr>
      <w:r w:rsidRPr="00624E57">
        <w:t xml:space="preserve">Ben </w:t>
      </w:r>
      <w:r w:rsidRPr="00624E57">
        <w:rPr>
          <w:rStyle w:val="StyleStyleBold12pt"/>
        </w:rPr>
        <w:t>Coes 11</w:t>
      </w:r>
      <w:r w:rsidRPr="00624E57">
        <w:t xml:space="preserve">, a former speechwriter in the George H.W. Bush administration, managed Mitt Romney’s successful campaign for Massachusetts Governor in 2002 &amp; author, “The disease of a weak president”, The Daily Caller, </w:t>
      </w:r>
      <w:hyperlink r:id="rId12" w:history="1">
        <w:r w:rsidRPr="00624E57">
          <w:rPr>
            <w:rStyle w:val="Hyperlink"/>
          </w:rPr>
          <w:t>http://dailycaller.com/2011/09/30/the-disease-of-a-weak-president/</w:t>
        </w:r>
      </w:hyperlink>
    </w:p>
    <w:p w:rsidR="00092E02" w:rsidRPr="00624E57" w:rsidRDefault="00092E02" w:rsidP="00092E02">
      <w:pPr>
        <w:rPr>
          <w:lang w:eastAsia="ko-KR"/>
        </w:rPr>
      </w:pPr>
    </w:p>
    <w:p w:rsidR="00092E02" w:rsidRPr="005E49C2" w:rsidRDefault="00092E02" w:rsidP="005E49C2">
      <w:r w:rsidRPr="005E49C2">
        <w:t xml:space="preserve">The disease of a weak </w:t>
      </w:r>
      <w:r w:rsidR="00215626" w:rsidRPr="005E49C2">
        <w:t>…………………………</w:t>
      </w:r>
      <w:r w:rsidR="00215626" w:rsidRPr="005E49C2">
        <w:rPr>
          <w:rFonts w:hint="eastAsia"/>
        </w:rPr>
        <w:t>..</w:t>
      </w:r>
      <w:r w:rsidRPr="005E49C2">
        <w:t xml:space="preserve"> is simply not an option.</w:t>
      </w:r>
    </w:p>
    <w:p w:rsidR="00092E02" w:rsidRPr="00624E57" w:rsidRDefault="00092E02" w:rsidP="00092E02">
      <w:pPr>
        <w:pStyle w:val="Heading4"/>
      </w:pPr>
      <w:r w:rsidRPr="00624E57">
        <w:t>Iran prolif causes nuclear war</w:t>
      </w:r>
    </w:p>
    <w:p w:rsidR="00092E02" w:rsidRPr="00333700" w:rsidRDefault="00092E02" w:rsidP="00092E02">
      <w:pPr>
        <w:rPr>
          <w:rFonts w:eastAsia="Malgun Gothic"/>
          <w:lang w:eastAsia="ko-KR"/>
        </w:rPr>
      </w:pPr>
      <w:r w:rsidRPr="00624E57">
        <w:t xml:space="preserve">Jeffrey </w:t>
      </w:r>
      <w:r w:rsidRPr="00624E57">
        <w:rPr>
          <w:rStyle w:val="StyleStyleBold12pt"/>
        </w:rPr>
        <w:t>Goldberg 12</w:t>
      </w:r>
      <w:r w:rsidRPr="00624E57">
        <w:t xml:space="preserve">, Bloomberg View columnist and a national correspondent for the Atlantic, January 23, 2012, “How Iran Could Trigger Accidental Armageddon,” online: </w:t>
      </w:r>
      <w:hyperlink r:id="rId13" w:history="1">
        <w:r w:rsidR="005E49C2" w:rsidRPr="00105075">
          <w:rPr>
            <w:rStyle w:val="Hyperlink"/>
          </w:rPr>
          <w:t>http://www.bloomberg.com/news/2012-01-24/how-iran-may-trigger-accidental-armageddon-commentary-by-jeffrey-goldberg.html</w:t>
        </w:r>
      </w:hyperlink>
    </w:p>
    <w:p w:rsidR="005E49C2" w:rsidRPr="00333700" w:rsidRDefault="005E49C2" w:rsidP="00092E02">
      <w:pPr>
        <w:rPr>
          <w:rFonts w:eastAsia="Malgun Gothic"/>
          <w:lang w:eastAsia="ko-KR"/>
        </w:rPr>
      </w:pPr>
    </w:p>
    <w:p w:rsidR="00092E02" w:rsidRPr="005E49C2" w:rsidRDefault="00092E02" w:rsidP="005E49C2">
      <w:r w:rsidRPr="005E49C2">
        <w:t xml:space="preserve">The experts who study this </w:t>
      </w:r>
      <w:r w:rsidR="008124D6" w:rsidRPr="005E49C2">
        <w:t>……………………………</w:t>
      </w:r>
      <w:r w:rsidRPr="005E49C2">
        <w:t xml:space="preserve"> a nuclear weapons delivery capability.”</w:t>
      </w:r>
    </w:p>
    <w:p w:rsidR="00092E02" w:rsidRPr="00624E57" w:rsidRDefault="00092E02" w:rsidP="00092E02">
      <w:pPr>
        <w:rPr>
          <w:lang w:eastAsia="ko-KR"/>
        </w:rPr>
      </w:pPr>
    </w:p>
    <w:p w:rsidR="00C45444" w:rsidRPr="00624E57" w:rsidRDefault="00C45444" w:rsidP="00C45444">
      <w:pPr>
        <w:rPr>
          <w:lang w:eastAsia="ko-KR"/>
        </w:rPr>
      </w:pPr>
    </w:p>
    <w:p w:rsidR="00C45444" w:rsidRPr="00624E57" w:rsidRDefault="003A478F" w:rsidP="00C45444">
      <w:pPr>
        <w:pStyle w:val="Heading1"/>
        <w:rPr>
          <w:lang w:eastAsia="ko-KR"/>
        </w:rPr>
      </w:pPr>
      <w:r>
        <w:rPr>
          <w:rFonts w:hint="eastAsia"/>
          <w:lang w:eastAsia="ko-KR"/>
        </w:rPr>
        <w:lastRenderedPageBreak/>
        <w:t>T</w:t>
      </w:r>
    </w:p>
    <w:p w:rsidR="00C45444" w:rsidRPr="00624E57" w:rsidRDefault="00C45444" w:rsidP="00C45444"/>
    <w:p w:rsidR="00C45444" w:rsidRPr="00624E57" w:rsidRDefault="00C45444" w:rsidP="00C45444">
      <w:pPr>
        <w:pStyle w:val="Heading4"/>
      </w:pPr>
      <w:r w:rsidRPr="00624E57">
        <w:t>A. Interpretation – Removing sanctions is a form of appeasement</w:t>
      </w:r>
    </w:p>
    <w:p w:rsidR="00C45444" w:rsidRPr="00624E57" w:rsidRDefault="00C45444" w:rsidP="00C45444">
      <w:pPr>
        <w:pStyle w:val="Analytic"/>
        <w:rPr>
          <w:b w:val="0"/>
        </w:rPr>
      </w:pPr>
      <w:r w:rsidRPr="00624E57">
        <w:t xml:space="preserve">Stern 6 </w:t>
      </w:r>
      <w:r w:rsidRPr="00624E57">
        <w:rPr>
          <w:b w:val="0"/>
          <w:sz w:val="16"/>
          <w:szCs w:val="16"/>
        </w:rPr>
        <w:t>(Martin, University of Maryland Graduate, Debunking detente, 11/27/06, http://www.diamondbackonline.com/article_56223e79-7009-56a3-8afe-5d08bfff6e08.html)</w:t>
      </w:r>
    </w:p>
    <w:p w:rsidR="00C45444" w:rsidRPr="00624E57" w:rsidRDefault="00C45444" w:rsidP="00C45444"/>
    <w:p w:rsidR="00C45444" w:rsidRPr="005E49C2" w:rsidRDefault="00C45444" w:rsidP="005E49C2">
      <w:r w:rsidRPr="005E49C2">
        <w:t xml:space="preserve">Appeasement is defined as "granting </w:t>
      </w:r>
      <w:r w:rsidR="008124D6" w:rsidRPr="005E49C2">
        <w:t>…………………………</w:t>
      </w:r>
      <w:r w:rsidRPr="005E49C2">
        <w:t>how better to define the word.</w:t>
      </w:r>
    </w:p>
    <w:p w:rsidR="00C45444" w:rsidRPr="00624E57" w:rsidRDefault="00C45444" w:rsidP="00C45444">
      <w:pPr>
        <w:rPr>
          <w:rStyle w:val="StyleBoldUnderline"/>
        </w:rPr>
      </w:pPr>
    </w:p>
    <w:p w:rsidR="00C45444" w:rsidRPr="00624E57" w:rsidRDefault="00C45444" w:rsidP="00C45444">
      <w:pPr>
        <w:rPr>
          <w:rStyle w:val="StyleBoldUnderline"/>
        </w:rPr>
      </w:pPr>
    </w:p>
    <w:p w:rsidR="00C45444" w:rsidRPr="00624E57" w:rsidRDefault="00C45444" w:rsidP="00C45444">
      <w:pPr>
        <w:pStyle w:val="Heading4"/>
      </w:pPr>
      <w:r w:rsidRPr="00624E57">
        <w:t>Engagement and appeasement are distinct</w:t>
      </w:r>
    </w:p>
    <w:p w:rsidR="00C45444" w:rsidRPr="00624E57" w:rsidRDefault="00C45444" w:rsidP="00C45444">
      <w:r w:rsidRPr="00624E57">
        <w:rPr>
          <w:rStyle w:val="StyleStyleBold12pt"/>
        </w:rPr>
        <w:t>Resnick 1</w:t>
      </w:r>
      <w:r w:rsidRPr="00624E57">
        <w:t xml:space="preserve"> (Evan, Assistant Professor and coordinator of the United States Programme at RSIS, “Defining Engagement,” </w:t>
      </w:r>
      <w:r w:rsidRPr="00624E57">
        <w:rPr>
          <w:rStyle w:val="updated-short-citation"/>
        </w:rPr>
        <w:t xml:space="preserve">Journal of International Affairs, 0022197X, Spring2001, Vol. 54, Issue 2, </w:t>
      </w:r>
      <w:hyperlink r:id="rId14" w:anchor="db=mth&amp;AN=4437301" w:history="1">
        <w:r w:rsidRPr="00624E57">
          <w:rPr>
            <w:rStyle w:val="Hyperlink"/>
          </w:rPr>
          <w:t>http://web.ebscohost.com.turing.library.northwestern.edu/ehost/detail?sid=1b56e6b4-ade2-4052-9114-7d107fdbd019%40sessionmgr12&amp;vid=2&amp;hid=24&amp;bdata=JnNpdGU9ZWhvc3QtbGl2ZQ%3d%3d#db=mth&amp;AN=4437301</w:t>
        </w:r>
      </w:hyperlink>
      <w:r w:rsidRPr="00624E57">
        <w:rPr>
          <w:rStyle w:val="Hyperlink"/>
        </w:rPr>
        <w:t>)</w:t>
      </w:r>
    </w:p>
    <w:p w:rsidR="00C45444" w:rsidRPr="00624E57" w:rsidRDefault="00C45444" w:rsidP="00C45444"/>
    <w:p w:rsidR="00C45444" w:rsidRPr="005E49C2" w:rsidRDefault="00C45444" w:rsidP="005E49C2">
      <w:r w:rsidRPr="005E49C2">
        <w:t xml:space="preserve">Thus, a rigid conceptual distinction </w:t>
      </w:r>
      <w:r w:rsidR="00A40FD8" w:rsidRPr="005E49C2">
        <w:t>…………………</w:t>
      </w:r>
      <w:r w:rsidR="00A40FD8" w:rsidRPr="005E49C2">
        <w:rPr>
          <w:rFonts w:hint="eastAsia"/>
        </w:rPr>
        <w:t>.</w:t>
      </w:r>
      <w:r w:rsidRPr="005E49C2">
        <w:t xml:space="preserve"> part of the target state.</w:t>
      </w:r>
    </w:p>
    <w:p w:rsidR="00C45444" w:rsidRPr="00624E57" w:rsidRDefault="00C45444" w:rsidP="00C45444">
      <w:pPr>
        <w:rPr>
          <w:rStyle w:val="StyleBoldUnderline"/>
        </w:rPr>
      </w:pPr>
    </w:p>
    <w:p w:rsidR="00C45444" w:rsidRPr="00624E57" w:rsidRDefault="00C45444" w:rsidP="00C45444">
      <w:pPr>
        <w:rPr>
          <w:sz w:val="14"/>
          <w:szCs w:val="14"/>
        </w:rPr>
      </w:pPr>
    </w:p>
    <w:p w:rsidR="00336592" w:rsidRPr="00624E57" w:rsidRDefault="00336592" w:rsidP="00336592"/>
    <w:p w:rsidR="00336592" w:rsidRPr="00624E57" w:rsidRDefault="003A478F" w:rsidP="005427EB">
      <w:pPr>
        <w:pStyle w:val="Heading1"/>
        <w:rPr>
          <w:lang w:eastAsia="ko-KR"/>
        </w:rPr>
      </w:pPr>
      <w:r>
        <w:rPr>
          <w:rFonts w:hint="eastAsia"/>
          <w:lang w:eastAsia="ko-KR"/>
        </w:rPr>
        <w:lastRenderedPageBreak/>
        <w:t>CP</w:t>
      </w:r>
    </w:p>
    <w:p w:rsidR="00336592" w:rsidRPr="00624E57" w:rsidRDefault="00336592" w:rsidP="00336592">
      <w:pPr>
        <w:pStyle w:val="Heading4"/>
      </w:pPr>
      <w:r w:rsidRPr="00624E57">
        <w:t xml:space="preserve">The United States federal government should </w:t>
      </w:r>
      <w:r w:rsidR="006D432B" w:rsidRPr="00624E57">
        <w:t xml:space="preserve"> end its economic sanctions on the Republic of Cuba </w:t>
      </w:r>
      <w:r w:rsidRPr="00624E57">
        <w:t>if and only if the governments of a majority of Latin American nations commit to actively seeking a naturalization process between the United States and Cuba, and to compelling the Cuban government to work towards establishing representative democracy and better respect for human rights.</w:t>
      </w:r>
    </w:p>
    <w:p w:rsidR="00336592" w:rsidRPr="00624E57" w:rsidRDefault="00336592" w:rsidP="00336592">
      <w:pPr>
        <w:pStyle w:val="Heading4"/>
      </w:pPr>
      <w:r w:rsidRPr="00624E57">
        <w:t xml:space="preserve">Counterplan solves the case---Latin American governments will say yes---it triggers Cuban reform that avoids a Vietnamese model during the transition---and it avoids politics </w:t>
      </w:r>
    </w:p>
    <w:p w:rsidR="00336592" w:rsidRPr="00624E57" w:rsidRDefault="00336592" w:rsidP="00336592">
      <w:r w:rsidRPr="00624E57">
        <w:rPr>
          <w:rStyle w:val="StyleStyleBold12pt"/>
        </w:rPr>
        <w:t>Castañeda 9</w:t>
      </w:r>
      <w:r w:rsidRPr="00624E57">
        <w:t xml:space="preserve"> - Jorge G. Castañeda, professor at New York University and fellow at the New America Foundation, was Mexico's foreign minister from 2000 to 2003, April 21, 2009, “The Right Deal on Cuba,” online: </w:t>
      </w:r>
      <w:hyperlink r:id="rId15" w:history="1">
        <w:r w:rsidRPr="00624E57">
          <w:rPr>
            <w:rStyle w:val="Hyperlink"/>
          </w:rPr>
          <w:t>http://online.wsj.com/article/SB124027198023237151.html</w:t>
        </w:r>
      </w:hyperlink>
    </w:p>
    <w:p w:rsidR="00336592" w:rsidRPr="00624E57" w:rsidRDefault="00336592" w:rsidP="00336592"/>
    <w:p w:rsidR="00336592" w:rsidRPr="005E49C2" w:rsidRDefault="00336592" w:rsidP="005E49C2">
      <w:r w:rsidRPr="005E49C2">
        <w:t xml:space="preserve">The question of what to </w:t>
      </w:r>
      <w:r w:rsidR="00A8454E" w:rsidRPr="005E49C2">
        <w:t>……………………</w:t>
      </w:r>
      <w:r w:rsidR="00A8454E" w:rsidRPr="005E49C2">
        <w:rPr>
          <w:rFonts w:hint="eastAsia"/>
        </w:rPr>
        <w:t>..</w:t>
      </w:r>
      <w:r w:rsidRPr="005E49C2">
        <w:t xml:space="preserve"> policy victoryfor Mr. Obama.</w:t>
      </w:r>
    </w:p>
    <w:p w:rsidR="00336592" w:rsidRPr="00624E57" w:rsidRDefault="00336592" w:rsidP="00336592"/>
    <w:p w:rsidR="000022F2" w:rsidRPr="00624E57" w:rsidRDefault="003A478F" w:rsidP="005D23BE">
      <w:pPr>
        <w:pStyle w:val="Heading1"/>
        <w:rPr>
          <w:lang w:eastAsia="ko-KR"/>
        </w:rPr>
      </w:pPr>
      <w:r>
        <w:rPr>
          <w:rFonts w:hint="eastAsia"/>
          <w:lang w:eastAsia="ko-KR"/>
        </w:rPr>
        <w:lastRenderedPageBreak/>
        <w:t>DA</w:t>
      </w:r>
      <w:bookmarkStart w:id="0" w:name="_GoBack"/>
      <w:bookmarkEnd w:id="0"/>
    </w:p>
    <w:p w:rsidR="00383087" w:rsidRPr="00624E57" w:rsidRDefault="00383087" w:rsidP="00383087">
      <w:pPr>
        <w:pStyle w:val="Heading4"/>
      </w:pPr>
      <w:r w:rsidRPr="00624E57">
        <w:t>Cuban production is low – technical hurdles prevent effective drilling- drilling inevitable isn’t a take out, it’s a question of effectiveness</w:t>
      </w:r>
    </w:p>
    <w:p w:rsidR="00383087" w:rsidRPr="00333700" w:rsidRDefault="00383087" w:rsidP="00383087">
      <w:pPr>
        <w:rPr>
          <w:rFonts w:eastAsia="Malgun Gothic"/>
          <w:lang w:eastAsia="ko-KR"/>
        </w:rPr>
      </w:pPr>
      <w:r w:rsidRPr="00624E57">
        <w:rPr>
          <w:rStyle w:val="StyleStyleBold12pt"/>
        </w:rPr>
        <w:t>Gibson 4/14</w:t>
      </w:r>
      <w:r w:rsidRPr="00624E57">
        <w:t xml:space="preserve">/13 (William E., Washington Bureau reporter for the Sun Sentinel, “Companies abandon search for oil in Cuba's deep waters”, 4/14/13, Sun Sentinel, </w:t>
      </w:r>
      <w:hyperlink r:id="rId16" w:history="1">
        <w:r w:rsidR="00A8454E" w:rsidRPr="00624E57">
          <w:rPr>
            <w:rStyle w:val="Hyperlink"/>
          </w:rPr>
          <w:t>http://articles.sun-sentinel.com/2013-04-14/news/fl-cuban-oil-drilling-retreat-20130414_1_jorge-pi-north-coast-cuban-officials/2</w:t>
        </w:r>
      </w:hyperlink>
      <w:r w:rsidRPr="00624E57">
        <w:t>)</w:t>
      </w:r>
    </w:p>
    <w:p w:rsidR="00A8454E" w:rsidRPr="00333700" w:rsidRDefault="00A8454E" w:rsidP="00383087">
      <w:pPr>
        <w:rPr>
          <w:rFonts w:eastAsia="Malgun Gothic"/>
          <w:lang w:eastAsia="ko-KR"/>
        </w:rPr>
      </w:pPr>
    </w:p>
    <w:p w:rsidR="00383087" w:rsidRPr="00624E57" w:rsidRDefault="00383087" w:rsidP="00383087">
      <w:pPr>
        <w:rPr>
          <w:rFonts w:eastAsia="Times New Roman"/>
          <w:sz w:val="16"/>
        </w:rPr>
      </w:pPr>
      <w:r w:rsidRPr="005E49C2">
        <w:t xml:space="preserve">WASHINGTON — After spending nearly $700 </w:t>
      </w:r>
      <w:r w:rsidR="00A8454E" w:rsidRPr="005E49C2">
        <w:t>…………………</w:t>
      </w:r>
      <w:r w:rsidR="00A8454E" w:rsidRPr="005E49C2">
        <w:rPr>
          <w:rFonts w:hint="eastAsia"/>
        </w:rPr>
        <w:t>.</w:t>
      </w:r>
      <w:r w:rsidRPr="005E49C2">
        <w:t xml:space="preserve"> Cuban offices and moving elsewhere</w:t>
      </w:r>
      <w:r w:rsidRPr="00624E57">
        <w:rPr>
          <w:rFonts w:eastAsia="Times New Roman"/>
          <w:sz w:val="16"/>
        </w:rPr>
        <w:t xml:space="preserve">. </w:t>
      </w:r>
    </w:p>
    <w:p w:rsidR="00DD708C" w:rsidRPr="00624E57" w:rsidRDefault="00DD708C" w:rsidP="00383087">
      <w:pPr>
        <w:rPr>
          <w:rFonts w:eastAsia="Times New Roman"/>
          <w:sz w:val="16"/>
        </w:rPr>
      </w:pPr>
    </w:p>
    <w:p w:rsidR="00DD708C" w:rsidRPr="00624E57" w:rsidRDefault="00DD708C" w:rsidP="00DD708C">
      <w:pPr>
        <w:pStyle w:val="Heading4"/>
      </w:pPr>
      <w:r w:rsidRPr="00624E57">
        <w:t>Cuban embargo increases costs of oil exploration</w:t>
      </w:r>
    </w:p>
    <w:p w:rsidR="00DD708C" w:rsidRPr="00624E57" w:rsidRDefault="00DD708C" w:rsidP="00DD708C">
      <w:pPr>
        <w:rPr>
          <w:rFonts w:ascii="Cambria" w:hAnsi="Cambria"/>
          <w:sz w:val="20"/>
        </w:rPr>
      </w:pPr>
      <w:r w:rsidRPr="00624E57">
        <w:rPr>
          <w:rStyle w:val="StyleStyleBold12pt"/>
        </w:rPr>
        <w:t xml:space="preserve">Miami Herald 13 </w:t>
      </w:r>
      <w:r w:rsidRPr="00624E57">
        <w:rPr>
          <w:rFonts w:ascii="Cambria" w:hAnsi="Cambria"/>
          <w:sz w:val="20"/>
        </w:rPr>
        <w:t>[5/31 “Russian oil company suspends exploration in Cuba”</w:t>
      </w:r>
    </w:p>
    <w:p w:rsidR="00DD708C" w:rsidRPr="00333700" w:rsidRDefault="00B75B84" w:rsidP="00DD708C">
      <w:pPr>
        <w:rPr>
          <w:rFonts w:ascii="Cambria" w:eastAsia="Malgun Gothic" w:hAnsi="Cambria"/>
          <w:sz w:val="20"/>
          <w:lang w:eastAsia="ko-KR"/>
        </w:rPr>
      </w:pPr>
      <w:hyperlink r:id="rId17" w:anchor="storylink=cpy" w:history="1">
        <w:r w:rsidR="00A8454E" w:rsidRPr="00624E57">
          <w:rPr>
            <w:rStyle w:val="Hyperlink"/>
            <w:rFonts w:ascii="Cambria" w:hAnsi="Cambria"/>
            <w:sz w:val="20"/>
          </w:rPr>
          <w:t>http://www.miamiherald.com/2013/05/31/3424471/russian-oil-company-suspends.html#storylink=cpy</w:t>
        </w:r>
      </w:hyperlink>
      <w:r w:rsidR="00DD708C" w:rsidRPr="00624E57">
        <w:rPr>
          <w:rFonts w:ascii="Cambria" w:hAnsi="Cambria"/>
          <w:sz w:val="20"/>
        </w:rPr>
        <w:t>]</w:t>
      </w:r>
    </w:p>
    <w:p w:rsidR="00A8454E" w:rsidRPr="00333700" w:rsidRDefault="00A8454E" w:rsidP="00DD708C">
      <w:pPr>
        <w:rPr>
          <w:rFonts w:ascii="Cambria" w:eastAsia="Malgun Gothic" w:hAnsi="Cambria"/>
          <w:sz w:val="20"/>
          <w:lang w:eastAsia="ko-KR"/>
        </w:rPr>
      </w:pPr>
    </w:p>
    <w:p w:rsidR="00DD708C" w:rsidRPr="005E49C2" w:rsidRDefault="00DD708C" w:rsidP="005E49C2">
      <w:r w:rsidRPr="005E49C2">
        <w:t xml:space="preserve">“This is the second geological </w:t>
      </w:r>
      <w:r w:rsidR="00A8454E" w:rsidRPr="005E49C2">
        <w:t>………………………</w:t>
      </w:r>
      <w:r w:rsidRPr="005E49C2">
        <w:t xml:space="preserve"> Mercur, according to some reports.</w:t>
      </w:r>
    </w:p>
    <w:p w:rsidR="00611C88" w:rsidRPr="00624E57" w:rsidRDefault="00611C88" w:rsidP="00611C88">
      <w:pPr>
        <w:pStyle w:val="Heading4"/>
      </w:pPr>
      <w:r w:rsidRPr="00624E57">
        <w:t>High oil prices key to Putin’s political stability</w:t>
      </w:r>
    </w:p>
    <w:p w:rsidR="00611C88" w:rsidRPr="00624E57" w:rsidRDefault="00611C88" w:rsidP="00611C88">
      <w:pPr>
        <w:rPr>
          <w:rFonts w:cs="Georgia"/>
        </w:rPr>
      </w:pPr>
      <w:r w:rsidRPr="00624E57">
        <w:rPr>
          <w:rStyle w:val="StyleStyleBold12pt"/>
        </w:rPr>
        <w:t>Judah 13</w:t>
      </w:r>
      <w:r w:rsidRPr="00624E57">
        <w:rPr>
          <w:rFonts w:cs="Georgia"/>
        </w:rPr>
        <w:t xml:space="preserve"> (Ben, Fellow – European Stability Initiative, Moscow Correspondent – Reuters, Russian Politics Research Fellow – European Council on Foreign Relations, B.A. in Modern History and Politics – Oxford University, “Five Traps for Putin”, GLOBAL TRANSITIONS PROSPERITY STUDIES, Legatum Institute, March, http://www.li.com/docs/default-source/publications/five-traps-for-putin---ben-judah-march-2013-(legatum-institute).pdf,  )</w:t>
      </w:r>
    </w:p>
    <w:p w:rsidR="00611C88" w:rsidRPr="00624E57" w:rsidRDefault="00611C88" w:rsidP="00611C88">
      <w:pPr>
        <w:rPr>
          <w:rFonts w:cs="Georgia"/>
        </w:rPr>
      </w:pPr>
    </w:p>
    <w:p w:rsidR="00611C88" w:rsidRPr="005E49C2" w:rsidRDefault="00611C88" w:rsidP="005E49C2">
      <w:r w:rsidRPr="005E49C2">
        <w:t xml:space="preserve">More recently, Putin has abandoned </w:t>
      </w:r>
      <w:r w:rsidR="00624E57" w:rsidRPr="005E49C2">
        <w:t>…………………</w:t>
      </w:r>
      <w:r w:rsidR="00624E57" w:rsidRPr="005E49C2">
        <w:rPr>
          <w:rFonts w:hint="eastAsia"/>
        </w:rPr>
        <w:t>.</w:t>
      </w:r>
      <w:r w:rsidRPr="005E49C2">
        <w:t>Russian president is vulnerable too.</w:t>
      </w:r>
    </w:p>
    <w:p w:rsidR="00611C88" w:rsidRPr="00624E57" w:rsidRDefault="00611C88" w:rsidP="00611C88">
      <w:pPr>
        <w:pStyle w:val="Heading4"/>
      </w:pPr>
      <w:r w:rsidRPr="00624E57">
        <w:t xml:space="preserve">Putin's leadership solves </w:t>
      </w:r>
      <w:r w:rsidRPr="00624E57">
        <w:rPr>
          <w:u w:val="single"/>
        </w:rPr>
        <w:t>nuclear modernization</w:t>
      </w:r>
    </w:p>
    <w:p w:rsidR="00611C88" w:rsidRPr="00624E57" w:rsidRDefault="00611C88" w:rsidP="00611C88">
      <w:pPr>
        <w:rPr>
          <w:rFonts w:cs="Georgia"/>
        </w:rPr>
      </w:pPr>
      <w:r w:rsidRPr="00624E57">
        <w:rPr>
          <w:rStyle w:val="StyleStyleBold12pt"/>
        </w:rPr>
        <w:t>Bugriy 13</w:t>
      </w:r>
      <w:r w:rsidRPr="00624E57">
        <w:rPr>
          <w:rFonts w:cs="Georgia"/>
        </w:rPr>
        <w:t xml:space="preserve"> (Maksym, Correspondent – Ukrainian Week, “Russia is Arming Itself, but Against Whom?”, Ukrainian Week, 3-31, http://ukrainianweek.com/World/76030, )</w:t>
      </w:r>
    </w:p>
    <w:p w:rsidR="00611C88" w:rsidRPr="00624E57" w:rsidRDefault="00611C88" w:rsidP="00611C88"/>
    <w:p w:rsidR="00611C88" w:rsidRPr="005E49C2" w:rsidRDefault="00611C88" w:rsidP="005E49C2">
      <w:r w:rsidRPr="005E49C2">
        <w:t xml:space="preserve">The intensification of military reforms </w:t>
      </w:r>
      <w:r w:rsidR="00624E57" w:rsidRPr="005E49C2">
        <w:t>………………</w:t>
      </w:r>
      <w:r w:rsidRPr="005E49C2">
        <w:t>-priority regions for the Kremlin.</w:t>
      </w:r>
    </w:p>
    <w:p w:rsidR="00611C88" w:rsidRPr="00624E57" w:rsidRDefault="00611C88" w:rsidP="00611C88">
      <w:pPr>
        <w:pStyle w:val="Heading4"/>
      </w:pPr>
      <w:r w:rsidRPr="00624E57">
        <w:t>That prevents accidental nuclear use</w:t>
      </w:r>
    </w:p>
    <w:p w:rsidR="00611C88" w:rsidRPr="00624E57" w:rsidRDefault="00611C88" w:rsidP="00611C88">
      <w:pPr>
        <w:rPr>
          <w:rFonts w:cs="Georgia"/>
        </w:rPr>
      </w:pPr>
      <w:r w:rsidRPr="00624E57">
        <w:rPr>
          <w:rStyle w:val="StyleStyleBold12pt"/>
        </w:rPr>
        <w:t>Mosher 3</w:t>
      </w:r>
      <w:r w:rsidRPr="00624E57">
        <w:rPr>
          <w:rFonts w:cs="Georgia"/>
        </w:rPr>
        <w:t xml:space="preserve"> (David, Senior Policy Analyst in Nuclear Weapons Policy – RAND, “Excessive Force”, RAND Corporation, Fall, http://www.rand.org/pubs/periodicals/rand-review/issues/fall2003/force.html, )</w:t>
      </w:r>
    </w:p>
    <w:p w:rsidR="00611C88" w:rsidRPr="00624E57" w:rsidRDefault="00611C88" w:rsidP="00611C88"/>
    <w:p w:rsidR="00611C88" w:rsidRPr="005E49C2" w:rsidRDefault="00611C88" w:rsidP="005E49C2">
      <w:r w:rsidRPr="005E49C2">
        <w:t xml:space="preserve">Russian strategic nuclear forces remain </w:t>
      </w:r>
      <w:r w:rsidR="00624E57" w:rsidRPr="005E49C2">
        <w:t>………………………</w:t>
      </w:r>
      <w:r w:rsidR="00624E57" w:rsidRPr="005E49C2">
        <w:rPr>
          <w:rFonts w:hint="eastAsia"/>
        </w:rPr>
        <w:t>..</w:t>
      </w:r>
      <w:r w:rsidRPr="005E49C2">
        <w:t xml:space="preserve"> forged during the Cold War.</w:t>
      </w:r>
    </w:p>
    <w:p w:rsidR="00611C88" w:rsidRPr="00624E57" w:rsidRDefault="00611C88" w:rsidP="00611C88">
      <w:pPr>
        <w:pStyle w:val="Heading4"/>
      </w:pPr>
      <w:r w:rsidRPr="00624E57">
        <w:t>Russian accidental launch causes extinction</w:t>
      </w:r>
    </w:p>
    <w:p w:rsidR="00611C88" w:rsidRPr="00624E57" w:rsidRDefault="00611C88" w:rsidP="00611C88">
      <w:r w:rsidRPr="00624E57">
        <w:rPr>
          <w:rStyle w:val="StyleStyleBold12pt"/>
        </w:rPr>
        <w:t>Mintz 1</w:t>
      </w:r>
      <w:r w:rsidRPr="00624E57">
        <w:t xml:space="preserve"> (Morton, Former Chair – Fund for Investigative Journalism and Reporter – Washington Post, “Two Minutes to Launch”, The American Prospect, </w:t>
      </w:r>
      <w:hyperlink r:id="rId18" w:history="1">
        <w:r w:rsidRPr="00624E57">
          <w:rPr>
            <w:rStyle w:val="Hyperlink"/>
          </w:rPr>
          <w:t>http://www.prospect.org/cs/articles?article=two_minutes_to_launch</w:t>
        </w:r>
      </w:hyperlink>
      <w:r w:rsidRPr="00624E57">
        <w:t>)</w:t>
      </w:r>
    </w:p>
    <w:p w:rsidR="00611C88" w:rsidRPr="00624E57" w:rsidRDefault="00611C88" w:rsidP="00611C88"/>
    <w:p w:rsidR="00611C88" w:rsidRDefault="00611C88" w:rsidP="00611C88">
      <w:r w:rsidRPr="00624E57">
        <w:t xml:space="preserve">Hair-trigger alert means this: </w:t>
      </w:r>
      <w:r w:rsidR="00624E57" w:rsidRPr="00333700">
        <w:rPr>
          <w:rFonts w:eastAsia="Malgun Gothic"/>
          <w:lang w:eastAsia="ko-KR"/>
        </w:rPr>
        <w:t>………………………</w:t>
      </w:r>
      <w:r w:rsidR="00624E57" w:rsidRPr="00333700">
        <w:rPr>
          <w:rFonts w:eastAsia="Malgun Gothic" w:hint="eastAsia"/>
          <w:lang w:eastAsia="ko-KR"/>
        </w:rPr>
        <w:t>.</w:t>
      </w:r>
      <w:r w:rsidRPr="00624E57">
        <w:t xml:space="preserve"> war by checklist, by rote."</w:t>
      </w:r>
    </w:p>
    <w:p w:rsidR="00DD708C" w:rsidRPr="009B7398" w:rsidRDefault="00DD708C" w:rsidP="00383087">
      <w:pPr>
        <w:rPr>
          <w:rFonts w:eastAsia="Times New Roman"/>
          <w:sz w:val="16"/>
        </w:rPr>
      </w:pPr>
    </w:p>
    <w:sectPr w:rsidR="00DD708C" w:rsidRPr="009B7398" w:rsidSect="00985F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B84" w:rsidRDefault="00B75B84" w:rsidP="005F5576">
      <w:r>
        <w:separator/>
      </w:r>
    </w:p>
  </w:endnote>
  <w:endnote w:type="continuationSeparator" w:id="0">
    <w:p w:rsidR="00B75B84" w:rsidRDefault="00B75B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B84" w:rsidRDefault="00B75B84" w:rsidP="005F5576">
      <w:r>
        <w:separator/>
      </w:r>
    </w:p>
  </w:footnote>
  <w:footnote w:type="continuationSeparator" w:id="0">
    <w:p w:rsidR="00B75B84" w:rsidRDefault="00B75B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oNotTrackMoves/>
  <w:defaultTabStop w:val="720"/>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659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827AA"/>
    <w:rsid w:val="00090287"/>
    <w:rsid w:val="00090BA2"/>
    <w:rsid w:val="00092E02"/>
    <w:rsid w:val="000978A3"/>
    <w:rsid w:val="00097D7E"/>
    <w:rsid w:val="000A1D39"/>
    <w:rsid w:val="000A4FA5"/>
    <w:rsid w:val="000B61C8"/>
    <w:rsid w:val="000C767D"/>
    <w:rsid w:val="000D0B76"/>
    <w:rsid w:val="000D2AE5"/>
    <w:rsid w:val="000D3A26"/>
    <w:rsid w:val="000D3D8D"/>
    <w:rsid w:val="000E41A3"/>
    <w:rsid w:val="000F37E7"/>
    <w:rsid w:val="00101CB1"/>
    <w:rsid w:val="00113C68"/>
    <w:rsid w:val="00114663"/>
    <w:rsid w:val="00116740"/>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5626"/>
    <w:rsid w:val="00217499"/>
    <w:rsid w:val="0022268B"/>
    <w:rsid w:val="0024023F"/>
    <w:rsid w:val="00240C4E"/>
    <w:rsid w:val="00243DC0"/>
    <w:rsid w:val="00250E16"/>
    <w:rsid w:val="00257696"/>
    <w:rsid w:val="0026382E"/>
    <w:rsid w:val="00272786"/>
    <w:rsid w:val="00287AB7"/>
    <w:rsid w:val="00294D00"/>
    <w:rsid w:val="0029684F"/>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3700"/>
    <w:rsid w:val="00336592"/>
    <w:rsid w:val="00340C46"/>
    <w:rsid w:val="00341D6C"/>
    <w:rsid w:val="00344E91"/>
    <w:rsid w:val="00347123"/>
    <w:rsid w:val="0034756E"/>
    <w:rsid w:val="00347E74"/>
    <w:rsid w:val="00351D97"/>
    <w:rsid w:val="00354B5B"/>
    <w:rsid w:val="00383087"/>
    <w:rsid w:val="00383E0A"/>
    <w:rsid w:val="003847C7"/>
    <w:rsid w:val="00385298"/>
    <w:rsid w:val="003852CE"/>
    <w:rsid w:val="00392E92"/>
    <w:rsid w:val="00395C83"/>
    <w:rsid w:val="003A2A3B"/>
    <w:rsid w:val="003A440C"/>
    <w:rsid w:val="003A478F"/>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09FF"/>
    <w:rsid w:val="00471A70"/>
    <w:rsid w:val="00473A79"/>
    <w:rsid w:val="00475E03"/>
    <w:rsid w:val="00476723"/>
    <w:rsid w:val="0047798D"/>
    <w:rsid w:val="004931DE"/>
    <w:rsid w:val="00496A99"/>
    <w:rsid w:val="004A6083"/>
    <w:rsid w:val="004A6E81"/>
    <w:rsid w:val="004A7806"/>
    <w:rsid w:val="004B0545"/>
    <w:rsid w:val="004B7E46"/>
    <w:rsid w:val="004C051F"/>
    <w:rsid w:val="004D3745"/>
    <w:rsid w:val="004D3987"/>
    <w:rsid w:val="004E294C"/>
    <w:rsid w:val="004E2F08"/>
    <w:rsid w:val="004E3132"/>
    <w:rsid w:val="004E552E"/>
    <w:rsid w:val="004E656D"/>
    <w:rsid w:val="004F0849"/>
    <w:rsid w:val="004F173C"/>
    <w:rsid w:val="004F1B8C"/>
    <w:rsid w:val="004F33F3"/>
    <w:rsid w:val="004F45B0"/>
    <w:rsid w:val="004F6D87"/>
    <w:rsid w:val="005020C3"/>
    <w:rsid w:val="005111F8"/>
    <w:rsid w:val="00513FA2"/>
    <w:rsid w:val="00514387"/>
    <w:rsid w:val="00516459"/>
    <w:rsid w:val="00520153"/>
    <w:rsid w:val="005314CD"/>
    <w:rsid w:val="005349E1"/>
    <w:rsid w:val="00537EF5"/>
    <w:rsid w:val="005420CC"/>
    <w:rsid w:val="005427EB"/>
    <w:rsid w:val="005434D0"/>
    <w:rsid w:val="0054437C"/>
    <w:rsid w:val="00546D61"/>
    <w:rsid w:val="005579BF"/>
    <w:rsid w:val="00560C3E"/>
    <w:rsid w:val="00563468"/>
    <w:rsid w:val="00564EC2"/>
    <w:rsid w:val="00565EAE"/>
    <w:rsid w:val="00573677"/>
    <w:rsid w:val="00575F7D"/>
    <w:rsid w:val="0058029F"/>
    <w:rsid w:val="00580383"/>
    <w:rsid w:val="00580E40"/>
    <w:rsid w:val="00590731"/>
    <w:rsid w:val="005A212B"/>
    <w:rsid w:val="005A506B"/>
    <w:rsid w:val="005A701C"/>
    <w:rsid w:val="005B2444"/>
    <w:rsid w:val="005B2D14"/>
    <w:rsid w:val="005B3140"/>
    <w:rsid w:val="005C0B05"/>
    <w:rsid w:val="005D1156"/>
    <w:rsid w:val="005D23BE"/>
    <w:rsid w:val="005E0681"/>
    <w:rsid w:val="005E3B08"/>
    <w:rsid w:val="005E3FE4"/>
    <w:rsid w:val="005E49C2"/>
    <w:rsid w:val="005E572E"/>
    <w:rsid w:val="005F5576"/>
    <w:rsid w:val="005F640D"/>
    <w:rsid w:val="006014AB"/>
    <w:rsid w:val="00605F20"/>
    <w:rsid w:val="00611C88"/>
    <w:rsid w:val="0061680A"/>
    <w:rsid w:val="00623B70"/>
    <w:rsid w:val="00624E57"/>
    <w:rsid w:val="0063578B"/>
    <w:rsid w:val="00636B3D"/>
    <w:rsid w:val="00641025"/>
    <w:rsid w:val="00650E98"/>
    <w:rsid w:val="00656C61"/>
    <w:rsid w:val="006672D8"/>
    <w:rsid w:val="00670D96"/>
    <w:rsid w:val="00672877"/>
    <w:rsid w:val="006828F9"/>
    <w:rsid w:val="00683154"/>
    <w:rsid w:val="00690115"/>
    <w:rsid w:val="00690898"/>
    <w:rsid w:val="00693039"/>
    <w:rsid w:val="00693A5A"/>
    <w:rsid w:val="006B302F"/>
    <w:rsid w:val="006C64D4"/>
    <w:rsid w:val="006D432B"/>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24D6"/>
    <w:rsid w:val="008133F9"/>
    <w:rsid w:val="00823AAC"/>
    <w:rsid w:val="008309F5"/>
    <w:rsid w:val="00832BFE"/>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85FF6"/>
    <w:rsid w:val="009A0636"/>
    <w:rsid w:val="009A6FF5"/>
    <w:rsid w:val="009B2B47"/>
    <w:rsid w:val="009B35DB"/>
    <w:rsid w:val="009C4298"/>
    <w:rsid w:val="009D318C"/>
    <w:rsid w:val="00A10B8B"/>
    <w:rsid w:val="00A20D78"/>
    <w:rsid w:val="00A2174A"/>
    <w:rsid w:val="00A26733"/>
    <w:rsid w:val="00A3595E"/>
    <w:rsid w:val="00A40FD8"/>
    <w:rsid w:val="00A46C7F"/>
    <w:rsid w:val="00A73245"/>
    <w:rsid w:val="00A77145"/>
    <w:rsid w:val="00A82989"/>
    <w:rsid w:val="00A839CA"/>
    <w:rsid w:val="00A8454E"/>
    <w:rsid w:val="00A904FE"/>
    <w:rsid w:val="00A9262C"/>
    <w:rsid w:val="00A95121"/>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5B84"/>
    <w:rsid w:val="00B768B6"/>
    <w:rsid w:val="00B816A3"/>
    <w:rsid w:val="00B908D1"/>
    <w:rsid w:val="00B940D1"/>
    <w:rsid w:val="00BA5D70"/>
    <w:rsid w:val="00BB58BD"/>
    <w:rsid w:val="00BB6A26"/>
    <w:rsid w:val="00BC1034"/>
    <w:rsid w:val="00BE086A"/>
    <w:rsid w:val="00BE2408"/>
    <w:rsid w:val="00BE3EC6"/>
    <w:rsid w:val="00BE5BEB"/>
    <w:rsid w:val="00BE6528"/>
    <w:rsid w:val="00C0087A"/>
    <w:rsid w:val="00C05F9D"/>
    <w:rsid w:val="00C265F0"/>
    <w:rsid w:val="00C27212"/>
    <w:rsid w:val="00C31EC5"/>
    <w:rsid w:val="00C34185"/>
    <w:rsid w:val="00C42DD6"/>
    <w:rsid w:val="00C45444"/>
    <w:rsid w:val="00C545E7"/>
    <w:rsid w:val="00C66858"/>
    <w:rsid w:val="00C72E69"/>
    <w:rsid w:val="00C7411E"/>
    <w:rsid w:val="00C84988"/>
    <w:rsid w:val="00CA4AF6"/>
    <w:rsid w:val="00CA59CA"/>
    <w:rsid w:val="00CB2356"/>
    <w:rsid w:val="00CB2D52"/>
    <w:rsid w:val="00CB4075"/>
    <w:rsid w:val="00CB4E6D"/>
    <w:rsid w:val="00CC23DE"/>
    <w:rsid w:val="00CD3E3A"/>
    <w:rsid w:val="00CD7459"/>
    <w:rsid w:val="00CE4ADF"/>
    <w:rsid w:val="00CE55A6"/>
    <w:rsid w:val="00CF13FC"/>
    <w:rsid w:val="00CF4AAF"/>
    <w:rsid w:val="00CF561A"/>
    <w:rsid w:val="00CF6C18"/>
    <w:rsid w:val="00CF7EA8"/>
    <w:rsid w:val="00D004DA"/>
    <w:rsid w:val="00D01673"/>
    <w:rsid w:val="00D0309A"/>
    <w:rsid w:val="00D04ECB"/>
    <w:rsid w:val="00D07BA4"/>
    <w:rsid w:val="00D109BA"/>
    <w:rsid w:val="00D176BE"/>
    <w:rsid w:val="00D17C4E"/>
    <w:rsid w:val="00D21359"/>
    <w:rsid w:val="00D215F6"/>
    <w:rsid w:val="00D22BE1"/>
    <w:rsid w:val="00D2765B"/>
    <w:rsid w:val="00D31DF7"/>
    <w:rsid w:val="00D3254A"/>
    <w:rsid w:val="00D33B91"/>
    <w:rsid w:val="00D415C6"/>
    <w:rsid w:val="00D420EA"/>
    <w:rsid w:val="00D4639E"/>
    <w:rsid w:val="00D51ABF"/>
    <w:rsid w:val="00D5444B"/>
    <w:rsid w:val="00D55302"/>
    <w:rsid w:val="00D57CBF"/>
    <w:rsid w:val="00D66ABC"/>
    <w:rsid w:val="00D71CFC"/>
    <w:rsid w:val="00D85849"/>
    <w:rsid w:val="00D86024"/>
    <w:rsid w:val="00D94CA3"/>
    <w:rsid w:val="00D96595"/>
    <w:rsid w:val="00DA018C"/>
    <w:rsid w:val="00DA357A"/>
    <w:rsid w:val="00DA3C9D"/>
    <w:rsid w:val="00DB0F7E"/>
    <w:rsid w:val="00DB5489"/>
    <w:rsid w:val="00DB6C98"/>
    <w:rsid w:val="00DC701C"/>
    <w:rsid w:val="00DD708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6758E"/>
    <w:rsid w:val="00E70912"/>
    <w:rsid w:val="00E75F28"/>
    <w:rsid w:val="00E83B08"/>
    <w:rsid w:val="00E90AA6"/>
    <w:rsid w:val="00E977B8"/>
    <w:rsid w:val="00E97AD1"/>
    <w:rsid w:val="00EA109B"/>
    <w:rsid w:val="00EA15A8"/>
    <w:rsid w:val="00EA2926"/>
    <w:rsid w:val="00EB2CDE"/>
    <w:rsid w:val="00EC1A81"/>
    <w:rsid w:val="00EC7E5C"/>
    <w:rsid w:val="00ED78F1"/>
    <w:rsid w:val="00EE4DCA"/>
    <w:rsid w:val="00EE7EE1"/>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4B93"/>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algun Gothic" w:hAnsi="Calibri" w:cs="Times New Roman"/>
        <w:lang w:val="en-US" w:eastAsia="ko-KR" w:bidi="ar-SA"/>
      </w:rPr>
    </w:rPrDefault>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478F"/>
    <w:rPr>
      <w:rFonts w:eastAsia="Calibri" w:cs="Arial"/>
      <w:sz w:val="22"/>
      <w:szCs w:val="22"/>
      <w:lang w:eastAsia="en-US"/>
    </w:rPr>
  </w:style>
  <w:style w:type="paragraph" w:styleId="Heading1">
    <w:name w:val="heading 1"/>
    <w:aliases w:val="Pocket"/>
    <w:basedOn w:val="Normal"/>
    <w:next w:val="Normal"/>
    <w:link w:val="Heading1Char"/>
    <w:uiPriority w:val="1"/>
    <w:qFormat/>
    <w:rsid w:val="003A478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Malgun Gothic" w:cs="Times New Roman"/>
      <w:b/>
      <w:bCs/>
      <w:sz w:val="52"/>
      <w:szCs w:val="28"/>
    </w:rPr>
  </w:style>
  <w:style w:type="paragraph" w:styleId="Heading2">
    <w:name w:val="heading 2"/>
    <w:aliases w:val="Hat"/>
    <w:basedOn w:val="Normal"/>
    <w:next w:val="Normal"/>
    <w:link w:val="Heading2Char"/>
    <w:uiPriority w:val="2"/>
    <w:qFormat/>
    <w:rsid w:val="003A478F"/>
    <w:pPr>
      <w:keepNext/>
      <w:keepLines/>
      <w:pageBreakBefore/>
      <w:spacing w:before="480"/>
      <w:jc w:val="center"/>
      <w:outlineLvl w:val="1"/>
    </w:pPr>
    <w:rPr>
      <w:rFonts w:eastAsia="Malgun Gothic" w:cs="Times New Roman"/>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uiPriority w:val="3"/>
    <w:qFormat/>
    <w:rsid w:val="003A478F"/>
    <w:pPr>
      <w:keepNext/>
      <w:keepLines/>
      <w:pageBreakBefore/>
      <w:spacing w:before="200"/>
      <w:jc w:val="center"/>
      <w:outlineLvl w:val="2"/>
    </w:pPr>
    <w:rPr>
      <w:rFonts w:eastAsia="Malgun Gothic" w:cs="Times New Roman"/>
      <w:b/>
      <w:bCs/>
      <w:sz w:val="32"/>
      <w:u w:val="single"/>
    </w:rPr>
  </w:style>
  <w:style w:type="paragraph" w:styleId="Heading4">
    <w:name w:val="heading 4"/>
    <w:aliases w:val="Tag,small text,Big card,body,Normal Tag,heading 2,Ch, Ch,Heading 2 Char2 Char,no read,No Spacing12,TAG,small space,Medium Grid 21,Dont use,ta,Heading 2 Char1 Char Char,Heading 21,No Spacing211,No Spacing2111,No Spacing4,No Spacing11111,Tags"/>
    <w:basedOn w:val="Normal"/>
    <w:next w:val="Normal"/>
    <w:link w:val="Heading4Char"/>
    <w:uiPriority w:val="4"/>
    <w:qFormat/>
    <w:rsid w:val="003A478F"/>
    <w:pPr>
      <w:keepNext/>
      <w:keepLines/>
      <w:spacing w:before="200"/>
      <w:outlineLvl w:val="3"/>
    </w:pPr>
    <w:rPr>
      <w:rFonts w:eastAsia="Malgun Gothic" w:cs="Times New Roman"/>
      <w:b/>
      <w:bCs/>
      <w:iCs/>
      <w:sz w:val="26"/>
    </w:rPr>
  </w:style>
  <w:style w:type="character" w:default="1" w:styleId="DefaultParagraphFont">
    <w:name w:val="Default Paragraph Font"/>
    <w:uiPriority w:val="1"/>
    <w:semiHidden/>
    <w:unhideWhenUsed/>
    <w:rsid w:val="003A478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A478F"/>
  </w:style>
  <w:style w:type="character" w:customStyle="1" w:styleId="Heading1Char">
    <w:name w:val="Heading 1 Char"/>
    <w:aliases w:val="Pocket Char"/>
    <w:link w:val="Heading1"/>
    <w:uiPriority w:val="1"/>
    <w:rsid w:val="003A478F"/>
    <w:rPr>
      <w:b/>
      <w:bCs/>
      <w:sz w:val="52"/>
      <w:szCs w:val="28"/>
      <w:lang w:eastAsia="en-US"/>
    </w:rPr>
  </w:style>
  <w:style w:type="character" w:customStyle="1" w:styleId="Heading2Char">
    <w:name w:val="Heading 2 Char"/>
    <w:aliases w:val="Hat Char"/>
    <w:link w:val="Heading2"/>
    <w:uiPriority w:val="2"/>
    <w:rsid w:val="003A478F"/>
    <w:rPr>
      <w:b/>
      <w:bCs/>
      <w:sz w:val="44"/>
      <w:szCs w:val="26"/>
      <w:u w:val="double"/>
      <w:lang w:eastAsia="en-US"/>
    </w:rPr>
  </w:style>
  <w:style w:type="character" w:styleId="Emphasis">
    <w:name w:val="Emphasis"/>
    <w:aliases w:val="Evidence,Minimized,minimized,Highlighted,tag2,Size 10,emphasis in card,CD Card,Underlined,ED - Tag,emphasis,Emphasis!!,Qualifications,Bold Underline,small"/>
    <w:uiPriority w:val="7"/>
    <w:qFormat/>
    <w:rsid w:val="003A478F"/>
    <w:rPr>
      <w:rFonts w:ascii="Calibri" w:hAnsi="Calibri" w:cs="Arial"/>
      <w:b/>
      <w:i w:val="0"/>
      <w:iCs/>
      <w:sz w:val="22"/>
      <w:u w:val="single"/>
      <w:bdr w:val="single" w:sz="18" w:space="0" w:color="auto"/>
    </w:rPr>
  </w:style>
  <w:style w:type="character" w:customStyle="1" w:styleId="StyleBold">
    <w:name w:val="Style Bold"/>
    <w:uiPriority w:val="9"/>
    <w:semiHidden/>
    <w:rsid w:val="003A478F"/>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
    <w:link w:val="Heading3"/>
    <w:uiPriority w:val="3"/>
    <w:rsid w:val="003A478F"/>
    <w:rPr>
      <w:b/>
      <w:bCs/>
      <w:sz w:val="32"/>
      <w:szCs w:val="22"/>
      <w:u w:val="single"/>
      <w:lang w:eastAsia="en-US"/>
    </w:rPr>
  </w:style>
  <w:style w:type="character" w:customStyle="1" w:styleId="StyleBoldUnderline">
    <w:name w:val="Style Bold Underline"/>
    <w:aliases w:val="Underline,Style,apple-style-span + 6 pt,Kern at 16 pt,Intense Emphasis1,Intense Emphasis2,HHeading 3 + 12 pt,Cards + Font: 12 pt Char,ci,c,cite,9.5 pt,Bo,B,Minimized Char,Intense Emphasis3,Intense Emphasis4,Intense Emphasis5,Bold"/>
    <w:uiPriority w:val="6"/>
    <w:qFormat/>
    <w:rsid w:val="003A478F"/>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uiPriority w:val="5"/>
    <w:qFormat/>
    <w:rsid w:val="003A478F"/>
    <w:rPr>
      <w:b/>
      <w:bCs/>
      <w:sz w:val="26"/>
      <w:u w:val="single"/>
    </w:rPr>
  </w:style>
  <w:style w:type="paragraph" w:styleId="Header">
    <w:name w:val="header"/>
    <w:basedOn w:val="Normal"/>
    <w:link w:val="HeaderChar"/>
    <w:uiPriority w:val="99"/>
    <w:semiHidden/>
    <w:rsid w:val="003A478F"/>
    <w:pPr>
      <w:tabs>
        <w:tab w:val="center" w:pos="4680"/>
        <w:tab w:val="right" w:pos="9360"/>
      </w:tabs>
    </w:pPr>
  </w:style>
  <w:style w:type="character" w:customStyle="1" w:styleId="HeaderChar">
    <w:name w:val="Header Char"/>
    <w:link w:val="Header"/>
    <w:uiPriority w:val="99"/>
    <w:semiHidden/>
    <w:rsid w:val="003A478F"/>
    <w:rPr>
      <w:rFonts w:eastAsia="Calibri" w:cs="Arial"/>
      <w:sz w:val="22"/>
      <w:szCs w:val="22"/>
      <w:lang w:eastAsia="en-US"/>
    </w:rPr>
  </w:style>
  <w:style w:type="paragraph" w:styleId="Footer">
    <w:name w:val="footer"/>
    <w:basedOn w:val="Normal"/>
    <w:link w:val="FooterChar"/>
    <w:uiPriority w:val="99"/>
    <w:semiHidden/>
    <w:rsid w:val="003A478F"/>
    <w:pPr>
      <w:tabs>
        <w:tab w:val="center" w:pos="4680"/>
        <w:tab w:val="right" w:pos="9360"/>
      </w:tabs>
    </w:pPr>
  </w:style>
  <w:style w:type="character" w:customStyle="1" w:styleId="FooterChar">
    <w:name w:val="Footer Char"/>
    <w:link w:val="Footer"/>
    <w:uiPriority w:val="99"/>
    <w:semiHidden/>
    <w:rsid w:val="003A478F"/>
    <w:rPr>
      <w:rFonts w:eastAsia="Calibri" w:cs="Arial"/>
      <w:sz w:val="22"/>
      <w:szCs w:val="22"/>
      <w:lang w:eastAsia="en-US"/>
    </w:rPr>
  </w:style>
  <w:style w:type="character" w:styleId="Hyperlink">
    <w:name w:val="Hyperlink"/>
    <w:aliases w:val="heading 1 (block title),Important,Read,Card Text,Internet Link"/>
    <w:uiPriority w:val="99"/>
    <w:rsid w:val="003A478F"/>
    <w:rPr>
      <w:color w:val="auto"/>
      <w:u w:val="none"/>
    </w:rPr>
  </w:style>
  <w:style w:type="character" w:styleId="FollowedHyperlink">
    <w:name w:val="FollowedHyperlink"/>
    <w:uiPriority w:val="99"/>
    <w:semiHidden/>
    <w:rsid w:val="003A478F"/>
    <w:rPr>
      <w:color w:val="auto"/>
      <w:u w:val="none"/>
    </w:rPr>
  </w:style>
  <w:style w:type="character" w:customStyle="1" w:styleId="Heading4Char">
    <w:name w:val="Heading 4 Char"/>
    <w:aliases w:val="Tag Char,small text Char,Big card Char,body Char,Normal Tag Char,heading 2 Char,Ch Char, Ch Char,Heading 2 Char2 Char Char,no read Char,No Spacing12 Char,TAG Char,small space Char,Medium Grid 21 Char,Dont use Char,ta Char,Heading 21 Char"/>
    <w:link w:val="Heading4"/>
    <w:uiPriority w:val="4"/>
    <w:rsid w:val="003A478F"/>
    <w:rPr>
      <w:b/>
      <w:bCs/>
      <w:iCs/>
      <w:sz w:val="26"/>
      <w:szCs w:val="22"/>
      <w:lang w:eastAsia="en-US"/>
    </w:rPr>
  </w:style>
  <w:style w:type="paragraph" w:styleId="DocumentMap">
    <w:name w:val="Document Map"/>
    <w:basedOn w:val="Normal"/>
    <w:link w:val="DocumentMapChar"/>
    <w:uiPriority w:val="99"/>
    <w:semiHidden/>
    <w:rsid w:val="00C45444"/>
    <w:rPr>
      <w:rFonts w:ascii="Tahoma" w:hAnsi="Tahoma" w:cs="Tahoma"/>
      <w:sz w:val="16"/>
      <w:szCs w:val="16"/>
    </w:rPr>
  </w:style>
  <w:style w:type="character" w:customStyle="1" w:styleId="DocumentMapChar">
    <w:name w:val="Document Map Char"/>
    <w:link w:val="DocumentMap"/>
    <w:uiPriority w:val="99"/>
    <w:semiHidden/>
    <w:rsid w:val="00C45444"/>
    <w:rPr>
      <w:rFonts w:ascii="Tahoma" w:hAnsi="Tahoma" w:cs="Tahoma"/>
      <w:sz w:val="16"/>
      <w:szCs w:val="16"/>
    </w:rPr>
  </w:style>
  <w:style w:type="paragraph" w:customStyle="1" w:styleId="card">
    <w:name w:val="card"/>
    <w:basedOn w:val="Normal"/>
    <w:next w:val="Normal"/>
    <w:uiPriority w:val="6"/>
    <w:qFormat/>
    <w:rsid w:val="00C45444"/>
    <w:pPr>
      <w:ind w:left="288" w:right="288"/>
    </w:pPr>
    <w:rPr>
      <w:rFonts w:cs="Times New Roman"/>
      <w:b/>
      <w:bCs/>
      <w:u w:val="single"/>
    </w:rPr>
  </w:style>
  <w:style w:type="paragraph" w:customStyle="1" w:styleId="Analytic">
    <w:name w:val="Analytic"/>
    <w:basedOn w:val="Normal"/>
    <w:autoRedefine/>
    <w:qFormat/>
    <w:rsid w:val="00C45444"/>
    <w:rPr>
      <w:b/>
      <w:sz w:val="26"/>
    </w:rPr>
  </w:style>
  <w:style w:type="character" w:customStyle="1" w:styleId="updated-short-citation">
    <w:name w:val="updated-short-citation"/>
    <w:rsid w:val="00C45444"/>
  </w:style>
  <w:style w:type="character" w:customStyle="1" w:styleId="underline">
    <w:name w:val="underline"/>
    <w:link w:val="textbold"/>
    <w:qFormat/>
    <w:locked/>
    <w:rsid w:val="00336592"/>
    <w:rPr>
      <w:rFonts w:cs="Times New Roman"/>
    </w:rPr>
  </w:style>
  <w:style w:type="paragraph" w:customStyle="1" w:styleId="textbold">
    <w:name w:val="text bold"/>
    <w:basedOn w:val="Normal"/>
    <w:link w:val="underline"/>
    <w:qFormat/>
    <w:rsid w:val="00336592"/>
    <w:pPr>
      <w:ind w:left="720"/>
      <w:jc w:val="both"/>
    </w:pPr>
    <w:rPr>
      <w:rFonts w:cs="Times New Roman"/>
    </w:rPr>
  </w:style>
  <w:style w:type="character" w:customStyle="1" w:styleId="boldunderline">
    <w:name w:val="bold underline"/>
    <w:qFormat/>
    <w:rsid w:val="00336592"/>
    <w:rPr>
      <w:rFonts w:cs="Times New Roman"/>
      <w:b/>
      <w:bCs w:val="0"/>
      <w:u w:val="single"/>
    </w:rPr>
  </w:style>
  <w:style w:type="paragraph" w:customStyle="1" w:styleId="cardtext">
    <w:name w:val="card text"/>
    <w:basedOn w:val="Normal"/>
    <w:link w:val="cardtextChar"/>
    <w:qFormat/>
    <w:rsid w:val="00092E02"/>
    <w:pPr>
      <w:ind w:left="288" w:right="288"/>
    </w:pPr>
  </w:style>
  <w:style w:type="character" w:customStyle="1" w:styleId="cardtextChar">
    <w:name w:val="card text Char"/>
    <w:link w:val="cardtext"/>
    <w:rsid w:val="00092E02"/>
    <w:rPr>
      <w:rFonts w:eastAsia="Calibri" w:cs="Calibri"/>
      <w:sz w:val="22"/>
      <w:szCs w:val="22"/>
    </w:rPr>
  </w:style>
  <w:style w:type="character" w:customStyle="1" w:styleId="Box">
    <w:name w:val="Box"/>
    <w:qFormat/>
    <w:rsid w:val="00092E02"/>
    <w:rPr>
      <w:b/>
      <w:u w:val="single"/>
      <w:bdr w:val="single" w:sz="4" w:space="0" w:color="auto"/>
    </w:rPr>
  </w:style>
  <w:style w:type="paragraph" w:styleId="NormalWeb">
    <w:name w:val="Normal (Web)"/>
    <w:basedOn w:val="Normal"/>
    <w:uiPriority w:val="99"/>
    <w:semiHidden/>
    <w:unhideWhenUsed/>
    <w:rsid w:val="00F94B93"/>
    <w:pPr>
      <w:spacing w:before="100" w:beforeAutospacing="1" w:after="100" w:afterAutospacing="1"/>
    </w:pPr>
    <w:rPr>
      <w:rFonts w:ascii="Times New Roman" w:eastAsia="Times New Roman" w:hAnsi="Times New Roman" w:cs="Times New Roman"/>
      <w:sz w:val="24"/>
      <w:szCs w:val="24"/>
      <w:lang w:eastAsia="ko-KR"/>
    </w:rPr>
  </w:style>
  <w:style w:type="character" w:customStyle="1" w:styleId="apple-converted-space">
    <w:name w:val="apple-converted-space"/>
    <w:basedOn w:val="DefaultParagraphFont"/>
    <w:rsid w:val="00F94B93"/>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4709FF"/>
    <w:rPr>
      <w:rFonts w:ascii="Arial Narrow" w:hAnsi="Arial Narrow" w:cs="Times New Roman"/>
      <w:sz w:val="20"/>
      <w:szCs w:val="20"/>
      <w:u w:val="thick"/>
      <w:lang w:val="x-none" w:eastAsia="x-none"/>
    </w:rPr>
  </w:style>
  <w:style w:type="character" w:customStyle="1" w:styleId="BoldUnderlineChar">
    <w:name w:val="Bold Underline Char"/>
    <w:rsid w:val="004709FF"/>
    <w:rPr>
      <w:rFonts w:eastAsia="Malgun Gothic"/>
      <w:b/>
      <w:u w:val="thick"/>
      <w:lang w:val="x-none" w:eastAsia="ko-KR"/>
    </w:rPr>
  </w:style>
  <w:style w:type="paragraph" w:customStyle="1" w:styleId="Cards">
    <w:name w:val="Cards"/>
    <w:next w:val="Normal"/>
    <w:link w:val="CardsChar"/>
    <w:qFormat/>
    <w:rsid w:val="004709FF"/>
    <w:pPr>
      <w:widowControl w:val="0"/>
      <w:ind w:left="432" w:right="432"/>
    </w:pPr>
    <w:rPr>
      <w:rFonts w:ascii="Times New Roman" w:eastAsia="Times New Roman" w:hAnsi="Times New Roman"/>
      <w:szCs w:val="24"/>
    </w:rPr>
  </w:style>
  <w:style w:type="paragraph" w:customStyle="1" w:styleId="Cites">
    <w:name w:val="Cites"/>
    <w:next w:val="Cards"/>
    <w:link w:val="CitesChar"/>
    <w:qFormat/>
    <w:rsid w:val="004709FF"/>
    <w:pPr>
      <w:widowControl w:val="0"/>
    </w:pPr>
    <w:rPr>
      <w:rFonts w:ascii="Times New Roman" w:eastAsia="Times New Roman" w:hAnsi="Times New Roman"/>
      <w:szCs w:val="24"/>
    </w:rPr>
  </w:style>
  <w:style w:type="character" w:customStyle="1" w:styleId="Author-Date">
    <w:name w:val="Author-Date"/>
    <w:qFormat/>
    <w:rsid w:val="004709FF"/>
    <w:rPr>
      <w:b/>
      <w:sz w:val="24"/>
    </w:rPr>
  </w:style>
  <w:style w:type="character" w:customStyle="1" w:styleId="CardsChar">
    <w:name w:val="Cards Char"/>
    <w:link w:val="Cards"/>
    <w:locked/>
    <w:rsid w:val="004709FF"/>
    <w:rPr>
      <w:rFonts w:ascii="Times New Roman" w:eastAsia="Times New Roman" w:hAnsi="Times New Roman"/>
      <w:szCs w:val="24"/>
      <w:lang w:bidi="ar-SA"/>
    </w:rPr>
  </w:style>
  <w:style w:type="character" w:customStyle="1" w:styleId="CitesChar">
    <w:name w:val="Cites Char"/>
    <w:link w:val="Cites"/>
    <w:locked/>
    <w:rsid w:val="004709FF"/>
    <w:rPr>
      <w:rFonts w:ascii="Times New Roman" w:eastAsia="Times New Roman" w:hAnsi="Times New Roman"/>
      <w:szCs w:val="24"/>
      <w:lang w:bidi="ar-SA"/>
    </w:rPr>
  </w:style>
  <w:style w:type="paragraph" w:customStyle="1" w:styleId="Nothing">
    <w:name w:val="Nothing"/>
    <w:link w:val="NothingChar"/>
    <w:qFormat/>
    <w:rsid w:val="004709FF"/>
    <w:pPr>
      <w:jc w:val="both"/>
    </w:pPr>
    <w:rPr>
      <w:rFonts w:ascii="Times New Roman" w:eastAsia="Times New Roman" w:hAnsi="Times New Roman"/>
      <w:szCs w:val="24"/>
    </w:rPr>
  </w:style>
  <w:style w:type="character" w:customStyle="1" w:styleId="DebateUnderline">
    <w:name w:val="Debate Underline"/>
    <w:qFormat/>
    <w:rsid w:val="004709FF"/>
    <w:rPr>
      <w:rFonts w:ascii="Times New Roman" w:hAnsi="Times New Roman"/>
      <w:sz w:val="20"/>
      <w:u w:val="thick"/>
    </w:rPr>
  </w:style>
  <w:style w:type="character" w:customStyle="1" w:styleId="NothingChar">
    <w:name w:val="Nothing Char"/>
    <w:link w:val="Nothing"/>
    <w:locked/>
    <w:rsid w:val="004709FF"/>
    <w:rPr>
      <w:rFonts w:ascii="Times New Roman" w:eastAsia="Times New Roman" w:hAnsi="Times New Roman"/>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loomberg.com/news/2012-01-24/how-iran-may-trigger-accidental-armageddon-commentary-by-jeffrey-goldberg.html" TargetMode="External"/><Relationship Id="rId18" Type="http://schemas.openxmlformats.org/officeDocument/2006/relationships/hyperlink" Target="http://www.prospect.org/cs/articles?article=two_minutes_to_launch"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dailycaller.com/2011/09/30/the-disease-of-a-weak-president/" TargetMode="External"/><Relationship Id="rId17" Type="http://schemas.openxmlformats.org/officeDocument/2006/relationships/hyperlink" Target="http://www.miamiherald.com/2013/05/31/3424471/russian-oil-company-suspends.html" TargetMode="External"/><Relationship Id="rId2" Type="http://schemas.openxmlformats.org/officeDocument/2006/relationships/customXml" Target="../customXml/item2.xml"/><Relationship Id="rId16" Type="http://schemas.openxmlformats.org/officeDocument/2006/relationships/hyperlink" Target="http://articles.sun-sentinel.com/2013-04-14/news/fl-cuban-oil-drilling-retreat-20130414_1_jorge-pi-north-coast-cuban-officials/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mericanthinker.com/2010/08/president_obamas_compulsive_ap.html" TargetMode="External"/><Relationship Id="rId5" Type="http://schemas.microsoft.com/office/2007/relationships/stylesWithEffects" Target="stylesWithEffects.xml"/><Relationship Id="rId15" Type="http://schemas.openxmlformats.org/officeDocument/2006/relationships/hyperlink" Target="http://online.wsj.com/article/SB124027198023237151.html" TargetMode="External"/><Relationship Id="rId10" Type="http://schemas.openxmlformats.org/officeDocument/2006/relationships/hyperlink" Target="http://www.wilsoncenter.org/sites/default/files/LAP_Cuba_Implications.pdf"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eb.ebscohost.com.turing.library.northwestern.edu/ehost/detail?sid=1b56e6b4-ade2-4052-9114-7d107fdbd019%40sessionmgr12&amp;vid=2&amp;hid=24&amp;bdata=JnNpdGU9ZWhvc3QtbGl2ZQ%3d%3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258E5CE-866A-49A5-94CE-586A06C528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5</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7079</CharactersWithSpaces>
  <SharedDoc>false</SharedDoc>
  <HLinks>
    <vt:vector size="84" baseType="variant">
      <vt:variant>
        <vt:i4>6881387</vt:i4>
      </vt:variant>
      <vt:variant>
        <vt:i4>39</vt:i4>
      </vt:variant>
      <vt:variant>
        <vt:i4>0</vt:i4>
      </vt:variant>
      <vt:variant>
        <vt:i4>5</vt:i4>
      </vt:variant>
      <vt:variant>
        <vt:lpwstr>http://www.cfr.org/cuba/us-cuba-relations/p11113</vt:lpwstr>
      </vt:variant>
      <vt:variant>
        <vt:lpwstr>p5</vt:lpwstr>
      </vt:variant>
      <vt:variant>
        <vt:i4>5111813</vt:i4>
      </vt:variant>
      <vt:variant>
        <vt:i4>36</vt:i4>
      </vt:variant>
      <vt:variant>
        <vt:i4>0</vt:i4>
      </vt:variant>
      <vt:variant>
        <vt:i4>5</vt:i4>
      </vt:variant>
      <vt:variant>
        <vt:lpwstr>http://www.brookings.edu/~/media/research/files/papers/2011/11/18 cuba feinberg/1118_cuba_feinberg.pdf</vt:lpwstr>
      </vt:variant>
      <vt:variant>
        <vt:lpwstr/>
      </vt:variant>
      <vt:variant>
        <vt:i4>524291</vt:i4>
      </vt:variant>
      <vt:variant>
        <vt:i4>33</vt:i4>
      </vt:variant>
      <vt:variant>
        <vt:i4>0</vt:i4>
      </vt:variant>
      <vt:variant>
        <vt:i4>5</vt:i4>
      </vt:variant>
      <vt:variant>
        <vt:lpwstr>http://www.brookings.edu/~/media/research/files/papers/2011/11/18 cuba feinberg/1118_cuba_feinberg.pdf)//ID</vt:lpwstr>
      </vt:variant>
      <vt:variant>
        <vt:lpwstr/>
      </vt:variant>
      <vt:variant>
        <vt:i4>2621519</vt:i4>
      </vt:variant>
      <vt:variant>
        <vt:i4>30</vt:i4>
      </vt:variant>
      <vt:variant>
        <vt:i4>0</vt:i4>
      </vt:variant>
      <vt:variant>
        <vt:i4>5</vt:i4>
      </vt:variant>
      <vt:variant>
        <vt:lpwstr>http://www.nytimes.com/2012/11/20/world/americas/changes-in-cuba-create-support-for-easing-embargo.html?pagewanted=all&amp;_r=0)//EX</vt:lpwstr>
      </vt:variant>
      <vt:variant>
        <vt:lpwstr/>
      </vt:variant>
      <vt:variant>
        <vt:i4>3014756</vt:i4>
      </vt:variant>
      <vt:variant>
        <vt:i4>27</vt:i4>
      </vt:variant>
      <vt:variant>
        <vt:i4>0</vt:i4>
      </vt:variant>
      <vt:variant>
        <vt:i4>5</vt:i4>
      </vt:variant>
      <vt:variant>
        <vt:lpwstr>http://nationalinterest.org/commentary/getting-ready-post-castro-cuba-8316</vt:lpwstr>
      </vt:variant>
      <vt:variant>
        <vt:lpwstr/>
      </vt:variant>
      <vt:variant>
        <vt:i4>7602242</vt:i4>
      </vt:variant>
      <vt:variant>
        <vt:i4>24</vt:i4>
      </vt:variant>
      <vt:variant>
        <vt:i4>0</vt:i4>
      </vt:variant>
      <vt:variant>
        <vt:i4>5</vt:i4>
      </vt:variant>
      <vt:variant>
        <vt:lpwstr>http://heinonline.org/HOL/Page?handle=hein.journals/fora90&amp;div=49&amp;g_sent=1)//HAL</vt:lpwstr>
      </vt:variant>
      <vt:variant>
        <vt:lpwstr/>
      </vt:variant>
      <vt:variant>
        <vt:i4>2752625</vt:i4>
      </vt:variant>
      <vt:variant>
        <vt:i4>21</vt:i4>
      </vt:variant>
      <vt:variant>
        <vt:i4>0</vt:i4>
      </vt:variant>
      <vt:variant>
        <vt:i4>5</vt:i4>
      </vt:variant>
      <vt:variant>
        <vt:lpwstr>http://earthmeanders.blogspot.com/2008/01/economic-collapse-and-global-ecology.html</vt:lpwstr>
      </vt:variant>
      <vt:variant>
        <vt:lpwstr/>
      </vt:variant>
      <vt:variant>
        <vt:i4>262166</vt:i4>
      </vt:variant>
      <vt:variant>
        <vt:i4>18</vt:i4>
      </vt:variant>
      <vt:variant>
        <vt:i4>0</vt:i4>
      </vt:variant>
      <vt:variant>
        <vt:i4>5</vt:i4>
      </vt:variant>
      <vt:variant>
        <vt:lpwstr>http://www.worldpoliticsreview.com/articles/4213/the-new-rules-security-remains-stable-amid-financial-crisis</vt:lpwstr>
      </vt:variant>
      <vt:variant>
        <vt:lpwstr/>
      </vt:variant>
      <vt:variant>
        <vt:i4>5898280</vt:i4>
      </vt:variant>
      <vt:variant>
        <vt:i4>15</vt:i4>
      </vt:variant>
      <vt:variant>
        <vt:i4>0</vt:i4>
      </vt:variant>
      <vt:variant>
        <vt:i4>5</vt:i4>
      </vt:variant>
      <vt:variant>
        <vt:lpwstr>http://www.prospect.org/cs/articles?article=two_minutes_to_launch</vt:lpwstr>
      </vt:variant>
      <vt:variant>
        <vt:lpwstr/>
      </vt:variant>
      <vt:variant>
        <vt:i4>7733374</vt:i4>
      </vt:variant>
      <vt:variant>
        <vt:i4>12</vt:i4>
      </vt:variant>
      <vt:variant>
        <vt:i4>0</vt:i4>
      </vt:variant>
      <vt:variant>
        <vt:i4>5</vt:i4>
      </vt:variant>
      <vt:variant>
        <vt:lpwstr>http://online.wsj.com/article/SB124027198023237151.html</vt:lpwstr>
      </vt:variant>
      <vt:variant>
        <vt:lpwstr/>
      </vt:variant>
      <vt:variant>
        <vt:i4>1179651</vt:i4>
      </vt:variant>
      <vt:variant>
        <vt:i4>9</vt:i4>
      </vt:variant>
      <vt:variant>
        <vt:i4>0</vt:i4>
      </vt:variant>
      <vt:variant>
        <vt:i4>5</vt:i4>
      </vt:variant>
      <vt:variant>
        <vt:lpwstr>http://web.ebscohost.com.turing.library.northwestern.edu/ehost/detail?sid=1b56e6b4-ade2-4052-9114-7d107fdbd019%40sessionmgr12&amp;vid=2&amp;hid=24&amp;bdata=JnNpdGU9ZWhvc3QtbGl2ZQ%3d%3d</vt:lpwstr>
      </vt:variant>
      <vt:variant>
        <vt:lpwstr>db=mth&amp;AN=4437301</vt:lpwstr>
      </vt:variant>
      <vt:variant>
        <vt:i4>2621472</vt:i4>
      </vt:variant>
      <vt:variant>
        <vt:i4>6</vt:i4>
      </vt:variant>
      <vt:variant>
        <vt:i4>0</vt:i4>
      </vt:variant>
      <vt:variant>
        <vt:i4>5</vt:i4>
      </vt:variant>
      <vt:variant>
        <vt:lpwstr>http://dailycaller.com/2011/09/30/the-disease-of-a-weak-president/</vt:lpwstr>
      </vt:variant>
      <vt:variant>
        <vt:lpwstr/>
      </vt:variant>
      <vt:variant>
        <vt:i4>4980780</vt:i4>
      </vt:variant>
      <vt:variant>
        <vt:i4>3</vt:i4>
      </vt:variant>
      <vt:variant>
        <vt:i4>0</vt:i4>
      </vt:variant>
      <vt:variant>
        <vt:i4>5</vt:i4>
      </vt:variant>
      <vt:variant>
        <vt:lpwstr>http://www.americanthinker.com/2010/08/president_obamas_compulsive_ap.html</vt:lpwstr>
      </vt:variant>
      <vt:variant>
        <vt:lpwstr/>
      </vt:variant>
      <vt:variant>
        <vt:i4>7667833</vt:i4>
      </vt:variant>
      <vt:variant>
        <vt:i4>0</vt:i4>
      </vt:variant>
      <vt:variant>
        <vt:i4>0</vt:i4>
      </vt:variant>
      <vt:variant>
        <vt:i4>5</vt:i4>
      </vt:variant>
      <vt:variant>
        <vt:lpwstr>http://www.wilsoncenter.org/sites/default/files/LAP_Cuba_Implications.pdf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2013</dc:creator>
  <cp:lastModifiedBy>Hayu, Team 2012</cp:lastModifiedBy>
  <cp:revision>4</cp:revision>
  <dcterms:created xsi:type="dcterms:W3CDTF">2013-10-01T22:51:00Z</dcterms:created>
  <dcterms:modified xsi:type="dcterms:W3CDTF">2013-10-28T23:52:00Z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