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0FD" w:rsidRDefault="009F40FD" w:rsidP="009F40FD">
      <w:pPr>
        <w:pStyle w:val="Heading1"/>
      </w:pPr>
      <w:r>
        <w:t>1NC</w:t>
      </w:r>
    </w:p>
    <w:p w:rsidR="009F40FD" w:rsidRPr="00F3110E" w:rsidRDefault="009F40FD" w:rsidP="009F40FD">
      <w:pPr>
        <w:pStyle w:val="Heading2"/>
      </w:pPr>
      <w:r>
        <w:lastRenderedPageBreak/>
        <w:t>1NC Framework</w:t>
      </w:r>
    </w:p>
    <w:p w:rsidR="009F40FD" w:rsidRPr="00D926FD" w:rsidRDefault="009F40FD" w:rsidP="009F40FD">
      <w:pPr>
        <w:pStyle w:val="Heading4"/>
      </w:pPr>
      <w:r w:rsidRPr="00D926FD">
        <w:t xml:space="preserve">The </w:t>
      </w:r>
      <w:proofErr w:type="spellStart"/>
      <w:r w:rsidRPr="00D926FD">
        <w:t>Aff’s</w:t>
      </w:r>
      <w:proofErr w:type="spellEnd"/>
      <w:r w:rsidRPr="00D926FD">
        <w:t xml:space="preserve"> failure to </w:t>
      </w:r>
      <w:r>
        <w:t xml:space="preserve">defend benefits </w:t>
      </w:r>
      <w:r w:rsidRPr="00D926FD">
        <w:t xml:space="preserve">of </w:t>
      </w:r>
      <w:r>
        <w:t>United States Federal Government economic engagement</w:t>
      </w:r>
      <w:r w:rsidRPr="00D926FD">
        <w:t xml:space="preserve"> toward Cuba, Mexico, or Venezuela undermines debate’s transformative and intellectual potential</w:t>
      </w:r>
    </w:p>
    <w:p w:rsidR="009F40FD" w:rsidRPr="00517CBF" w:rsidRDefault="009F40FD" w:rsidP="009F40FD">
      <w:pPr>
        <w:pStyle w:val="Heading4"/>
        <w:rPr>
          <w:rFonts w:asciiTheme="minorHAnsi" w:hAnsiTheme="minorHAnsi"/>
        </w:rPr>
      </w:pPr>
      <w:r w:rsidRPr="00517CBF">
        <w:rPr>
          <w:rFonts w:asciiTheme="minorHAnsi" w:hAnsiTheme="minorHAnsi"/>
        </w:rPr>
        <w:t xml:space="preserve">Resolved requires a policy </w:t>
      </w:r>
    </w:p>
    <w:p w:rsidR="009F40FD" w:rsidRPr="00517CBF" w:rsidRDefault="009F40FD" w:rsidP="009F40FD">
      <w:pPr>
        <w:rPr>
          <w:rStyle w:val="StyleStyleBold12pt"/>
          <w:rFonts w:asciiTheme="minorHAnsi" w:hAnsiTheme="minorHAnsi"/>
          <w:sz w:val="28"/>
        </w:rPr>
      </w:pPr>
      <w:r w:rsidRPr="00517CBF">
        <w:rPr>
          <w:rFonts w:asciiTheme="minorHAnsi" w:hAnsiTheme="minorHAnsi"/>
          <w:b/>
        </w:rPr>
        <w:t xml:space="preserve">Louisiana House </w:t>
      </w:r>
      <w:r w:rsidRPr="00517CBF">
        <w:rPr>
          <w:rFonts w:asciiTheme="minorHAnsi" w:hAnsiTheme="minorHAnsi"/>
        </w:rPr>
        <w:t>3-8-20</w:t>
      </w:r>
      <w:r w:rsidRPr="00517CBF">
        <w:rPr>
          <w:rStyle w:val="Heading4Char"/>
          <w:rFonts w:asciiTheme="minorHAnsi" w:hAnsiTheme="minorHAnsi"/>
        </w:rPr>
        <w:t xml:space="preserve">05, </w:t>
      </w:r>
      <w:hyperlink r:id="rId4" w:history="1">
        <w:r w:rsidRPr="00517CBF">
          <w:rPr>
            <w:rFonts w:asciiTheme="minorHAnsi" w:hAnsiTheme="minorHAnsi"/>
          </w:rPr>
          <w:t>http://house.louisiana.gov/house-glossary.htm</w:t>
        </w:r>
      </w:hyperlink>
      <w:r w:rsidRPr="00517CBF">
        <w:rPr>
          <w:rStyle w:val="StyleStyleBold12pt"/>
          <w:rFonts w:asciiTheme="minorHAnsi" w:hAnsiTheme="minorHAnsi"/>
          <w:sz w:val="28"/>
        </w:rPr>
        <w:t xml:space="preserve"> </w:t>
      </w:r>
    </w:p>
    <w:p w:rsidR="009F40FD" w:rsidRDefault="009F40FD" w:rsidP="009F40FD">
      <w:pPr>
        <w:rPr>
          <w:rFonts w:asciiTheme="minorHAnsi" w:hAnsiTheme="minorHAnsi"/>
        </w:rPr>
      </w:pPr>
      <w:r w:rsidRPr="00517CBF">
        <w:rPr>
          <w:rFonts w:asciiTheme="minorHAnsi" w:hAnsiTheme="minorHAnsi"/>
          <w:sz w:val="24"/>
          <w:u w:val="single"/>
          <w:shd w:val="clear" w:color="auto" w:fill="00FFFF"/>
        </w:rPr>
        <w:t>Resolution  A legislative instrument</w:t>
      </w:r>
      <w:r w:rsidRPr="00517CBF">
        <w:rPr>
          <w:rFonts w:asciiTheme="minorHAnsi" w:hAnsiTheme="minorHAnsi"/>
          <w:sz w:val="24"/>
          <w:u w:val="single"/>
        </w:rPr>
        <w:t xml:space="preserve"> </w:t>
      </w:r>
      <w:r w:rsidRPr="00517CBF">
        <w:rPr>
          <w:rFonts w:asciiTheme="minorHAnsi" w:hAnsiTheme="minorHAnsi"/>
        </w:rPr>
        <w:t xml:space="preserve">that generally is </w:t>
      </w:r>
      <w:r w:rsidRPr="00517CBF">
        <w:rPr>
          <w:rFonts w:asciiTheme="minorHAnsi" w:hAnsiTheme="minorHAnsi"/>
          <w:sz w:val="24"/>
          <w:u w:val="single"/>
          <w:shd w:val="clear" w:color="auto" w:fill="00FFFF"/>
        </w:rPr>
        <w:t>used for</w:t>
      </w:r>
      <w:r w:rsidRPr="00517CBF">
        <w:rPr>
          <w:rFonts w:asciiTheme="minorHAnsi" w:hAnsiTheme="minorHAnsi"/>
        </w:rPr>
        <w:t xml:space="preserve"> making declarations,  </w:t>
      </w:r>
      <w:r w:rsidRPr="00517CBF">
        <w:rPr>
          <w:rFonts w:asciiTheme="minorHAnsi" w:hAnsiTheme="minorHAnsi"/>
          <w:sz w:val="24"/>
          <w:u w:val="single"/>
          <w:shd w:val="clear" w:color="auto" w:fill="00FFFF"/>
        </w:rPr>
        <w:t>stating policies</w:t>
      </w:r>
      <w:r w:rsidRPr="00517CBF">
        <w:rPr>
          <w:rFonts w:asciiTheme="minorHAnsi" w:hAnsiTheme="minorHAnsi"/>
        </w:rPr>
        <w:t xml:space="preserve">, </w:t>
      </w:r>
    </w:p>
    <w:p w:rsidR="009F40FD" w:rsidRDefault="009F40FD" w:rsidP="009F40FD">
      <w:pPr>
        <w:rPr>
          <w:rFonts w:asciiTheme="minorHAnsi" w:hAnsiTheme="minorHAnsi"/>
        </w:rPr>
      </w:pPr>
      <w:r>
        <w:rPr>
          <w:rFonts w:asciiTheme="minorHAnsi" w:hAnsiTheme="minorHAnsi"/>
        </w:rPr>
        <w:t>AND</w:t>
      </w:r>
    </w:p>
    <w:p w:rsidR="009F40FD" w:rsidRPr="00906CDE" w:rsidRDefault="009F40FD" w:rsidP="009F40FD">
      <w:pPr>
        <w:rPr>
          <w:rFonts w:asciiTheme="minorHAnsi" w:hAnsiTheme="minorHAnsi"/>
        </w:rPr>
      </w:pPr>
      <w:r w:rsidRPr="00517CBF">
        <w:rPr>
          <w:rFonts w:asciiTheme="minorHAnsi" w:hAnsiTheme="minorHAnsi"/>
        </w:rPr>
        <w:t>, 13.1 , 6.8 , and 7.4)</w:t>
      </w:r>
    </w:p>
    <w:p w:rsidR="009F40FD" w:rsidRDefault="009F40FD" w:rsidP="009F40FD">
      <w:pPr>
        <w:pStyle w:val="Heading4"/>
      </w:pPr>
      <w:r>
        <w:t>Federal government is the national government</w:t>
      </w:r>
    </w:p>
    <w:p w:rsidR="009F40FD" w:rsidRDefault="009F40FD" w:rsidP="009F40FD">
      <w:pPr>
        <w:rPr>
          <w:szCs w:val="23"/>
        </w:rPr>
      </w:pPr>
      <w:r w:rsidRPr="005076F9">
        <w:rPr>
          <w:rStyle w:val="StyleStyleBold12pt"/>
        </w:rPr>
        <w:t>Black’s Law 4</w:t>
      </w:r>
      <w:r>
        <w:rPr>
          <w:bCs/>
          <w:szCs w:val="23"/>
        </w:rPr>
        <w:t xml:space="preserve"> (Dictionary, 8</w:t>
      </w:r>
      <w:r>
        <w:rPr>
          <w:bCs/>
          <w:szCs w:val="23"/>
          <w:vertAlign w:val="superscript"/>
        </w:rPr>
        <w:t>th</w:t>
      </w:r>
      <w:r>
        <w:rPr>
          <w:bCs/>
          <w:szCs w:val="23"/>
        </w:rPr>
        <w:t xml:space="preserve"> </w:t>
      </w:r>
      <w:r w:rsidRPr="005076F9">
        <w:t>Edition, June 1, 2004, pg.716.)</w:t>
      </w:r>
    </w:p>
    <w:p w:rsidR="009F40FD" w:rsidRDefault="009F40FD" w:rsidP="009F40FD"/>
    <w:p w:rsidR="009F40FD" w:rsidRDefault="009F40FD" w:rsidP="009F40FD">
      <w:r w:rsidRPr="00245D28">
        <w:rPr>
          <w:rStyle w:val="StyleBoldUnderline"/>
          <w:highlight w:val="cyan"/>
        </w:rPr>
        <w:t>Federal government</w:t>
      </w:r>
      <w:r w:rsidRPr="00921E3D">
        <w:t xml:space="preserve">. 1. A national government that exercises some degree of control over </w:t>
      </w:r>
    </w:p>
    <w:p w:rsidR="009F40FD" w:rsidRDefault="009F40FD" w:rsidP="009F40FD">
      <w:r>
        <w:t>AND</w:t>
      </w:r>
    </w:p>
    <w:p w:rsidR="009F40FD" w:rsidRDefault="009F40FD" w:rsidP="009F40FD">
      <w:r w:rsidRPr="005076F9">
        <w:t>C.J.S. United States - - 2-3]</w:t>
      </w:r>
    </w:p>
    <w:p w:rsidR="009F40FD" w:rsidRPr="002D2781" w:rsidRDefault="009F40FD" w:rsidP="009F40FD">
      <w:pPr>
        <w:pStyle w:val="Heading4"/>
      </w:pPr>
      <w:r w:rsidRPr="002D2781">
        <w:t xml:space="preserve"> “Economic engagement” is limited to expanding economic ties</w:t>
      </w:r>
    </w:p>
    <w:p w:rsidR="009F40FD" w:rsidRPr="00615106" w:rsidRDefault="009F40FD" w:rsidP="009F40FD">
      <w:proofErr w:type="spellStart"/>
      <w:r w:rsidRPr="007D3FB6">
        <w:rPr>
          <w:b/>
          <w:bCs/>
          <w:sz w:val="26"/>
        </w:rPr>
        <w:t>Celik</w:t>
      </w:r>
      <w:proofErr w:type="spellEnd"/>
      <w:r w:rsidRPr="007D3FB6">
        <w:rPr>
          <w:b/>
          <w:bCs/>
          <w:sz w:val="26"/>
        </w:rPr>
        <w:t xml:space="preserve"> 11 </w:t>
      </w:r>
      <w:r>
        <w:t>(</w:t>
      </w:r>
      <w:proofErr w:type="spellStart"/>
      <w:r w:rsidRPr="00615106">
        <w:t>Arda</w:t>
      </w:r>
      <w:proofErr w:type="spellEnd"/>
      <w:r w:rsidRPr="00615106">
        <w:t xml:space="preserve"> Can </w:t>
      </w:r>
      <w:proofErr w:type="spellStart"/>
      <w:r w:rsidRPr="00615106">
        <w:t>Çelik</w:t>
      </w:r>
      <w:proofErr w:type="spellEnd"/>
      <w:r w:rsidRPr="00615106">
        <w:t xml:space="preserve">, graduate M.A in political science and international relations at Uppsala University Sweden, </w:t>
      </w:r>
      <w:r>
        <w:t xml:space="preserve">2011, </w:t>
      </w:r>
      <w:r w:rsidRPr="00615106">
        <w:t>“Economic sanctions and engagement policies,” http://www.grin.com/en/e-book/175204/economic-sa</w:t>
      </w:r>
      <w:r>
        <w:t>nctions-and-engagement-policies)</w:t>
      </w:r>
    </w:p>
    <w:p w:rsidR="009F40FD" w:rsidRDefault="009F40FD" w:rsidP="009F40FD"/>
    <w:p w:rsidR="009F40FD" w:rsidRDefault="009F40FD" w:rsidP="009F40FD">
      <w:pPr>
        <w:rPr>
          <w:rStyle w:val="StyleBoldUnderline"/>
          <w:highlight w:val="cyan"/>
        </w:rPr>
      </w:pPr>
      <w:r w:rsidRPr="00187F28">
        <w:rPr>
          <w:sz w:val="16"/>
        </w:rPr>
        <w:t>Introduction</w:t>
      </w:r>
      <w:r w:rsidRPr="00187F28">
        <w:rPr>
          <w:sz w:val="12"/>
        </w:rPr>
        <w:t>¶</w:t>
      </w:r>
      <w:r w:rsidRPr="00187F28">
        <w:rPr>
          <w:sz w:val="16"/>
        </w:rPr>
        <w:t xml:space="preserve"> </w:t>
      </w:r>
      <w:r w:rsidRPr="00245D28">
        <w:rPr>
          <w:rStyle w:val="StyleBoldUnderline"/>
          <w:highlight w:val="cyan"/>
        </w:rPr>
        <w:t xml:space="preserve">Economic engagement policies </w:t>
      </w:r>
      <w:r w:rsidRPr="00187F28">
        <w:rPr>
          <w:sz w:val="16"/>
        </w:rPr>
        <w:t xml:space="preserve">are strategic integration </w:t>
      </w:r>
      <w:proofErr w:type="spellStart"/>
      <w:r w:rsidRPr="00187F28">
        <w:rPr>
          <w:sz w:val="16"/>
        </w:rPr>
        <w:t>behaviour</w:t>
      </w:r>
      <w:proofErr w:type="spellEnd"/>
      <w:r w:rsidRPr="00187F28">
        <w:rPr>
          <w:sz w:val="16"/>
        </w:rPr>
        <w:t xml:space="preserve"> which</w:t>
      </w:r>
      <w:r w:rsidRPr="00245D28">
        <w:rPr>
          <w:rStyle w:val="StyleBoldUnderline"/>
          <w:highlight w:val="cyan"/>
        </w:rPr>
        <w:t xml:space="preserve"> involve</w:t>
      </w:r>
      <w:r w:rsidRPr="00187F28">
        <w:rPr>
          <w:sz w:val="16"/>
        </w:rPr>
        <w:t>s with</w:t>
      </w:r>
      <w:r w:rsidRPr="00245D28">
        <w:rPr>
          <w:rStyle w:val="StyleBoldUnderline"/>
          <w:highlight w:val="cyan"/>
        </w:rPr>
        <w:t xml:space="preserve"> the target state</w:t>
      </w:r>
    </w:p>
    <w:p w:rsidR="009F40FD" w:rsidRDefault="009F40FD" w:rsidP="009F40FD">
      <w:pPr>
        <w:rPr>
          <w:rStyle w:val="StyleBoldUnderline"/>
          <w:highlight w:val="cyan"/>
        </w:rPr>
      </w:pPr>
      <w:r>
        <w:rPr>
          <w:rStyle w:val="StyleBoldUnderline"/>
          <w:highlight w:val="cyan"/>
        </w:rPr>
        <w:t>AND</w:t>
      </w:r>
    </w:p>
    <w:p w:rsidR="009F40FD" w:rsidRPr="00187F28" w:rsidRDefault="009F40FD" w:rsidP="009F40FD">
      <w:pPr>
        <w:rPr>
          <w:sz w:val="16"/>
        </w:rPr>
      </w:pPr>
      <w:r w:rsidRPr="00187F28">
        <w:rPr>
          <w:i/>
          <w:sz w:val="16"/>
        </w:rPr>
        <w:t>position of one state affects the position of others in the same direction</w:t>
      </w:r>
      <w:r w:rsidRPr="00187F28">
        <w:rPr>
          <w:sz w:val="16"/>
        </w:rPr>
        <w:t>.</w:t>
      </w:r>
    </w:p>
    <w:p w:rsidR="009F40FD" w:rsidRDefault="009F40FD" w:rsidP="009F40FD">
      <w:pPr>
        <w:ind w:right="288"/>
        <w:rPr>
          <w:sz w:val="16"/>
        </w:rPr>
      </w:pPr>
    </w:p>
    <w:p w:rsidR="009F40FD" w:rsidRPr="008835F3" w:rsidRDefault="009F40FD" w:rsidP="009F40FD">
      <w:pPr>
        <w:pStyle w:val="Heading4"/>
      </w:pPr>
      <w:r w:rsidRPr="00C13F56">
        <w:t xml:space="preserve">A general subject isn’t enough—debate requires a </w:t>
      </w:r>
      <w:r w:rsidRPr="00C13F56">
        <w:rPr>
          <w:u w:val="single"/>
        </w:rPr>
        <w:t>specific point of difference</w:t>
      </w:r>
      <w:r>
        <w:t xml:space="preserve"> with fairly and predictably divided ground in order to promote effective exchange – that’s key to inculcate decision making and advocacy skills</w:t>
      </w:r>
    </w:p>
    <w:p w:rsidR="009F40FD" w:rsidRPr="0055383D" w:rsidRDefault="009F40FD" w:rsidP="009F40FD">
      <w:pPr>
        <w:rPr>
          <w:b/>
          <w:bCs/>
        </w:rPr>
      </w:pPr>
      <w:r w:rsidRPr="006D2B6F">
        <w:rPr>
          <w:rStyle w:val="StyleStyleBold12pt"/>
        </w:rPr>
        <w:t xml:space="preserve">Steinberg and </w:t>
      </w:r>
      <w:proofErr w:type="spellStart"/>
      <w:r w:rsidRPr="006D2B6F">
        <w:rPr>
          <w:rStyle w:val="StyleStyleBold12pt"/>
        </w:rPr>
        <w:t>Freeley</w:t>
      </w:r>
      <w:proofErr w:type="spellEnd"/>
      <w:r w:rsidRPr="006D2B6F">
        <w:rPr>
          <w:rStyle w:val="StyleStyleBold12pt"/>
        </w:rPr>
        <w:t xml:space="preserve"> 13</w:t>
      </w:r>
      <w:r w:rsidRPr="006D2B6F">
        <w:t xml:space="preserve">, </w:t>
      </w:r>
      <w:r w:rsidRPr="00CF04B8">
        <w:t xml:space="preserve">* David, Lecturer in Communication studies and rhetoric. Advisor to Miami Urban Debate League. Director of Debate at U Miami, Former President of CEDA. And ** Austin, attorney who focuses on criminal, personal injury and civil rights law, JD, Suffolk University, Argumentation and Debate, Critical Thinking for Reasoned Decision Making, 121-4 </w:t>
      </w:r>
    </w:p>
    <w:p w:rsidR="009F40FD" w:rsidRDefault="009F40FD" w:rsidP="009F40FD">
      <w:pPr>
        <w:rPr>
          <w:sz w:val="14"/>
        </w:rPr>
      </w:pPr>
      <w:r w:rsidRPr="00382B73">
        <w:rPr>
          <w:rStyle w:val="StyleBoldUnderline"/>
          <w:highlight w:val="yellow"/>
        </w:rPr>
        <w:t xml:space="preserve">Debate is a means of </w:t>
      </w:r>
      <w:r w:rsidRPr="00382B73">
        <w:rPr>
          <w:rStyle w:val="Emphasis"/>
          <w:highlight w:val="yellow"/>
        </w:rPr>
        <w:t>settling differences</w:t>
      </w:r>
      <w:r w:rsidRPr="00382B73">
        <w:rPr>
          <w:rStyle w:val="StyleBoldUnderline"/>
          <w:highlight w:val="yellow"/>
        </w:rPr>
        <w:t>,</w:t>
      </w:r>
      <w:r w:rsidRPr="00382B73">
        <w:rPr>
          <w:sz w:val="14"/>
          <w:highlight w:val="yellow"/>
        </w:rPr>
        <w:t xml:space="preserve"> </w:t>
      </w:r>
      <w:r w:rsidRPr="00382B73">
        <w:rPr>
          <w:rStyle w:val="StyleBoldUnderline"/>
          <w:highlight w:val="yellow"/>
        </w:rPr>
        <w:t>so there must be a controversy</w:t>
      </w:r>
      <w:r w:rsidRPr="00352096">
        <w:rPr>
          <w:sz w:val="14"/>
        </w:rPr>
        <w:t xml:space="preserve">, </w:t>
      </w:r>
    </w:p>
    <w:p w:rsidR="009F40FD" w:rsidRDefault="009F40FD" w:rsidP="009F40FD">
      <w:pPr>
        <w:rPr>
          <w:sz w:val="14"/>
        </w:rPr>
      </w:pPr>
      <w:r>
        <w:rPr>
          <w:sz w:val="14"/>
        </w:rPr>
        <w:t>AND</w:t>
      </w:r>
    </w:p>
    <w:p w:rsidR="009F40FD" w:rsidRPr="005602F6" w:rsidRDefault="009F40FD" w:rsidP="009F40FD">
      <w:pPr>
        <w:rPr>
          <w:sz w:val="14"/>
        </w:rPr>
      </w:pPr>
      <w:r w:rsidRPr="00382B73">
        <w:rPr>
          <w:rStyle w:val="Emphasis"/>
          <w:highlight w:val="yellow"/>
        </w:rPr>
        <w:t>particular point of difference</w:t>
      </w:r>
      <w:r w:rsidRPr="00352096">
        <w:rPr>
          <w:sz w:val="14"/>
        </w:rPr>
        <w:t>, which will be outlined in the following discussion.</w:t>
      </w:r>
    </w:p>
    <w:p w:rsidR="009F40FD" w:rsidRDefault="009F40FD" w:rsidP="009F40FD">
      <w:pPr>
        <w:pStyle w:val="Heading4"/>
      </w:pPr>
      <w:r>
        <w:lastRenderedPageBreak/>
        <w:t>That’s key to social improvements in every and all facets of life – only portable skill means our framework turns case</w:t>
      </w:r>
    </w:p>
    <w:p w:rsidR="009F40FD" w:rsidRPr="009139CA" w:rsidRDefault="009F40FD" w:rsidP="009F40FD">
      <w:r w:rsidRPr="00462A4E">
        <w:rPr>
          <w:rStyle w:val="StyleStyleBold12pt"/>
        </w:rPr>
        <w:t xml:space="preserve">Steinberg &amp; </w:t>
      </w:r>
      <w:proofErr w:type="spellStart"/>
      <w:r w:rsidRPr="00462A4E">
        <w:rPr>
          <w:rStyle w:val="StyleStyleBold12pt"/>
        </w:rPr>
        <w:t>Freeley</w:t>
      </w:r>
      <w:proofErr w:type="spellEnd"/>
      <w:r w:rsidRPr="00462A4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9F40FD" w:rsidRDefault="009F40FD" w:rsidP="009F40FD">
      <w:pPr>
        <w:rPr>
          <w:rStyle w:val="TitleChar"/>
          <w:highlight w:val="yellow"/>
        </w:rPr>
      </w:pPr>
    </w:p>
    <w:p w:rsidR="009F40FD" w:rsidRDefault="009F40FD" w:rsidP="009F40FD">
      <w:pPr>
        <w:rPr>
          <w:rStyle w:val="Emphasis"/>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p>
    <w:p w:rsidR="009F40FD" w:rsidRDefault="009F40FD" w:rsidP="009F40FD">
      <w:pPr>
        <w:rPr>
          <w:rStyle w:val="Emphasis"/>
        </w:rPr>
      </w:pPr>
      <w:r>
        <w:rPr>
          <w:rStyle w:val="Emphasis"/>
        </w:rPr>
        <w:t>AND</w:t>
      </w:r>
    </w:p>
    <w:p w:rsidR="009F40FD" w:rsidRDefault="009F40FD" w:rsidP="009F40FD">
      <w:r w:rsidRPr="006C6F1A">
        <w:rPr>
          <w:rStyle w:val="TitleChar"/>
        </w:rPr>
        <w:t>in our intelligent self-interest to reach these decisions through reasoned debate.</w:t>
      </w:r>
    </w:p>
    <w:p w:rsidR="009F40FD" w:rsidRPr="0079784A" w:rsidRDefault="009F40FD" w:rsidP="009F40FD"/>
    <w:p w:rsidR="009F40FD" w:rsidRDefault="009F40FD" w:rsidP="009F40FD">
      <w:pPr>
        <w:pStyle w:val="Heading4"/>
      </w:pPr>
      <w:r w:rsidRPr="00850F8E">
        <w:t>Their framework’s exclusive, moralizing presupposition that they have to be outside of the state prevents self-reflexivity and results in the total breakdown of dialogue and engagement</w:t>
      </w:r>
    </w:p>
    <w:p w:rsidR="009F40FD" w:rsidRPr="00914FEB" w:rsidRDefault="009F40FD" w:rsidP="009F40FD">
      <w:pPr>
        <w:rPr>
          <w:rStyle w:val="StyleStyleBold12pt"/>
          <w:sz w:val="16"/>
        </w:rPr>
      </w:pPr>
      <w:r w:rsidRPr="00914FEB">
        <w:rPr>
          <w:rStyle w:val="StyleStyleBold12pt"/>
        </w:rPr>
        <w:t>Keenan, 1998</w:t>
      </w:r>
      <w:r w:rsidRPr="00914FEB">
        <w:rPr>
          <w:rStyle w:val="StyleStyleBold12pt"/>
          <w:sz w:val="16"/>
        </w:rPr>
        <w:t xml:space="preserve"> (Alan, Ph.D., Member of the Committee on Degrees in Social Studies at Harvard University, Theory and Event, Vol. 2 No. 1, http://muse.jhu.edu.proxy2.cl.msu.edu/journals/theory_and_event/v002/2.1keenan.html)</w:t>
      </w:r>
    </w:p>
    <w:p w:rsidR="009F40FD" w:rsidRPr="00850F8E" w:rsidRDefault="009F40FD" w:rsidP="009F40FD">
      <w:pPr>
        <w:rPr>
          <w:smallCaps/>
        </w:rPr>
      </w:pPr>
    </w:p>
    <w:p w:rsidR="009F40FD" w:rsidRDefault="009F40FD" w:rsidP="009F40FD">
      <w:pPr>
        <w:rPr>
          <w:sz w:val="16"/>
        </w:rPr>
      </w:pPr>
      <w:r w:rsidRPr="00850F8E">
        <w:rPr>
          <w:sz w:val="16"/>
        </w:rPr>
        <w:t xml:space="preserve">The anti-political nature of guilt, in turn, helps explain the political </w:t>
      </w:r>
    </w:p>
    <w:p w:rsidR="009F40FD" w:rsidRDefault="009F40FD" w:rsidP="009F40FD">
      <w:pPr>
        <w:rPr>
          <w:sz w:val="16"/>
        </w:rPr>
      </w:pPr>
      <w:r>
        <w:rPr>
          <w:sz w:val="16"/>
        </w:rPr>
        <w:t>AND</w:t>
      </w:r>
    </w:p>
    <w:p w:rsidR="009F40FD" w:rsidRPr="00E21883" w:rsidRDefault="009F40FD" w:rsidP="009F40FD">
      <w:pPr>
        <w:rPr>
          <w:sz w:val="16"/>
        </w:rPr>
      </w:pPr>
      <w:r w:rsidRPr="00850F8E">
        <w:rPr>
          <w:sz w:val="16"/>
        </w:rPr>
        <w:t xml:space="preserve">their belief in the futility, </w:t>
      </w:r>
      <w:proofErr w:type="spellStart"/>
      <w:r w:rsidRPr="00850F8E">
        <w:rPr>
          <w:sz w:val="16"/>
        </w:rPr>
        <w:t>aggressivity</w:t>
      </w:r>
      <w:proofErr w:type="spellEnd"/>
      <w:r w:rsidRPr="00850F8E">
        <w:rPr>
          <w:sz w:val="16"/>
        </w:rPr>
        <w:t>, and dreariness of political action.</w:t>
      </w:r>
    </w:p>
    <w:p w:rsidR="009F40FD" w:rsidRPr="0079784A" w:rsidRDefault="009F40FD" w:rsidP="009F40FD">
      <w:pPr>
        <w:pStyle w:val="Heading4"/>
      </w:pPr>
      <w:r>
        <w:t xml:space="preserve">Self-reflexivity is </w:t>
      </w:r>
      <w:r w:rsidRPr="0079784A">
        <w:t>vital to preventing mass violence and genocide</w:t>
      </w:r>
    </w:p>
    <w:p w:rsidR="009F40FD" w:rsidRPr="0079784A" w:rsidRDefault="009F40FD" w:rsidP="009F40FD">
      <w:r w:rsidRPr="0079784A">
        <w:t xml:space="preserve">Patricia </w:t>
      </w:r>
      <w:r w:rsidRPr="0079784A">
        <w:rPr>
          <w:rStyle w:val="CiteChar"/>
        </w:rPr>
        <w:t>Roberts-Miller 3</w:t>
      </w:r>
      <w:r w:rsidRPr="0079784A">
        <w:t xml:space="preserve"> is Associate Professor of Rhetoric at the University of Texas "Fighting Without </w:t>
      </w:r>
      <w:proofErr w:type="spellStart"/>
      <w:r w:rsidRPr="0079784A">
        <w:t>Hatred:Hannah</w:t>
      </w:r>
      <w:proofErr w:type="spellEnd"/>
      <w:r w:rsidRPr="0079784A">
        <w:t xml:space="preserve"> </w:t>
      </w:r>
      <w:proofErr w:type="spellStart"/>
      <w:r w:rsidRPr="0079784A">
        <w:t>Ar</w:t>
      </w:r>
      <w:proofErr w:type="spellEnd"/>
      <w:r w:rsidRPr="0079784A">
        <w:t xml:space="preserve"> </w:t>
      </w:r>
      <w:proofErr w:type="spellStart"/>
      <w:r w:rsidRPr="0079784A">
        <w:t>endt</w:t>
      </w:r>
      <w:proofErr w:type="spellEnd"/>
      <w:r w:rsidRPr="0079784A">
        <w:t xml:space="preserve"> ' s Agonistic Rhetoric" JAC 22.2 2003</w:t>
      </w:r>
    </w:p>
    <w:p w:rsidR="009F40FD" w:rsidRPr="0079784A" w:rsidRDefault="009F40FD" w:rsidP="009F40FD">
      <w:r w:rsidRPr="0079784A">
        <w:t xml:space="preserve">Totalitarianism and the Competitive Space of </w:t>
      </w:r>
      <w:proofErr w:type="spellStart"/>
      <w:r w:rsidRPr="0079784A">
        <w:t>Agonism</w:t>
      </w:r>
      <w:proofErr w:type="spellEnd"/>
    </w:p>
    <w:p w:rsidR="009F40FD" w:rsidRPr="0079784A" w:rsidRDefault="009F40FD" w:rsidP="009F40FD">
      <w:pPr>
        <w:pStyle w:val="cardtext"/>
        <w:ind w:left="0"/>
        <w:rPr>
          <w:rStyle w:val="StyleBoldUnderline"/>
        </w:rPr>
      </w:pPr>
    </w:p>
    <w:p w:rsidR="009F40FD" w:rsidRDefault="009F40FD" w:rsidP="009F40FD">
      <w:r w:rsidRPr="0079784A">
        <w:t xml:space="preserve">Arendt is probably most famous for her analysis of totalitarianism (especially her The Origins </w:t>
      </w:r>
    </w:p>
    <w:p w:rsidR="009F40FD" w:rsidRDefault="009F40FD" w:rsidP="009F40FD">
      <w:r>
        <w:t>AND</w:t>
      </w:r>
    </w:p>
    <w:p w:rsidR="009F40FD" w:rsidRPr="0079784A" w:rsidRDefault="009F40FD" w:rsidP="009F40FD">
      <w:pPr>
        <w:rPr>
          <w:rStyle w:val="StyleBoldUnderline"/>
        </w:rPr>
      </w:pPr>
      <w:r w:rsidRPr="0079784A">
        <w:rPr>
          <w:rStyle w:val="StyleBoldUnderline"/>
        </w:rPr>
        <w:t xml:space="preserve">not relativist, adversarial but not violent, independent but not </w:t>
      </w:r>
      <w:proofErr w:type="spellStart"/>
      <w:r w:rsidRPr="0079784A">
        <w:rPr>
          <w:rStyle w:val="StyleBoldUnderline"/>
        </w:rPr>
        <w:t>expressivist</w:t>
      </w:r>
      <w:proofErr w:type="spellEnd"/>
      <w:r w:rsidRPr="0079784A">
        <w:rPr>
          <w:rStyle w:val="StyleBoldUnderline"/>
        </w:rPr>
        <w:t xml:space="preserve"> rhetoric.</w:t>
      </w:r>
    </w:p>
    <w:p w:rsidR="009F40FD" w:rsidRPr="0079784A" w:rsidRDefault="009F40FD" w:rsidP="009F40FD">
      <w:pPr>
        <w:pStyle w:val="cardtext"/>
        <w:rPr>
          <w:rStyle w:val="StyleBoldUnderline"/>
        </w:rPr>
      </w:pPr>
    </w:p>
    <w:p w:rsidR="009F40FD" w:rsidRPr="00551181" w:rsidRDefault="009F40FD" w:rsidP="009F40FD">
      <w:pPr>
        <w:pStyle w:val="Heading4"/>
      </w:pPr>
      <w:r>
        <w:t xml:space="preserve">Switch-side is key to effective deliberative discourse – </w:t>
      </w:r>
      <w:r w:rsidRPr="00551181">
        <w:t>forces critical thinking and better advocacy of one’s positions</w:t>
      </w:r>
    </w:p>
    <w:p w:rsidR="009F40FD" w:rsidRPr="00847839" w:rsidRDefault="009F40FD" w:rsidP="009F40FD">
      <w:r>
        <w:rPr>
          <w:rStyle w:val="StyleStyleBold12pt"/>
        </w:rPr>
        <w:t xml:space="preserve">Keller et al </w:t>
      </w:r>
      <w:r w:rsidRPr="00847839">
        <w:rPr>
          <w:rStyle w:val="StyleStyleBold12pt"/>
        </w:rPr>
        <w:t>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rsidR="009F40FD" w:rsidRDefault="009F40FD" w:rsidP="009F40FD">
      <w:pPr>
        <w:pStyle w:val="cardtext"/>
        <w:rPr>
          <w:sz w:val="16"/>
        </w:rPr>
      </w:pPr>
      <w:r w:rsidRPr="007813EB">
        <w:rPr>
          <w:sz w:val="16"/>
        </w:rPr>
        <w:t xml:space="preserve">SOCIAL WORKERS HAVE a professional responsibility to shape social policy and legislation (National Association </w:t>
      </w:r>
    </w:p>
    <w:p w:rsidR="009F40FD" w:rsidRDefault="009F40FD" w:rsidP="009F40FD">
      <w:pPr>
        <w:pStyle w:val="cardtext"/>
        <w:rPr>
          <w:sz w:val="16"/>
        </w:rPr>
      </w:pPr>
      <w:r>
        <w:rPr>
          <w:sz w:val="16"/>
        </w:rPr>
        <w:t>AND</w:t>
      </w:r>
    </w:p>
    <w:p w:rsidR="009F40FD" w:rsidRDefault="009F40FD" w:rsidP="009F40FD">
      <w:pPr>
        <w:pStyle w:val="cardtext"/>
        <w:rPr>
          <w:u w:val="single"/>
        </w:rPr>
      </w:pPr>
      <w:r w:rsidRPr="00D1099A">
        <w:rPr>
          <w:u w:val="single"/>
        </w:rPr>
        <w:t xml:space="preserve">yield a </w:t>
      </w:r>
      <w:r w:rsidRPr="00D1099A">
        <w:rPr>
          <w:u w:val="single"/>
          <w:bdr w:val="single" w:sz="4" w:space="0" w:color="auto"/>
        </w:rPr>
        <w:t>reevaluation and reconstruction of knowledge</w:t>
      </w:r>
      <w:r w:rsidRPr="00D1099A">
        <w:rPr>
          <w:u w:val="single"/>
        </w:rPr>
        <w:t xml:space="preserve"> and beliefs pertaining to the</w:t>
      </w:r>
      <w:r w:rsidRPr="008B34B9">
        <w:rPr>
          <w:u w:val="single"/>
        </w:rPr>
        <w:t xml:space="preserve"> issue. </w:t>
      </w:r>
    </w:p>
    <w:p w:rsidR="009F40FD" w:rsidRDefault="009F40FD" w:rsidP="009F40FD">
      <w:pPr>
        <w:pStyle w:val="cardtext"/>
        <w:ind w:left="0"/>
        <w:rPr>
          <w:u w:val="single"/>
        </w:rPr>
      </w:pPr>
    </w:p>
    <w:p w:rsidR="009F40FD" w:rsidRPr="0079784A" w:rsidRDefault="009F40FD" w:rsidP="009F40FD">
      <w:pPr>
        <w:pStyle w:val="Heading4"/>
      </w:pPr>
      <w:r>
        <w:t>That’s the lynchpin of</w:t>
      </w:r>
      <w:r w:rsidRPr="0079784A">
        <w:t xml:space="preserve"> solving all existential </w:t>
      </w:r>
      <w:r>
        <w:t>problems</w:t>
      </w:r>
      <w:r w:rsidRPr="0079784A">
        <w:t xml:space="preserve"> ---our K turns the whole case</w:t>
      </w:r>
    </w:p>
    <w:p w:rsidR="009F40FD" w:rsidRPr="0042103B" w:rsidRDefault="009F40FD" w:rsidP="009F40FD">
      <w:pPr>
        <w:rPr>
          <w:sz w:val="16"/>
        </w:rPr>
      </w:pPr>
      <w:r w:rsidRPr="0042103B">
        <w:rPr>
          <w:sz w:val="16"/>
        </w:rPr>
        <w:t xml:space="preserve">Christian O. </w:t>
      </w:r>
      <w:r w:rsidRPr="0079784A">
        <w:rPr>
          <w:rStyle w:val="CiteChar"/>
        </w:rPr>
        <w:t>Lundberg 10</w:t>
      </w:r>
      <w:r w:rsidRPr="0042103B">
        <w:rPr>
          <w:sz w:val="16"/>
        </w:rPr>
        <w:t xml:space="preserve"> Professor of Communications @ University of North Carolina, Chapel Hill, “Tradition of Debate in North Carolina” in </w:t>
      </w:r>
      <w:r w:rsidRPr="0042103B">
        <w:rPr>
          <w:rStyle w:val="StyleBoldUnderline"/>
        </w:rPr>
        <w:t>Navigating Opportunity: Policy Debate in the 21st Century</w:t>
      </w:r>
      <w:r w:rsidRPr="0042103B">
        <w:rPr>
          <w:sz w:val="16"/>
        </w:rPr>
        <w:t xml:space="preserve"> By Allan D. </w:t>
      </w:r>
      <w:proofErr w:type="spellStart"/>
      <w:r w:rsidRPr="0042103B">
        <w:rPr>
          <w:sz w:val="16"/>
        </w:rPr>
        <w:t>Louden</w:t>
      </w:r>
      <w:proofErr w:type="spellEnd"/>
      <w:r w:rsidRPr="0042103B">
        <w:rPr>
          <w:sz w:val="16"/>
        </w:rPr>
        <w:t>, p311</w:t>
      </w:r>
    </w:p>
    <w:p w:rsidR="009F40FD" w:rsidRPr="0042103B" w:rsidRDefault="009F40FD" w:rsidP="009F40FD">
      <w:pPr>
        <w:pStyle w:val="cardtext"/>
        <w:ind w:left="0"/>
        <w:rPr>
          <w:rFonts w:ascii="Arial Narrow" w:hAnsi="Arial Narrow"/>
          <w:sz w:val="16"/>
        </w:rPr>
      </w:pPr>
    </w:p>
    <w:p w:rsidR="009F40FD" w:rsidRDefault="009F40FD" w:rsidP="009F40FD">
      <w:pPr>
        <w:pStyle w:val="cardtext"/>
        <w:ind w:left="0"/>
        <w:rPr>
          <w:rFonts w:ascii="Arial Narrow" w:hAnsi="Arial Narrow"/>
          <w:sz w:val="16"/>
        </w:rPr>
      </w:pPr>
      <w:r w:rsidRPr="0042103B">
        <w:rPr>
          <w:rFonts w:ascii="Arial Narrow" w:hAnsi="Arial Narrow"/>
          <w:sz w:val="16"/>
        </w:rPr>
        <w:t xml:space="preserve">The second major problem with the critique that identifies a naivety in articulating debate and </w:t>
      </w:r>
    </w:p>
    <w:p w:rsidR="009F40FD" w:rsidRDefault="009F40FD" w:rsidP="009F40FD">
      <w:pPr>
        <w:pStyle w:val="cardtext"/>
        <w:ind w:left="0"/>
        <w:rPr>
          <w:rFonts w:ascii="Arial Narrow" w:hAnsi="Arial Narrow"/>
          <w:sz w:val="16"/>
        </w:rPr>
      </w:pPr>
      <w:r>
        <w:rPr>
          <w:rFonts w:ascii="Arial Narrow" w:hAnsi="Arial Narrow"/>
          <w:sz w:val="16"/>
        </w:rPr>
        <w:t>AND</w:t>
      </w:r>
    </w:p>
    <w:p w:rsidR="009F40FD" w:rsidRPr="0042103B" w:rsidRDefault="009F40FD" w:rsidP="009F40FD">
      <w:pPr>
        <w:pStyle w:val="cardtext"/>
        <w:ind w:left="0"/>
        <w:rPr>
          <w:rFonts w:ascii="Arial Narrow" w:hAnsi="Arial Narrow"/>
          <w:sz w:val="16"/>
        </w:rPr>
      </w:pPr>
      <w:r w:rsidRPr="0079784A">
        <w:rPr>
          <w:rStyle w:val="StyleBoldUnderline"/>
          <w:highlight w:val="yellow"/>
        </w:rPr>
        <w:lastRenderedPageBreak/>
        <w:t xml:space="preserve">with </w:t>
      </w:r>
      <w:r w:rsidRPr="0042103B">
        <w:rPr>
          <w:rFonts w:ascii="Arial Narrow" w:hAnsi="Arial Narrow"/>
          <w:sz w:val="16"/>
        </w:rPr>
        <w:t xml:space="preserve">the </w:t>
      </w:r>
      <w:r w:rsidRPr="0079784A">
        <w:rPr>
          <w:rStyle w:val="StyleBoldUnderline"/>
          <w:highlight w:val="yellow"/>
          <w:bdr w:val="single" w:sz="4" w:space="0" w:color="auto"/>
        </w:rPr>
        <w:t>existential challenges</w:t>
      </w:r>
      <w:r w:rsidRPr="0042103B">
        <w:rPr>
          <w:rFonts w:ascii="Arial Narrow" w:hAnsi="Arial Narrow"/>
          <w:sz w:val="16"/>
        </w:rPr>
        <w:t xml:space="preserve"> to democracy [in an] increasingly complex world. </w:t>
      </w:r>
    </w:p>
    <w:p w:rsidR="009F40FD" w:rsidRDefault="009F40FD" w:rsidP="009F40FD">
      <w:pPr>
        <w:pStyle w:val="Heading4"/>
      </w:pPr>
      <w:r w:rsidRPr="0034175E">
        <w:t xml:space="preserve">And independently a voting issue for </w:t>
      </w:r>
      <w:r>
        <w:t xml:space="preserve">fairness – monopolizing strategy makes discussion one-sided and </w:t>
      </w:r>
      <w:r>
        <w:rPr>
          <w:u w:val="single"/>
        </w:rPr>
        <w:t xml:space="preserve">subverts inclusion of the </w:t>
      </w:r>
      <w:proofErr w:type="spellStart"/>
      <w:r>
        <w:rPr>
          <w:u w:val="single"/>
        </w:rPr>
        <w:t>neg</w:t>
      </w:r>
      <w:proofErr w:type="spellEnd"/>
      <w:r>
        <w:rPr>
          <w:u w:val="single"/>
        </w:rPr>
        <w:t xml:space="preserve"> </w:t>
      </w:r>
      <w:r w:rsidRPr="00C0144D">
        <w:t>– it’s a prior question and</w:t>
      </w:r>
      <w:r>
        <w:rPr>
          <w:u w:val="single"/>
        </w:rPr>
        <w:t xml:space="preserve"> </w:t>
      </w:r>
      <w:r w:rsidRPr="00C0144D">
        <w:t xml:space="preserve">means they shouldn’t get to weigh the </w:t>
      </w:r>
      <w:proofErr w:type="spellStart"/>
      <w:r w:rsidRPr="00C0144D">
        <w:t>aff</w:t>
      </w:r>
      <w:proofErr w:type="spellEnd"/>
    </w:p>
    <w:p w:rsidR="009F40FD" w:rsidRDefault="009F40FD" w:rsidP="009F40FD">
      <w:r>
        <w:rPr>
          <w:rStyle w:val="StyleStyleBold12pt"/>
        </w:rPr>
        <w:t>Galloway 7</w:t>
      </w:r>
      <w:r>
        <w:t xml:space="preserve">—Samford </w:t>
      </w:r>
      <w:proofErr w:type="spellStart"/>
      <w:r>
        <w:t>Comm</w:t>
      </w:r>
      <w:proofErr w:type="spellEnd"/>
      <w:r>
        <w:t xml:space="preserve"> </w:t>
      </w:r>
      <w:proofErr w:type="spellStart"/>
      <w:r>
        <w:t>prof</w:t>
      </w:r>
      <w:proofErr w:type="spellEnd"/>
      <w:r>
        <w:t xml:space="preserve"> (Ryan, Contemporary Argumentation and Debate, Vol. 28, 2007)</w:t>
      </w:r>
    </w:p>
    <w:p w:rsidR="009F40FD" w:rsidRDefault="009F40FD" w:rsidP="009F40FD">
      <w:pPr>
        <w:rPr>
          <w:sz w:val="16"/>
        </w:rPr>
      </w:pPr>
      <w:r>
        <w:rPr>
          <w:highlight w:val="yellow"/>
          <w:u w:val="single"/>
        </w:rPr>
        <w:t xml:space="preserve">Debate as a dialogue </w:t>
      </w:r>
      <w:r>
        <w:rPr>
          <w:sz w:val="16"/>
        </w:rPr>
        <w:t xml:space="preserve">sets an argumentative table, where all parties receive a relatively </w:t>
      </w:r>
    </w:p>
    <w:p w:rsidR="009F40FD" w:rsidRDefault="009F40FD" w:rsidP="009F40FD">
      <w:pPr>
        <w:rPr>
          <w:sz w:val="16"/>
        </w:rPr>
      </w:pPr>
      <w:r>
        <w:rPr>
          <w:sz w:val="16"/>
        </w:rPr>
        <w:t>AND</w:t>
      </w:r>
    </w:p>
    <w:p w:rsidR="009F40FD" w:rsidRPr="00C0144D" w:rsidRDefault="009F40FD" w:rsidP="009F40FD">
      <w:pPr>
        <w:rPr>
          <w:sz w:val="16"/>
        </w:rPr>
      </w:pPr>
      <w:r>
        <w:rPr>
          <w:b/>
          <w:u w:val="single"/>
          <w:bdr w:val="single" w:sz="4" w:space="0" w:color="auto" w:frame="1"/>
        </w:rPr>
        <w:t xml:space="preserve">substitutes for topical action </w:t>
      </w:r>
      <w:r>
        <w:rPr>
          <w:b/>
          <w:highlight w:val="yellow"/>
          <w:u w:val="single"/>
          <w:bdr w:val="single" w:sz="4" w:space="0" w:color="auto" w:frame="1"/>
        </w:rPr>
        <w:t xml:space="preserve">do not accrue </w:t>
      </w:r>
      <w:r>
        <w:rPr>
          <w:b/>
          <w:u w:val="single"/>
          <w:bdr w:val="single" w:sz="4" w:space="0" w:color="auto" w:frame="1"/>
        </w:rPr>
        <w:t xml:space="preserve">the </w:t>
      </w:r>
      <w:r>
        <w:rPr>
          <w:b/>
          <w:highlight w:val="yellow"/>
          <w:u w:val="single"/>
          <w:bdr w:val="single" w:sz="4" w:space="0" w:color="auto" w:frame="1"/>
        </w:rPr>
        <w:t>dialogical benefits</w:t>
      </w:r>
      <w:r>
        <w:rPr>
          <w:u w:val="single"/>
        </w:rPr>
        <w:t xml:space="preserve"> of topical advocacy</w:t>
      </w:r>
      <w:r>
        <w:rPr>
          <w:sz w:val="16"/>
        </w:rPr>
        <w:t>.</w:t>
      </w:r>
    </w:p>
    <w:p w:rsidR="009F40FD" w:rsidRPr="00460E88" w:rsidRDefault="009F40FD" w:rsidP="009F40FD">
      <w:pPr>
        <w:pStyle w:val="Heading4"/>
        <w:rPr>
          <w:rFonts w:eastAsia="Calibri"/>
        </w:rPr>
      </w:pPr>
      <w:r>
        <w:rPr>
          <w:rFonts w:eastAsia="Calibri"/>
        </w:rPr>
        <w:t>Fairness matters – only way to access social justice and a better debate community</w:t>
      </w:r>
    </w:p>
    <w:p w:rsidR="009F40FD" w:rsidRPr="008227D3" w:rsidRDefault="009F40FD" w:rsidP="009F40FD">
      <w:pPr>
        <w:rPr>
          <w:rStyle w:val="StyleStyleBold12pt"/>
        </w:rPr>
      </w:pPr>
      <w:r w:rsidRPr="008227D3">
        <w:rPr>
          <w:rStyle w:val="StyleStyleBold12pt"/>
        </w:rPr>
        <w:t>Rawls 99</w:t>
      </w:r>
      <w:r w:rsidRPr="008227D3">
        <w:rPr>
          <w:rStyle w:val="StyleStyleBold12pt"/>
        </w:rPr>
        <w:tab/>
      </w:r>
    </w:p>
    <w:p w:rsidR="009F40FD" w:rsidRDefault="009F40FD" w:rsidP="009F40FD">
      <w:pPr>
        <w:rPr>
          <w:rStyle w:val="StyleStyleBold12pt"/>
        </w:rPr>
      </w:pPr>
      <w:r w:rsidRPr="008227D3">
        <w:rPr>
          <w:rStyle w:val="StyleStyleBold12pt"/>
        </w:rPr>
        <w:t>[John Rawls, Professor of Political Philosophy at Harvard University “A Theory of Justice. Revised ed.” Harvard University Press, 1999.]</w:t>
      </w:r>
    </w:p>
    <w:p w:rsidR="009F40FD" w:rsidRPr="008227D3" w:rsidRDefault="009F40FD" w:rsidP="009F40FD">
      <w:pPr>
        <w:rPr>
          <w:rStyle w:val="StyleStyleBold12pt"/>
        </w:rPr>
      </w:pPr>
    </w:p>
    <w:p w:rsidR="009F40FD" w:rsidRDefault="009F40FD" w:rsidP="009F40FD">
      <w:pPr>
        <w:rPr>
          <w:sz w:val="12"/>
        </w:rPr>
      </w:pPr>
      <w:r w:rsidRPr="007F5E52">
        <w:rPr>
          <w:sz w:val="12"/>
        </w:rPr>
        <w:t xml:space="preserve">One should not be misled, then, by the somewhat unusual conditions which characterize </w:t>
      </w:r>
    </w:p>
    <w:p w:rsidR="009F40FD" w:rsidRDefault="009F40FD" w:rsidP="009F40FD">
      <w:pPr>
        <w:rPr>
          <w:sz w:val="12"/>
        </w:rPr>
      </w:pPr>
      <w:r>
        <w:rPr>
          <w:sz w:val="12"/>
        </w:rPr>
        <w:t>AND</w:t>
      </w:r>
    </w:p>
    <w:p w:rsidR="009F40FD" w:rsidRDefault="009F40FD" w:rsidP="009F40FD">
      <w:r w:rsidRPr="00066413">
        <w:rPr>
          <w:rStyle w:val="StyleBoldUnderline"/>
          <w:highlight w:val="cyan"/>
        </w:rPr>
        <w:t>women] at odds and allows</w:t>
      </w:r>
      <w:r w:rsidRPr="007F5E52">
        <w:rPr>
          <w:rStyle w:val="StyleBoldUnderline"/>
        </w:rPr>
        <w:t xml:space="preserve"> </w:t>
      </w:r>
      <w:r w:rsidRPr="00066413">
        <w:rPr>
          <w:rStyle w:val="StyleBoldUnderline"/>
          <w:highlight w:val="cyan"/>
        </w:rPr>
        <w:t>them to be guided by their prejudices</w:t>
      </w:r>
      <w:r w:rsidRPr="007F5E52">
        <w:rPr>
          <w:rStyle w:val="StyleBoldUnderline"/>
        </w:rPr>
        <w:t>. </w:t>
      </w:r>
      <w:r>
        <w:t xml:space="preserve"> </w:t>
      </w:r>
    </w:p>
    <w:p w:rsidR="009F40FD" w:rsidRPr="00A2658D" w:rsidRDefault="009F40FD" w:rsidP="009F40FD">
      <w:pPr>
        <w:pStyle w:val="Heading2"/>
      </w:pPr>
      <w:r>
        <w:lastRenderedPageBreak/>
        <w:t>Engagement</w:t>
      </w:r>
    </w:p>
    <w:p w:rsidR="009F40FD" w:rsidRDefault="009F40FD" w:rsidP="009F40FD">
      <w:pPr>
        <w:pStyle w:val="Heading4"/>
      </w:pPr>
      <w:r>
        <w:t>Latin America improving now – inequality and poverty decreasing</w:t>
      </w:r>
    </w:p>
    <w:p w:rsidR="009F40FD" w:rsidRDefault="009F40FD" w:rsidP="009F40FD">
      <w:r w:rsidRPr="00945614">
        <w:rPr>
          <w:rStyle w:val="StyleStyleBold12pt"/>
        </w:rPr>
        <w:t>Ferreira 12</w:t>
      </w:r>
      <w:r>
        <w:t xml:space="preserve"> </w:t>
      </w:r>
      <w:r w:rsidRPr="00A2658D">
        <w:rPr>
          <w:sz w:val="16"/>
          <w:szCs w:val="16"/>
        </w:rPr>
        <w:t xml:space="preserve">(Francisco H. G. , head Economist at the World Bank's Research Department and a Research Fellow at the Institute for the Study of Labor (IZA, Bonn). During his World Bank career, he has also served as Deputy Chief Economist for Latin America and the Caribbean, and as a co-Director of the World Development Report 2006, on Equity and Development. He has published widely in the fields of poverty, inequality, and the political economy of development, and serves on the editorial boards of the Journal of Economic Inequality, the Review of Income and Wealth, the World Bank Economic Review and the Economic Analysis Review, Economic Mobility and the Rise of the Latin American Middle Class, Julian Messina, </w:t>
      </w:r>
      <w:proofErr w:type="spellStart"/>
      <w:r w:rsidRPr="00A2658D">
        <w:rPr>
          <w:sz w:val="16"/>
          <w:szCs w:val="16"/>
        </w:rPr>
        <w:t>Jamele</w:t>
      </w:r>
      <w:proofErr w:type="spellEnd"/>
      <w:r w:rsidRPr="00A2658D">
        <w:rPr>
          <w:sz w:val="16"/>
          <w:szCs w:val="16"/>
        </w:rPr>
        <w:t xml:space="preserve"> </w:t>
      </w:r>
      <w:proofErr w:type="spellStart"/>
      <w:r w:rsidRPr="00A2658D">
        <w:rPr>
          <w:sz w:val="16"/>
          <w:szCs w:val="16"/>
        </w:rPr>
        <w:t>Rigolini</w:t>
      </w:r>
      <w:proofErr w:type="spellEnd"/>
      <w:r w:rsidRPr="00A2658D">
        <w:rPr>
          <w:sz w:val="16"/>
          <w:szCs w:val="16"/>
        </w:rPr>
        <w:t>, Luis-Felipe Lopez-</w:t>
      </w:r>
      <w:proofErr w:type="spellStart"/>
      <w:r w:rsidRPr="00A2658D">
        <w:rPr>
          <w:sz w:val="16"/>
          <w:szCs w:val="16"/>
        </w:rPr>
        <w:t>Calva</w:t>
      </w:r>
      <w:proofErr w:type="spellEnd"/>
      <w:r w:rsidRPr="00A2658D">
        <w:rPr>
          <w:sz w:val="16"/>
          <w:szCs w:val="16"/>
        </w:rPr>
        <w:t xml:space="preserve">, Maria Ana Lugo, </w:t>
      </w:r>
      <w:proofErr w:type="spellStart"/>
      <w:r w:rsidRPr="00A2658D">
        <w:rPr>
          <w:sz w:val="16"/>
          <w:szCs w:val="16"/>
        </w:rPr>
        <w:t>Renos</w:t>
      </w:r>
      <w:proofErr w:type="spellEnd"/>
      <w:r w:rsidRPr="00A2658D">
        <w:rPr>
          <w:sz w:val="16"/>
          <w:szCs w:val="16"/>
        </w:rPr>
        <w:t xml:space="preserve"> </w:t>
      </w:r>
      <w:proofErr w:type="spellStart"/>
      <w:r w:rsidRPr="00A2658D">
        <w:rPr>
          <w:sz w:val="16"/>
          <w:szCs w:val="16"/>
        </w:rPr>
        <w:t>Vakis</w:t>
      </w:r>
      <w:proofErr w:type="spellEnd"/>
      <w:r w:rsidRPr="00A2658D">
        <w:rPr>
          <w:sz w:val="16"/>
          <w:szCs w:val="16"/>
        </w:rPr>
        <w:t xml:space="preserve">, Luis Felipe </w:t>
      </w:r>
      <w:proofErr w:type="spellStart"/>
      <w:r w:rsidRPr="00A2658D">
        <w:rPr>
          <w:sz w:val="16"/>
          <w:szCs w:val="16"/>
        </w:rPr>
        <w:t>Ló</w:t>
      </w:r>
      <w:proofErr w:type="spellEnd"/>
      <w:r w:rsidRPr="00A2658D">
        <w:rPr>
          <w:sz w:val="16"/>
          <w:szCs w:val="16"/>
        </w:rPr>
        <w:t xml:space="preserve">, </w:t>
      </w:r>
      <w:proofErr w:type="spellStart"/>
      <w:r w:rsidRPr="00A2658D">
        <w:rPr>
          <w:sz w:val="16"/>
          <w:szCs w:val="16"/>
        </w:rPr>
        <w:t>pez-Calva</w:t>
      </w:r>
      <w:proofErr w:type="spellEnd"/>
      <w:r w:rsidRPr="00A2658D">
        <w:rPr>
          <w:sz w:val="16"/>
          <w:szCs w:val="16"/>
        </w:rPr>
        <w:t xml:space="preserve">, Page xi, </w:t>
      </w:r>
      <w:hyperlink r:id="rId5" w:anchor="v=snippet&amp;q=%22decline%20in%20poverty%22&amp;f=false" w:history="1">
        <w:r w:rsidRPr="00A2658D">
          <w:rPr>
            <w:rStyle w:val="Hyperlink"/>
            <w:sz w:val="16"/>
            <w:szCs w:val="16"/>
          </w:rPr>
          <w:t>http://books.google.com/books?hl=en&amp;lr=&amp;id=BfGvmd4mSe0C&amp;oi=fnd&amp;pg=PP1&amp;dq=latin+america+progress+socioeconomic&amp;ots=rAMn0rJqxV&amp;sig=AKE8fOjyIlvJ2pqz3tpkluCV4os#v=snippet&amp;q=%22decline%20in%20poverty%22&amp;f=false</w:t>
        </w:r>
      </w:hyperlink>
      <w:r w:rsidRPr="00A2658D">
        <w:rPr>
          <w:sz w:val="16"/>
          <w:szCs w:val="16"/>
        </w:rPr>
        <w:t>)</w:t>
      </w:r>
    </w:p>
    <w:p w:rsidR="009F40FD" w:rsidRDefault="009F40FD" w:rsidP="009F40FD"/>
    <w:p w:rsidR="009F40FD" w:rsidRDefault="009F40FD" w:rsidP="009F40FD">
      <w:pPr>
        <w:rPr>
          <w:rStyle w:val="StyleBoldUnderline"/>
          <w:highlight w:val="yellow"/>
        </w:rPr>
      </w:pPr>
      <w:r w:rsidRPr="00B970B9">
        <w:rPr>
          <w:sz w:val="16"/>
        </w:rPr>
        <w:t xml:space="preserve">That remains true today: apart from South Africa and Swaziland. </w:t>
      </w:r>
      <w:r w:rsidRPr="001E6327">
        <w:rPr>
          <w:rStyle w:val="StyleBoldUnderline"/>
          <w:highlight w:val="yellow"/>
        </w:rPr>
        <w:t xml:space="preserve">all other countries </w:t>
      </w:r>
    </w:p>
    <w:p w:rsidR="009F40FD" w:rsidRDefault="009F40FD" w:rsidP="009F40FD">
      <w:pPr>
        <w:rPr>
          <w:rStyle w:val="StyleBoldUnderline"/>
          <w:highlight w:val="yellow"/>
        </w:rPr>
      </w:pPr>
      <w:r>
        <w:rPr>
          <w:rStyle w:val="StyleBoldUnderline"/>
          <w:highlight w:val="yellow"/>
        </w:rPr>
        <w:t>AND</w:t>
      </w:r>
    </w:p>
    <w:p w:rsidR="009F40FD" w:rsidRPr="00B970B9" w:rsidRDefault="009F40FD" w:rsidP="009F40FD">
      <w:pPr>
        <w:rPr>
          <w:rStyle w:val="StyleBoldUnderline"/>
        </w:rPr>
      </w:pPr>
      <w:r w:rsidRPr="001E6327">
        <w:rPr>
          <w:rStyle w:val="StyleBoldUnderline"/>
          <w:highlight w:val="yellow"/>
        </w:rPr>
        <w:t>millennium</w:t>
      </w:r>
      <w:r w:rsidRPr="00B970B9">
        <w:rPr>
          <w:rStyle w:val="StyleBoldUnderline"/>
        </w:rPr>
        <w:t>. The year 2003 stands out as a break in the series.</w:t>
      </w:r>
    </w:p>
    <w:p w:rsidR="009F40FD" w:rsidRDefault="009F40FD" w:rsidP="009F40FD"/>
    <w:p w:rsidR="009F40FD" w:rsidRPr="00C33DAD" w:rsidRDefault="009F40FD" w:rsidP="009F40FD">
      <w:pPr>
        <w:pStyle w:val="Heading4"/>
      </w:pPr>
      <w:r>
        <w:t>No prior questions</w:t>
      </w:r>
    </w:p>
    <w:p w:rsidR="009F40FD" w:rsidRPr="00C33DAD" w:rsidRDefault="009F40FD" w:rsidP="009F40FD">
      <w:r w:rsidRPr="00C33DAD">
        <w:rPr>
          <w:rStyle w:val="StyleStyleBold12pt"/>
        </w:rPr>
        <w:t>Owen 2</w:t>
      </w:r>
      <w:r w:rsidRPr="00C33DAD">
        <w:t xml:space="preserve"> (David Owen, Reader of Political Theory at the Univ. of Southampton,  Millennium </w:t>
      </w:r>
      <w:proofErr w:type="spellStart"/>
      <w:r w:rsidRPr="00C33DAD">
        <w:t>Vol</w:t>
      </w:r>
      <w:proofErr w:type="spellEnd"/>
      <w:r w:rsidRPr="00C33DAD">
        <w:t xml:space="preserve"> 31 No 3 2002 p. 655-7)</w:t>
      </w:r>
    </w:p>
    <w:p w:rsidR="009F40FD" w:rsidRDefault="009F40FD" w:rsidP="009F40FD">
      <w:pPr>
        <w:pStyle w:val="cardtext"/>
        <w:ind w:left="0"/>
        <w:rPr>
          <w:rStyle w:val="Heading3Char"/>
          <w:rFonts w:asciiTheme="minorHAnsi" w:hAnsiTheme="minorHAnsi"/>
        </w:rPr>
      </w:pPr>
      <w:r w:rsidRPr="00611653">
        <w:rPr>
          <w:rFonts w:asciiTheme="minorHAnsi" w:hAnsiTheme="minorHAnsi"/>
          <w:sz w:val="16"/>
        </w:rPr>
        <w:t xml:space="preserve">Commenting on the ‘philosophical turn’ in IR, </w:t>
      </w:r>
      <w:proofErr w:type="spellStart"/>
      <w:r w:rsidRPr="00611653">
        <w:rPr>
          <w:rFonts w:asciiTheme="minorHAnsi" w:hAnsiTheme="minorHAnsi"/>
          <w:sz w:val="16"/>
        </w:rPr>
        <w:t>Wæver</w:t>
      </w:r>
      <w:proofErr w:type="spellEnd"/>
      <w:r w:rsidRPr="00611653">
        <w:rPr>
          <w:rFonts w:asciiTheme="minorHAnsi" w:hAnsiTheme="minorHAnsi"/>
          <w:sz w:val="16"/>
        </w:rPr>
        <w:t xml:space="preserve"> remarks that </w:t>
      </w:r>
      <w:r w:rsidRPr="00611653">
        <w:rPr>
          <w:rStyle w:val="Heading3Char"/>
          <w:rFonts w:asciiTheme="minorHAnsi" w:hAnsiTheme="minorHAnsi"/>
        </w:rPr>
        <w:t xml:space="preserve">‘[a] </w:t>
      </w:r>
    </w:p>
    <w:p w:rsidR="009F40FD" w:rsidRDefault="009F40FD" w:rsidP="009F40FD">
      <w:pPr>
        <w:pStyle w:val="cardtext"/>
        <w:ind w:left="0"/>
        <w:rPr>
          <w:rStyle w:val="Heading3Char"/>
          <w:rFonts w:asciiTheme="minorHAnsi" w:hAnsiTheme="minorHAnsi"/>
        </w:rPr>
      </w:pPr>
      <w:r>
        <w:rPr>
          <w:rStyle w:val="Heading3Char"/>
          <w:rFonts w:asciiTheme="minorHAnsi" w:hAnsiTheme="minorHAnsi"/>
        </w:rPr>
        <w:t>AND</w:t>
      </w:r>
    </w:p>
    <w:p w:rsidR="009F40FD" w:rsidRPr="00611653" w:rsidRDefault="009F40FD" w:rsidP="009F40FD">
      <w:pPr>
        <w:pStyle w:val="cardtext"/>
        <w:ind w:left="0"/>
        <w:rPr>
          <w:b/>
          <w:iCs/>
          <w:u w:val="single"/>
          <w:bdr w:val="single" w:sz="18" w:space="0" w:color="auto"/>
        </w:rPr>
      </w:pPr>
      <w:r w:rsidRPr="00611653">
        <w:rPr>
          <w:rStyle w:val="Heading3Char"/>
          <w:rFonts w:asciiTheme="minorHAnsi" w:hAnsiTheme="minorHAnsi"/>
        </w:rPr>
        <w:t xml:space="preserve">the first and second </w:t>
      </w:r>
      <w:r w:rsidRPr="00611653">
        <w:rPr>
          <w:rStyle w:val="Heading3Char"/>
          <w:rFonts w:asciiTheme="minorHAnsi" w:hAnsiTheme="minorHAnsi"/>
          <w:highlight w:val="yellow"/>
        </w:rPr>
        <w:t>dangers, and</w:t>
      </w:r>
      <w:r w:rsidRPr="00611653">
        <w:rPr>
          <w:rStyle w:val="Heading3Char"/>
          <w:rFonts w:asciiTheme="minorHAnsi" w:hAnsiTheme="minorHAnsi"/>
        </w:rPr>
        <w:t xml:space="preserve"> so </w:t>
      </w:r>
      <w:r w:rsidRPr="00611653">
        <w:rPr>
          <w:rStyle w:val="Heading3Char"/>
          <w:rFonts w:asciiTheme="minorHAnsi" w:hAnsiTheme="minorHAnsi"/>
          <w:highlight w:val="yellow"/>
        </w:rPr>
        <w:t>a</w:t>
      </w:r>
      <w:r w:rsidRPr="00611653">
        <w:rPr>
          <w:rStyle w:val="Heading3Char"/>
          <w:rFonts w:asciiTheme="minorHAnsi" w:hAnsiTheme="minorHAnsi"/>
        </w:rPr>
        <w:t xml:space="preserve"> potentially </w:t>
      </w:r>
      <w:r w:rsidRPr="00611653">
        <w:rPr>
          <w:rStyle w:val="Emphasis"/>
          <w:highlight w:val="yellow"/>
        </w:rPr>
        <w:t>vicious circle arises</w:t>
      </w:r>
      <w:r w:rsidRPr="00611653">
        <w:rPr>
          <w:rStyle w:val="Emphasis"/>
        </w:rPr>
        <w:t>.</w:t>
      </w:r>
    </w:p>
    <w:p w:rsidR="009F40FD" w:rsidRPr="006A323E" w:rsidRDefault="009F40FD" w:rsidP="009F40FD">
      <w:pPr>
        <w:pStyle w:val="Heading4"/>
      </w:pPr>
      <w:r>
        <w:t>No intervention impact</w:t>
      </w:r>
    </w:p>
    <w:p w:rsidR="009F40FD" w:rsidRPr="00642A5A" w:rsidRDefault="009F40FD" w:rsidP="009F40FD">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6" w:tgtFrame="_blank" w:history="1">
        <w:r w:rsidRPr="00642A5A">
          <w:rPr>
            <w:sz w:val="14"/>
          </w:rPr>
          <w:t>http://www.ciaonet.org/wps/ssi10561/ssi10561.pdf</w:t>
        </w:r>
      </w:hyperlink>
      <w:r w:rsidRPr="00642A5A">
        <w:rPr>
          <w:sz w:val="14"/>
        </w:rPr>
        <w:t>)</w:t>
      </w:r>
    </w:p>
    <w:p w:rsidR="009F40FD" w:rsidRPr="00642A5A" w:rsidRDefault="009F40FD" w:rsidP="009F40FD">
      <w:pPr>
        <w:rPr>
          <w:sz w:val="14"/>
        </w:rPr>
      </w:pPr>
    </w:p>
    <w:p w:rsidR="009F40FD" w:rsidRDefault="009F40FD" w:rsidP="009F40FD">
      <w:pPr>
        <w:rPr>
          <w:sz w:val="12"/>
        </w:rPr>
      </w:pPr>
      <w:r w:rsidRPr="00D335B9">
        <w:rPr>
          <w:sz w:val="12"/>
        </w:rPr>
        <w:t>7. A policy that favors preventive warfare expresses a futile quest for absolute security</w:t>
      </w:r>
    </w:p>
    <w:p w:rsidR="009F40FD" w:rsidRDefault="009F40FD" w:rsidP="009F40FD">
      <w:pPr>
        <w:rPr>
          <w:sz w:val="12"/>
        </w:rPr>
      </w:pPr>
      <w:r>
        <w:rPr>
          <w:sz w:val="12"/>
        </w:rPr>
        <w:t>AND</w:t>
      </w:r>
    </w:p>
    <w:p w:rsidR="009F40FD" w:rsidRPr="005602F6" w:rsidRDefault="009F40FD" w:rsidP="009F40FD">
      <w:pPr>
        <w:rPr>
          <w:bCs/>
          <w:szCs w:val="24"/>
          <w:u w:val="single"/>
        </w:rPr>
      </w:pPr>
      <w:r w:rsidRPr="00D335B9">
        <w:rPr>
          <w:szCs w:val="24"/>
          <w:u w:val="single"/>
        </w:rPr>
        <w:t>strategy</w:t>
      </w:r>
      <w:r w:rsidRPr="00D335B9">
        <w:rPr>
          <w:sz w:val="12"/>
        </w:rPr>
        <w:t>, though not always policy, </w:t>
      </w:r>
      <w:r w:rsidRPr="00D335B9">
        <w:rPr>
          <w:b/>
          <w:szCs w:val="24"/>
          <w:u w:val="single"/>
        </w:rPr>
        <w:t>must be nothing if not pragmatic</w:t>
      </w:r>
      <w:r w:rsidRPr="00D335B9">
        <w:rPr>
          <w:szCs w:val="24"/>
          <w:u w:val="single"/>
        </w:rPr>
        <w:t>.</w:t>
      </w:r>
    </w:p>
    <w:p w:rsidR="009F40FD" w:rsidRPr="00CE5068" w:rsidRDefault="009F40FD" w:rsidP="009F40FD">
      <w:pPr>
        <w:pStyle w:val="Heading4"/>
      </w:pPr>
      <w:r w:rsidRPr="00CE5068">
        <w:t>No impact to the environment</w:t>
      </w:r>
    </w:p>
    <w:p w:rsidR="009F40FD" w:rsidRPr="00CE5068" w:rsidRDefault="009F40FD" w:rsidP="009F40FD">
      <w:pPr>
        <w:rPr>
          <w:rFonts w:eastAsia="Times New Roman"/>
          <w:kern w:val="32"/>
          <w:sz w:val="16"/>
        </w:rPr>
      </w:pPr>
      <w:r w:rsidRPr="00CE5068">
        <w:rPr>
          <w:rFonts w:eastAsia="Times New Roman"/>
          <w:kern w:val="32"/>
          <w:sz w:val="16"/>
        </w:rPr>
        <w:t xml:space="preserve">Holly </w:t>
      </w:r>
      <w:proofErr w:type="spellStart"/>
      <w:r w:rsidRPr="00CE5068">
        <w:rPr>
          <w:rStyle w:val="StyleStyleBold12pt"/>
        </w:rPr>
        <w:t>Doremus</w:t>
      </w:r>
      <w:proofErr w:type="spellEnd"/>
      <w:r w:rsidRPr="00CE5068">
        <w:rPr>
          <w:rStyle w:val="StyleStyleBold12pt"/>
        </w:rPr>
        <w:t xml:space="preserve"> 2k</w:t>
      </w:r>
      <w:r w:rsidRPr="00CE5068">
        <w:rPr>
          <w:rFonts w:eastAsia="Times New Roman"/>
          <w:kern w:val="32"/>
          <w:sz w:val="16"/>
        </w:rPr>
        <w:t xml:space="preserve"> Professor of Law at UC Davis, "The Rhetoric and Reality of Nature Protection: Toward a New Discourse," Winter 2000 Washington &amp; Lee Law Review 57 Wash &amp; Lee L. Rev. 11, lexis</w:t>
      </w:r>
    </w:p>
    <w:p w:rsidR="009F40FD" w:rsidRDefault="009F40FD" w:rsidP="009F40FD">
      <w:pPr>
        <w:pStyle w:val="cardtext"/>
        <w:ind w:left="0"/>
        <w:rPr>
          <w:sz w:val="16"/>
        </w:rPr>
      </w:pPr>
      <w:r w:rsidRPr="00CE5068">
        <w:rPr>
          <w:sz w:val="16"/>
        </w:rPr>
        <w:t xml:space="preserve">Reluctant to concede such losses, tellers of the ecological horror story highlight how close </w:t>
      </w:r>
    </w:p>
    <w:p w:rsidR="009F40FD" w:rsidRDefault="009F40FD" w:rsidP="009F40FD">
      <w:pPr>
        <w:pStyle w:val="cardtext"/>
        <w:ind w:left="0"/>
        <w:rPr>
          <w:sz w:val="16"/>
        </w:rPr>
      </w:pPr>
      <w:r>
        <w:rPr>
          <w:sz w:val="16"/>
        </w:rPr>
        <w:t>AND</w:t>
      </w:r>
    </w:p>
    <w:p w:rsidR="009F40FD" w:rsidRPr="00905B31" w:rsidRDefault="009F40FD" w:rsidP="009F40FD">
      <w:pPr>
        <w:pStyle w:val="cardtext"/>
        <w:ind w:left="0"/>
        <w:rPr>
          <w:sz w:val="16"/>
        </w:rPr>
      </w:pPr>
      <w:r w:rsidRPr="00CE5068">
        <w:rPr>
          <w:sz w:val="16"/>
        </w:rPr>
        <w:t>material benefits of destructive decisions frequently will exceed their identifiable material costs.  n221</w:t>
      </w:r>
    </w:p>
    <w:p w:rsidR="009F40FD" w:rsidRDefault="009F40FD" w:rsidP="009F40FD">
      <w:pPr>
        <w:pStyle w:val="Heading2"/>
      </w:pPr>
      <w:r>
        <w:lastRenderedPageBreak/>
        <w:t>Pedagogy</w:t>
      </w:r>
    </w:p>
    <w:p w:rsidR="009F40FD" w:rsidRPr="004D51D1" w:rsidRDefault="009F40FD" w:rsidP="009F40FD">
      <w:pPr>
        <w:pStyle w:val="Heading4"/>
        <w:rPr>
          <w:rFonts w:cs="Times New Roman"/>
        </w:rPr>
      </w:pPr>
      <w:r>
        <w:rPr>
          <w:rFonts w:cs="Times New Roman"/>
        </w:rPr>
        <w:t>Simulation of Latin American policymaking is key to social progress – prefer specificity</w:t>
      </w:r>
    </w:p>
    <w:p w:rsidR="009F40FD" w:rsidRPr="004D51D1" w:rsidRDefault="009F40FD" w:rsidP="009F40FD">
      <w:pPr>
        <w:rPr>
          <w:rFonts w:cs="Times New Roman"/>
        </w:rPr>
      </w:pPr>
      <w:r w:rsidRPr="00AF5E57">
        <w:rPr>
          <w:rStyle w:val="StyleStyleBold12pt"/>
          <w:rFonts w:cs="Times New Roman"/>
          <w:highlight w:val="yellow"/>
        </w:rPr>
        <w:t>Giordano and Li 12</w:t>
      </w:r>
      <w:r w:rsidRPr="004D51D1">
        <w:rPr>
          <w:rFonts w:cs="Times New Roman"/>
        </w:rPr>
        <w:t xml:space="preserve"> - *Paolo, PhD in Economics from the </w:t>
      </w:r>
      <w:proofErr w:type="spellStart"/>
      <w:r w:rsidRPr="004D51D1">
        <w:rPr>
          <w:rFonts w:cs="Times New Roman"/>
        </w:rPr>
        <w:t>Institut</w:t>
      </w:r>
      <w:proofErr w:type="spellEnd"/>
      <w:r w:rsidRPr="004D51D1">
        <w:rPr>
          <w:rFonts w:cs="Times New Roman"/>
        </w:rPr>
        <w:t xml:space="preserve"> </w:t>
      </w:r>
      <w:proofErr w:type="spellStart"/>
      <w:r w:rsidRPr="004D51D1">
        <w:rPr>
          <w:rFonts w:cs="Times New Roman"/>
        </w:rPr>
        <w:t>d'Etudes</w:t>
      </w:r>
      <w:proofErr w:type="spellEnd"/>
      <w:r w:rsidRPr="004D51D1">
        <w:rPr>
          <w:rFonts w:cs="Times New Roman"/>
        </w:rPr>
        <w:t xml:space="preserve"> </w:t>
      </w:r>
      <w:proofErr w:type="spellStart"/>
      <w:r w:rsidRPr="004D51D1">
        <w:rPr>
          <w:rFonts w:cs="Times New Roman"/>
        </w:rPr>
        <w:t>Politiques</w:t>
      </w:r>
      <w:proofErr w:type="spellEnd"/>
      <w:r w:rsidRPr="004D51D1">
        <w:rPr>
          <w:rFonts w:cs="Times New Roman"/>
        </w:rPr>
        <w:t xml:space="preserve"> de Paris, Lead Economist @ the </w:t>
      </w:r>
      <w:proofErr w:type="spellStart"/>
      <w:r w:rsidRPr="004D51D1">
        <w:rPr>
          <w:rFonts w:cs="Times New Roman"/>
        </w:rPr>
        <w:t>Integratoin</w:t>
      </w:r>
      <w:proofErr w:type="spellEnd"/>
      <w:r w:rsidRPr="004D51D1">
        <w:rPr>
          <w:rFonts w:cs="Times New Roman"/>
        </w:rPr>
        <w:t xml:space="preserve"> and Trade Sector of the IADB, **Kun, Research Fellow @ IADB</w:t>
      </w:r>
    </w:p>
    <w:p w:rsidR="009F40FD" w:rsidRDefault="009F40FD" w:rsidP="009F40FD">
      <w:pPr>
        <w:rPr>
          <w:rFonts w:cs="Times New Roman"/>
        </w:rPr>
      </w:pPr>
      <w:r w:rsidRPr="004D51D1">
        <w:rPr>
          <w:rFonts w:cs="Times New Roman"/>
        </w:rPr>
        <w:t>(“An Updated Assessment of the Trade and Poverty Nexus in Latin America,” p. 375-377)//BB</w:t>
      </w:r>
    </w:p>
    <w:p w:rsidR="009F40FD" w:rsidRPr="004D51D1" w:rsidRDefault="009F40FD" w:rsidP="009F40FD"/>
    <w:p w:rsidR="009F40FD" w:rsidRDefault="009F40FD" w:rsidP="009F40FD">
      <w:pPr>
        <w:rPr>
          <w:sz w:val="16"/>
        </w:rPr>
      </w:pPr>
      <w:r w:rsidRPr="00957E20">
        <w:rPr>
          <w:sz w:val="16"/>
        </w:rPr>
        <w:t xml:space="preserve">Despite the move towards more open trade regimes, Latin American economies are still </w:t>
      </w:r>
      <w:r w:rsidRPr="00957E20">
        <w:rPr>
          <w:sz w:val="12"/>
        </w:rPr>
        <w:t>¶</w:t>
      </w:r>
      <w:r w:rsidRPr="00957E20">
        <w:rPr>
          <w:sz w:val="16"/>
        </w:rPr>
        <w:t xml:space="preserve"> </w:t>
      </w:r>
    </w:p>
    <w:p w:rsidR="009F40FD" w:rsidRDefault="009F40FD" w:rsidP="009F40FD">
      <w:pPr>
        <w:rPr>
          <w:sz w:val="16"/>
        </w:rPr>
      </w:pPr>
      <w:r>
        <w:rPr>
          <w:sz w:val="16"/>
        </w:rPr>
        <w:t>AND</w:t>
      </w:r>
    </w:p>
    <w:p w:rsidR="009F40FD" w:rsidRPr="00F4792A" w:rsidRDefault="009F40FD" w:rsidP="009F40FD">
      <w:pPr>
        <w:rPr>
          <w:sz w:val="16"/>
        </w:rPr>
      </w:pPr>
      <w:r w:rsidRPr="00AF5E57">
        <w:rPr>
          <w:rStyle w:val="StyleBoldUnderline"/>
          <w:highlight w:val="yellow"/>
        </w:rPr>
        <w:t>to overstate</w:t>
      </w:r>
      <w:r w:rsidRPr="00070357">
        <w:rPr>
          <w:rStyle w:val="StyleBoldUnderline"/>
        </w:rPr>
        <w:t xml:space="preserve"> the importance of</w:t>
      </w:r>
      <w:r w:rsidRPr="00957E20">
        <w:rPr>
          <w:sz w:val="16"/>
        </w:rPr>
        <w:t xml:space="preserve"> strengthening the capacity of </w:t>
      </w:r>
      <w:r w:rsidRPr="00070357">
        <w:rPr>
          <w:rStyle w:val="StyleBoldUnderline"/>
        </w:rPr>
        <w:t>policymaking in this area</w:t>
      </w:r>
      <w:r w:rsidRPr="00957E20">
        <w:rPr>
          <w:sz w:val="16"/>
        </w:rPr>
        <w:t>.</w:t>
      </w:r>
    </w:p>
    <w:p w:rsidR="009F40FD" w:rsidRDefault="009F40FD" w:rsidP="009F40FD">
      <w:pPr>
        <w:pStyle w:val="Heading4"/>
      </w:pPr>
      <w:r>
        <w:t>Even if the judge is an educator that’s not a reason to vote affirmative – our method solves skills better</w:t>
      </w:r>
    </w:p>
    <w:p w:rsidR="009F40FD" w:rsidRPr="007F6056" w:rsidRDefault="009F40FD" w:rsidP="009F40FD">
      <w:pPr>
        <w:pStyle w:val="Heading4"/>
      </w:pPr>
      <w:r w:rsidRPr="007F6056">
        <w:t>Their use of decolonization as a metaphor for debate i</w:t>
      </w:r>
      <w:r>
        <w:t xml:space="preserve">s only a way to assuage our guilt--- it doesn’t create change and is an independent reason to reject the </w:t>
      </w:r>
      <w:proofErr w:type="spellStart"/>
      <w:r>
        <w:t>aff</w:t>
      </w:r>
      <w:proofErr w:type="spellEnd"/>
      <w:r>
        <w:t xml:space="preserve"> because it makes us LESS likely to change our own role in the system</w:t>
      </w:r>
    </w:p>
    <w:p w:rsidR="009F40FD" w:rsidRPr="007F6056" w:rsidRDefault="009F40FD" w:rsidP="009F40FD">
      <w:r w:rsidRPr="007F6056">
        <w:rPr>
          <w:rStyle w:val="StyleStyleBold12pt"/>
        </w:rPr>
        <w:t>Tuck 12</w:t>
      </w:r>
      <w:r w:rsidRPr="007F6056">
        <w:t xml:space="preserve">—Assistant Professor of Educational Foundations at the State University of New York at New </w:t>
      </w:r>
      <w:proofErr w:type="spellStart"/>
      <w:r w:rsidRPr="007F6056">
        <w:t>Paltz</w:t>
      </w:r>
      <w:proofErr w:type="spellEnd"/>
      <w:r w:rsidRPr="007F6056">
        <w:t xml:space="preserve">.  (Eve, Decolonization is not a metaphor, Decolonization: </w:t>
      </w:r>
      <w:proofErr w:type="spellStart"/>
      <w:r w:rsidRPr="007F6056">
        <w:t>Indigeneity</w:t>
      </w:r>
      <w:proofErr w:type="spellEnd"/>
      <w:r w:rsidRPr="007F6056">
        <w:t>, Education &amp; Society, Vol. 1, No. 1, 2012, pp. 1-40)</w:t>
      </w:r>
    </w:p>
    <w:p w:rsidR="009F40FD" w:rsidRDefault="009F40FD" w:rsidP="009F40FD">
      <w:pPr>
        <w:rPr>
          <w:rStyle w:val="StyleBoldUnderline"/>
          <w:highlight w:val="yellow"/>
        </w:rPr>
      </w:pPr>
      <w:r w:rsidRPr="008A6ADE">
        <w:rPr>
          <w:rStyle w:val="StyleBoldUnderline"/>
          <w:highlight w:val="yellow"/>
        </w:rPr>
        <w:t>Decolonization as metaphor</w:t>
      </w:r>
      <w:r w:rsidRPr="007565D2">
        <w:rPr>
          <w:sz w:val="16"/>
        </w:rPr>
        <w:t xml:space="preserve"> allows people to equivocate. </w:t>
      </w:r>
      <w:r w:rsidRPr="007565D2">
        <w:rPr>
          <w:rStyle w:val="StyleBoldUnderline"/>
        </w:rPr>
        <w:t xml:space="preserve">In reality, </w:t>
      </w:r>
      <w:r w:rsidRPr="008A6ADE">
        <w:rPr>
          <w:rStyle w:val="StyleBoldUnderline"/>
          <w:highlight w:val="yellow"/>
        </w:rPr>
        <w:t xml:space="preserve">the tracks walk all </w:t>
      </w:r>
    </w:p>
    <w:p w:rsidR="009F40FD" w:rsidRDefault="009F40FD" w:rsidP="009F40FD">
      <w:pPr>
        <w:rPr>
          <w:rStyle w:val="StyleBoldUnderline"/>
          <w:highlight w:val="yellow"/>
        </w:rPr>
      </w:pPr>
      <w:r>
        <w:rPr>
          <w:rStyle w:val="StyleBoldUnderline"/>
          <w:highlight w:val="yellow"/>
        </w:rPr>
        <w:t>AND</w:t>
      </w:r>
    </w:p>
    <w:p w:rsidR="009F40FD" w:rsidRPr="00762218" w:rsidRDefault="009F40FD" w:rsidP="009F40FD">
      <w:pPr>
        <w:rPr>
          <w:sz w:val="16"/>
        </w:rPr>
      </w:pPr>
      <w:r w:rsidRPr="008A6ADE">
        <w:rPr>
          <w:rStyle w:val="StyleBoldUnderline"/>
          <w:highlight w:val="yellow"/>
        </w:rPr>
        <w:t>unsettle innocence</w:t>
      </w:r>
      <w:r w:rsidRPr="007565D2">
        <w:rPr>
          <w:sz w:val="16"/>
        </w:rPr>
        <w:t>, which we discuss in the final section of this article.</w:t>
      </w:r>
    </w:p>
    <w:p w:rsidR="008E124E" w:rsidRDefault="008E124E"/>
    <w:sectPr w:rsidR="008E124E" w:rsidSect="00286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defaultTabStop w:val="720"/>
  <w:characterSpacingControl w:val="doNotCompress"/>
  <w:compat>
    <w:useFELayout/>
  </w:compat>
  <w:rsids>
    <w:rsidRoot w:val="009F40FD"/>
    <w:rsid w:val="00004DFB"/>
    <w:rsid w:val="0001009D"/>
    <w:rsid w:val="00014073"/>
    <w:rsid w:val="00017CBC"/>
    <w:rsid w:val="0002297A"/>
    <w:rsid w:val="0002626C"/>
    <w:rsid w:val="000315C2"/>
    <w:rsid w:val="00035755"/>
    <w:rsid w:val="00042090"/>
    <w:rsid w:val="00043281"/>
    <w:rsid w:val="00043E13"/>
    <w:rsid w:val="00051847"/>
    <w:rsid w:val="00056DD8"/>
    <w:rsid w:val="0006196D"/>
    <w:rsid w:val="00065FF4"/>
    <w:rsid w:val="0007205E"/>
    <w:rsid w:val="00075707"/>
    <w:rsid w:val="00077843"/>
    <w:rsid w:val="0007789F"/>
    <w:rsid w:val="00083FF0"/>
    <w:rsid w:val="00084F03"/>
    <w:rsid w:val="000860AB"/>
    <w:rsid w:val="00093851"/>
    <w:rsid w:val="000A039A"/>
    <w:rsid w:val="000A2CCC"/>
    <w:rsid w:val="000A31A0"/>
    <w:rsid w:val="000B1F38"/>
    <w:rsid w:val="000B56A9"/>
    <w:rsid w:val="000E14DB"/>
    <w:rsid w:val="000E2E17"/>
    <w:rsid w:val="000E7BD8"/>
    <w:rsid w:val="000F06A1"/>
    <w:rsid w:val="00102568"/>
    <w:rsid w:val="00105C14"/>
    <w:rsid w:val="00106617"/>
    <w:rsid w:val="001263F5"/>
    <w:rsid w:val="00134FA4"/>
    <w:rsid w:val="00142211"/>
    <w:rsid w:val="00145613"/>
    <w:rsid w:val="00155C34"/>
    <w:rsid w:val="00156942"/>
    <w:rsid w:val="00165DB7"/>
    <w:rsid w:val="00172406"/>
    <w:rsid w:val="001725DE"/>
    <w:rsid w:val="00176A4C"/>
    <w:rsid w:val="001853F2"/>
    <w:rsid w:val="00186C17"/>
    <w:rsid w:val="00186D51"/>
    <w:rsid w:val="0019323C"/>
    <w:rsid w:val="00193BBF"/>
    <w:rsid w:val="001A2F31"/>
    <w:rsid w:val="001A7819"/>
    <w:rsid w:val="001A7A66"/>
    <w:rsid w:val="001B6D41"/>
    <w:rsid w:val="001C7AE3"/>
    <w:rsid w:val="001D51C3"/>
    <w:rsid w:val="001D7770"/>
    <w:rsid w:val="001E1D75"/>
    <w:rsid w:val="001E66BD"/>
    <w:rsid w:val="001E73EB"/>
    <w:rsid w:val="001F3FF4"/>
    <w:rsid w:val="001F471E"/>
    <w:rsid w:val="00200C10"/>
    <w:rsid w:val="00220A80"/>
    <w:rsid w:val="00233B32"/>
    <w:rsid w:val="00233F77"/>
    <w:rsid w:val="0023518E"/>
    <w:rsid w:val="002442EE"/>
    <w:rsid w:val="0024751A"/>
    <w:rsid w:val="00251F07"/>
    <w:rsid w:val="00253070"/>
    <w:rsid w:val="00253BA0"/>
    <w:rsid w:val="002610CB"/>
    <w:rsid w:val="002712CB"/>
    <w:rsid w:val="0027533A"/>
    <w:rsid w:val="00281F99"/>
    <w:rsid w:val="002A2158"/>
    <w:rsid w:val="002A4BB7"/>
    <w:rsid w:val="002A5CEB"/>
    <w:rsid w:val="002B054C"/>
    <w:rsid w:val="002B42ED"/>
    <w:rsid w:val="002B77F7"/>
    <w:rsid w:val="002B7EA7"/>
    <w:rsid w:val="002C026E"/>
    <w:rsid w:val="002C0980"/>
    <w:rsid w:val="002C7EAE"/>
    <w:rsid w:val="002D12CB"/>
    <w:rsid w:val="002D5372"/>
    <w:rsid w:val="002D675B"/>
    <w:rsid w:val="002D6FFD"/>
    <w:rsid w:val="002E268D"/>
    <w:rsid w:val="002F6AEA"/>
    <w:rsid w:val="002F6FD7"/>
    <w:rsid w:val="00301E35"/>
    <w:rsid w:val="00302DE1"/>
    <w:rsid w:val="00306DBF"/>
    <w:rsid w:val="00310B88"/>
    <w:rsid w:val="00311A8B"/>
    <w:rsid w:val="003162DC"/>
    <w:rsid w:val="00320A29"/>
    <w:rsid w:val="00320C47"/>
    <w:rsid w:val="00332C8E"/>
    <w:rsid w:val="00341564"/>
    <w:rsid w:val="00346065"/>
    <w:rsid w:val="0035317B"/>
    <w:rsid w:val="00355AA6"/>
    <w:rsid w:val="00365769"/>
    <w:rsid w:val="0037097E"/>
    <w:rsid w:val="003717AA"/>
    <w:rsid w:val="00374839"/>
    <w:rsid w:val="0037631F"/>
    <w:rsid w:val="003821B6"/>
    <w:rsid w:val="0038549C"/>
    <w:rsid w:val="003877C0"/>
    <w:rsid w:val="003901E4"/>
    <w:rsid w:val="003903A2"/>
    <w:rsid w:val="00391235"/>
    <w:rsid w:val="00396247"/>
    <w:rsid w:val="003A0273"/>
    <w:rsid w:val="003A78F9"/>
    <w:rsid w:val="003B1B47"/>
    <w:rsid w:val="003C5257"/>
    <w:rsid w:val="003D76F8"/>
    <w:rsid w:val="003E482A"/>
    <w:rsid w:val="003E6AEC"/>
    <w:rsid w:val="003E7D7E"/>
    <w:rsid w:val="003F1D88"/>
    <w:rsid w:val="003F7756"/>
    <w:rsid w:val="004002E2"/>
    <w:rsid w:val="00401B0B"/>
    <w:rsid w:val="0040297B"/>
    <w:rsid w:val="00407AE1"/>
    <w:rsid w:val="004101DB"/>
    <w:rsid w:val="00414456"/>
    <w:rsid w:val="00422E0D"/>
    <w:rsid w:val="004262D4"/>
    <w:rsid w:val="00430BF6"/>
    <w:rsid w:val="004322CA"/>
    <w:rsid w:val="0043307F"/>
    <w:rsid w:val="004372FD"/>
    <w:rsid w:val="0044162A"/>
    <w:rsid w:val="004442A7"/>
    <w:rsid w:val="004473E6"/>
    <w:rsid w:val="00463D3C"/>
    <w:rsid w:val="004671C3"/>
    <w:rsid w:val="00471903"/>
    <w:rsid w:val="004719B8"/>
    <w:rsid w:val="00477238"/>
    <w:rsid w:val="00485B77"/>
    <w:rsid w:val="00486C1C"/>
    <w:rsid w:val="00493CE2"/>
    <w:rsid w:val="00494433"/>
    <w:rsid w:val="00495254"/>
    <w:rsid w:val="004B39E7"/>
    <w:rsid w:val="004C242F"/>
    <w:rsid w:val="004C2619"/>
    <w:rsid w:val="004C4FFE"/>
    <w:rsid w:val="004C74DA"/>
    <w:rsid w:val="004D4C22"/>
    <w:rsid w:val="004D5F5A"/>
    <w:rsid w:val="004D79FC"/>
    <w:rsid w:val="004F6378"/>
    <w:rsid w:val="004F6894"/>
    <w:rsid w:val="004F7D79"/>
    <w:rsid w:val="005032AC"/>
    <w:rsid w:val="005041C1"/>
    <w:rsid w:val="00513D03"/>
    <w:rsid w:val="00514DDD"/>
    <w:rsid w:val="0052378A"/>
    <w:rsid w:val="005325C0"/>
    <w:rsid w:val="00533723"/>
    <w:rsid w:val="005375AE"/>
    <w:rsid w:val="0053776E"/>
    <w:rsid w:val="005408F2"/>
    <w:rsid w:val="005435EE"/>
    <w:rsid w:val="0054414F"/>
    <w:rsid w:val="00553E38"/>
    <w:rsid w:val="00562426"/>
    <w:rsid w:val="005634B4"/>
    <w:rsid w:val="00572730"/>
    <w:rsid w:val="005736BB"/>
    <w:rsid w:val="00577127"/>
    <w:rsid w:val="00590CEA"/>
    <w:rsid w:val="0059643C"/>
    <w:rsid w:val="005A123F"/>
    <w:rsid w:val="005A21DD"/>
    <w:rsid w:val="005A289B"/>
    <w:rsid w:val="005A7A8B"/>
    <w:rsid w:val="005B626B"/>
    <w:rsid w:val="005C12B3"/>
    <w:rsid w:val="005D021A"/>
    <w:rsid w:val="005D46F6"/>
    <w:rsid w:val="005D5281"/>
    <w:rsid w:val="005D73E2"/>
    <w:rsid w:val="005E0E61"/>
    <w:rsid w:val="005E2D9F"/>
    <w:rsid w:val="005E3D72"/>
    <w:rsid w:val="005E7B8C"/>
    <w:rsid w:val="005F3943"/>
    <w:rsid w:val="005F3FE7"/>
    <w:rsid w:val="005F5272"/>
    <w:rsid w:val="005F6919"/>
    <w:rsid w:val="00607FE7"/>
    <w:rsid w:val="0061054D"/>
    <w:rsid w:val="00617D30"/>
    <w:rsid w:val="00617F14"/>
    <w:rsid w:val="00630496"/>
    <w:rsid w:val="0063167D"/>
    <w:rsid w:val="00632E5D"/>
    <w:rsid w:val="00645971"/>
    <w:rsid w:val="00645B29"/>
    <w:rsid w:val="00650BA0"/>
    <w:rsid w:val="006526FD"/>
    <w:rsid w:val="0065359D"/>
    <w:rsid w:val="006546B9"/>
    <w:rsid w:val="00660874"/>
    <w:rsid w:val="006724D6"/>
    <w:rsid w:val="00676822"/>
    <w:rsid w:val="006805DD"/>
    <w:rsid w:val="00683927"/>
    <w:rsid w:val="006857C9"/>
    <w:rsid w:val="00685BB3"/>
    <w:rsid w:val="006A4A13"/>
    <w:rsid w:val="006B1CF2"/>
    <w:rsid w:val="006B230D"/>
    <w:rsid w:val="006B653C"/>
    <w:rsid w:val="006B6D79"/>
    <w:rsid w:val="006B7280"/>
    <w:rsid w:val="006C334E"/>
    <w:rsid w:val="006C6440"/>
    <w:rsid w:val="006D4DBD"/>
    <w:rsid w:val="006D7535"/>
    <w:rsid w:val="006E595F"/>
    <w:rsid w:val="006F284B"/>
    <w:rsid w:val="006F2868"/>
    <w:rsid w:val="007001A2"/>
    <w:rsid w:val="00700A7E"/>
    <w:rsid w:val="007039C5"/>
    <w:rsid w:val="00707F6C"/>
    <w:rsid w:val="00711765"/>
    <w:rsid w:val="007165A2"/>
    <w:rsid w:val="00716C5A"/>
    <w:rsid w:val="00717786"/>
    <w:rsid w:val="00720440"/>
    <w:rsid w:val="007226B9"/>
    <w:rsid w:val="00727096"/>
    <w:rsid w:val="00735FDC"/>
    <w:rsid w:val="007400C9"/>
    <w:rsid w:val="00750BE7"/>
    <w:rsid w:val="00760845"/>
    <w:rsid w:val="00765301"/>
    <w:rsid w:val="007665C4"/>
    <w:rsid w:val="00771D1E"/>
    <w:rsid w:val="007738CB"/>
    <w:rsid w:val="0078668F"/>
    <w:rsid w:val="00787925"/>
    <w:rsid w:val="00791761"/>
    <w:rsid w:val="007925F6"/>
    <w:rsid w:val="00792D49"/>
    <w:rsid w:val="007958DD"/>
    <w:rsid w:val="007A1849"/>
    <w:rsid w:val="007B06CF"/>
    <w:rsid w:val="007B13BA"/>
    <w:rsid w:val="007B7D21"/>
    <w:rsid w:val="007B7EEC"/>
    <w:rsid w:val="007C246E"/>
    <w:rsid w:val="007C4148"/>
    <w:rsid w:val="007C5F30"/>
    <w:rsid w:val="007E69E6"/>
    <w:rsid w:val="007E6C3F"/>
    <w:rsid w:val="007E737E"/>
    <w:rsid w:val="007F11A0"/>
    <w:rsid w:val="007F1339"/>
    <w:rsid w:val="007F481A"/>
    <w:rsid w:val="0080029D"/>
    <w:rsid w:val="00802B19"/>
    <w:rsid w:val="0081001A"/>
    <w:rsid w:val="00826D2E"/>
    <w:rsid w:val="008309DF"/>
    <w:rsid w:val="00832283"/>
    <w:rsid w:val="00833729"/>
    <w:rsid w:val="00844043"/>
    <w:rsid w:val="00852D7F"/>
    <w:rsid w:val="00857B3C"/>
    <w:rsid w:val="00863491"/>
    <w:rsid w:val="008648A5"/>
    <w:rsid w:val="00864FF2"/>
    <w:rsid w:val="00865556"/>
    <w:rsid w:val="00875740"/>
    <w:rsid w:val="00882367"/>
    <w:rsid w:val="0089097C"/>
    <w:rsid w:val="008A05DE"/>
    <w:rsid w:val="008A6453"/>
    <w:rsid w:val="008A706D"/>
    <w:rsid w:val="008B2046"/>
    <w:rsid w:val="008B2B8C"/>
    <w:rsid w:val="008B5218"/>
    <w:rsid w:val="008C7A2B"/>
    <w:rsid w:val="008D05AF"/>
    <w:rsid w:val="008D10C6"/>
    <w:rsid w:val="008E0874"/>
    <w:rsid w:val="008E124E"/>
    <w:rsid w:val="008E2937"/>
    <w:rsid w:val="008F4F5B"/>
    <w:rsid w:val="009173B1"/>
    <w:rsid w:val="0091750A"/>
    <w:rsid w:val="00917A38"/>
    <w:rsid w:val="00923C96"/>
    <w:rsid w:val="00934C2C"/>
    <w:rsid w:val="009351A0"/>
    <w:rsid w:val="00940514"/>
    <w:rsid w:val="009429CB"/>
    <w:rsid w:val="00947199"/>
    <w:rsid w:val="009517E6"/>
    <w:rsid w:val="00962A52"/>
    <w:rsid w:val="0096683F"/>
    <w:rsid w:val="009742C7"/>
    <w:rsid w:val="00981965"/>
    <w:rsid w:val="0098594A"/>
    <w:rsid w:val="00994EB9"/>
    <w:rsid w:val="009A1506"/>
    <w:rsid w:val="009A2917"/>
    <w:rsid w:val="009A569A"/>
    <w:rsid w:val="009A5F26"/>
    <w:rsid w:val="009B132B"/>
    <w:rsid w:val="009B41C8"/>
    <w:rsid w:val="009B461D"/>
    <w:rsid w:val="009B777D"/>
    <w:rsid w:val="009C0A24"/>
    <w:rsid w:val="009C6AE9"/>
    <w:rsid w:val="009D0BB0"/>
    <w:rsid w:val="009D54DF"/>
    <w:rsid w:val="009E0597"/>
    <w:rsid w:val="009E350F"/>
    <w:rsid w:val="009E7834"/>
    <w:rsid w:val="009F06E6"/>
    <w:rsid w:val="009F40FD"/>
    <w:rsid w:val="009F6BE3"/>
    <w:rsid w:val="009F7D3B"/>
    <w:rsid w:val="00A04A23"/>
    <w:rsid w:val="00A04BAF"/>
    <w:rsid w:val="00A07493"/>
    <w:rsid w:val="00A1090E"/>
    <w:rsid w:val="00A10FD9"/>
    <w:rsid w:val="00A13591"/>
    <w:rsid w:val="00A162B5"/>
    <w:rsid w:val="00A22B92"/>
    <w:rsid w:val="00A237FD"/>
    <w:rsid w:val="00A32C88"/>
    <w:rsid w:val="00A34C05"/>
    <w:rsid w:val="00A37386"/>
    <w:rsid w:val="00A626E9"/>
    <w:rsid w:val="00A721B6"/>
    <w:rsid w:val="00A96CD4"/>
    <w:rsid w:val="00A973AA"/>
    <w:rsid w:val="00AA05FF"/>
    <w:rsid w:val="00AA0FE9"/>
    <w:rsid w:val="00AA417A"/>
    <w:rsid w:val="00AA6C1E"/>
    <w:rsid w:val="00AB32E1"/>
    <w:rsid w:val="00AB45B1"/>
    <w:rsid w:val="00AB5C5D"/>
    <w:rsid w:val="00AB76A5"/>
    <w:rsid w:val="00AC0390"/>
    <w:rsid w:val="00AD3B5A"/>
    <w:rsid w:val="00AD6062"/>
    <w:rsid w:val="00AE1A95"/>
    <w:rsid w:val="00AE73B3"/>
    <w:rsid w:val="00AF02F2"/>
    <w:rsid w:val="00AF49D4"/>
    <w:rsid w:val="00AF77F0"/>
    <w:rsid w:val="00B0283D"/>
    <w:rsid w:val="00B04D8C"/>
    <w:rsid w:val="00B065D8"/>
    <w:rsid w:val="00B21D87"/>
    <w:rsid w:val="00B24808"/>
    <w:rsid w:val="00B250A2"/>
    <w:rsid w:val="00B259D8"/>
    <w:rsid w:val="00B26E44"/>
    <w:rsid w:val="00B404FF"/>
    <w:rsid w:val="00B42C90"/>
    <w:rsid w:val="00B462C2"/>
    <w:rsid w:val="00B5080A"/>
    <w:rsid w:val="00B63A1F"/>
    <w:rsid w:val="00B72157"/>
    <w:rsid w:val="00B7670A"/>
    <w:rsid w:val="00B86631"/>
    <w:rsid w:val="00B960E4"/>
    <w:rsid w:val="00BA5BDE"/>
    <w:rsid w:val="00BB472C"/>
    <w:rsid w:val="00BB6FCB"/>
    <w:rsid w:val="00BB79C0"/>
    <w:rsid w:val="00BC12A9"/>
    <w:rsid w:val="00BE637C"/>
    <w:rsid w:val="00BE7735"/>
    <w:rsid w:val="00BF2650"/>
    <w:rsid w:val="00BF5FB9"/>
    <w:rsid w:val="00C11F75"/>
    <w:rsid w:val="00C12CD3"/>
    <w:rsid w:val="00C16A6C"/>
    <w:rsid w:val="00C2073F"/>
    <w:rsid w:val="00C24146"/>
    <w:rsid w:val="00C537F1"/>
    <w:rsid w:val="00C62352"/>
    <w:rsid w:val="00C67608"/>
    <w:rsid w:val="00C71ECA"/>
    <w:rsid w:val="00C72623"/>
    <w:rsid w:val="00C805D2"/>
    <w:rsid w:val="00C84DB8"/>
    <w:rsid w:val="00C93573"/>
    <w:rsid w:val="00CB620D"/>
    <w:rsid w:val="00CC3010"/>
    <w:rsid w:val="00CC3FF6"/>
    <w:rsid w:val="00CC5C0D"/>
    <w:rsid w:val="00CD7B0C"/>
    <w:rsid w:val="00CE398C"/>
    <w:rsid w:val="00CF21D8"/>
    <w:rsid w:val="00D01444"/>
    <w:rsid w:val="00D02512"/>
    <w:rsid w:val="00D23F9B"/>
    <w:rsid w:val="00D30859"/>
    <w:rsid w:val="00D33084"/>
    <w:rsid w:val="00D3557E"/>
    <w:rsid w:val="00D41449"/>
    <w:rsid w:val="00D4296B"/>
    <w:rsid w:val="00D454B0"/>
    <w:rsid w:val="00D62B54"/>
    <w:rsid w:val="00D64A31"/>
    <w:rsid w:val="00D65DE4"/>
    <w:rsid w:val="00D725A0"/>
    <w:rsid w:val="00D77561"/>
    <w:rsid w:val="00D77A50"/>
    <w:rsid w:val="00D860F0"/>
    <w:rsid w:val="00D86782"/>
    <w:rsid w:val="00D8721A"/>
    <w:rsid w:val="00D87F00"/>
    <w:rsid w:val="00D97CB1"/>
    <w:rsid w:val="00DA7DE6"/>
    <w:rsid w:val="00DA7F86"/>
    <w:rsid w:val="00DB270A"/>
    <w:rsid w:val="00DB57EC"/>
    <w:rsid w:val="00DB58DC"/>
    <w:rsid w:val="00DC2770"/>
    <w:rsid w:val="00DD168A"/>
    <w:rsid w:val="00DD4F69"/>
    <w:rsid w:val="00DE0674"/>
    <w:rsid w:val="00DE2CE6"/>
    <w:rsid w:val="00DE6AF0"/>
    <w:rsid w:val="00DF3A65"/>
    <w:rsid w:val="00DF423B"/>
    <w:rsid w:val="00E060D7"/>
    <w:rsid w:val="00E203E7"/>
    <w:rsid w:val="00E20649"/>
    <w:rsid w:val="00E20E47"/>
    <w:rsid w:val="00E220BB"/>
    <w:rsid w:val="00E250C1"/>
    <w:rsid w:val="00E25E1F"/>
    <w:rsid w:val="00E37095"/>
    <w:rsid w:val="00E50641"/>
    <w:rsid w:val="00E506B6"/>
    <w:rsid w:val="00E53148"/>
    <w:rsid w:val="00E53933"/>
    <w:rsid w:val="00E7077E"/>
    <w:rsid w:val="00E7496F"/>
    <w:rsid w:val="00E77390"/>
    <w:rsid w:val="00E90BDF"/>
    <w:rsid w:val="00E90D5E"/>
    <w:rsid w:val="00E956E8"/>
    <w:rsid w:val="00E973DA"/>
    <w:rsid w:val="00EA63DE"/>
    <w:rsid w:val="00EB098D"/>
    <w:rsid w:val="00EB1AAD"/>
    <w:rsid w:val="00EC065A"/>
    <w:rsid w:val="00ED1A93"/>
    <w:rsid w:val="00ED34A7"/>
    <w:rsid w:val="00ED6E68"/>
    <w:rsid w:val="00EE68C5"/>
    <w:rsid w:val="00F0003C"/>
    <w:rsid w:val="00F33BE6"/>
    <w:rsid w:val="00F357C6"/>
    <w:rsid w:val="00F42097"/>
    <w:rsid w:val="00F43010"/>
    <w:rsid w:val="00F44AC7"/>
    <w:rsid w:val="00F5119D"/>
    <w:rsid w:val="00F560FF"/>
    <w:rsid w:val="00F5618F"/>
    <w:rsid w:val="00F62F13"/>
    <w:rsid w:val="00F70099"/>
    <w:rsid w:val="00F811EA"/>
    <w:rsid w:val="00F91419"/>
    <w:rsid w:val="00FA2BC4"/>
    <w:rsid w:val="00FB600C"/>
    <w:rsid w:val="00FB6431"/>
    <w:rsid w:val="00FB6C50"/>
    <w:rsid w:val="00FC2EDB"/>
    <w:rsid w:val="00FC325B"/>
    <w:rsid w:val="00FE4526"/>
    <w:rsid w:val="00FE558A"/>
    <w:rsid w:val="00FF220E"/>
    <w:rsid w:val="00FF2BF9"/>
    <w:rsid w:val="00FF32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40FD"/>
    <w:pPr>
      <w:spacing w:after="0" w:line="240" w:lineRule="auto"/>
    </w:pPr>
    <w:rPr>
      <w:rFonts w:ascii="Calibri" w:eastAsiaTheme="minorHAnsi" w:hAnsi="Calibri" w:cs="Calibri"/>
      <w:lang w:eastAsia="en-US"/>
    </w:rPr>
  </w:style>
  <w:style w:type="paragraph" w:styleId="Heading1">
    <w:name w:val="heading 1"/>
    <w:aliases w:val="Pocket"/>
    <w:basedOn w:val="Normal"/>
    <w:next w:val="Normal"/>
    <w:link w:val="Heading1Char"/>
    <w:uiPriority w:val="1"/>
    <w:qFormat/>
    <w:rsid w:val="009F40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Tag and Citations,Heading 2 Char Char Char Char Char Char Char,Heading 2 Char Char Char Char Char Char,cite_tag,Super Script,Char"/>
    <w:basedOn w:val="Normal"/>
    <w:next w:val="Normal"/>
    <w:link w:val="Heading2Char"/>
    <w:uiPriority w:val="2"/>
    <w:qFormat/>
    <w:rsid w:val="009F40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3: Cite,Heading 3 Char1 Char Char,Citation Char Char Char Char,Heading 3 Char Char1"/>
    <w:basedOn w:val="Normal"/>
    <w:next w:val="Normal"/>
    <w:link w:val="Heading3Char"/>
    <w:uiPriority w:val="3"/>
    <w:qFormat/>
    <w:rsid w:val="009F40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 Ch,no read,No Spacing211,No Spacing12,No Spacing2111,No Spacing4,No Spacing11111,No Spacing5,No Spacing21,No Spacing1111,ta,tag,small text,Heading 2 Char2 Char,Heading 2 Char1 Char Char,small space,TAG"/>
    <w:basedOn w:val="Normal"/>
    <w:next w:val="Normal"/>
    <w:link w:val="Heading4Char"/>
    <w:uiPriority w:val="4"/>
    <w:qFormat/>
    <w:rsid w:val="009F40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F40FD"/>
    <w:rPr>
      <w:rFonts w:ascii="Calibri" w:eastAsiaTheme="majorEastAsia" w:hAnsi="Calibri" w:cstheme="majorBidi"/>
      <w:b/>
      <w:bCs/>
      <w:sz w:val="52"/>
      <w:szCs w:val="28"/>
      <w:lang w:eastAsia="en-US"/>
    </w:rPr>
  </w:style>
  <w:style w:type="character" w:customStyle="1" w:styleId="Heading2Char">
    <w:name w:val="Heading 2 Char"/>
    <w:aliases w:val="Hat Char,Heading 2 Char Char1 Char Char,Heading 2 Char2 Char1,Heading 2 Char1 Char Char1,Heading 2 Char Char Char Char,Heading 2 Char Char1 Char1,Tag and Citations Char,Heading 2 Char Char Char Char Char Char Char Char,cite_tag Char1"/>
    <w:basedOn w:val="DefaultParagraphFont"/>
    <w:link w:val="Heading2"/>
    <w:uiPriority w:val="2"/>
    <w:rsid w:val="009F40FD"/>
    <w:rPr>
      <w:rFonts w:ascii="Calibri" w:eastAsiaTheme="majorEastAsia" w:hAnsi="Calibri" w:cstheme="majorBidi"/>
      <w:b/>
      <w:bCs/>
      <w:sz w:val="44"/>
      <w:szCs w:val="26"/>
      <w:u w:val="double"/>
      <w:lang w:eastAsia="en-U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3: Cite Char"/>
    <w:basedOn w:val="DefaultParagraphFont"/>
    <w:link w:val="Heading3"/>
    <w:uiPriority w:val="3"/>
    <w:rsid w:val="009F40FD"/>
    <w:rPr>
      <w:rFonts w:ascii="Calibri" w:eastAsiaTheme="majorEastAsia" w:hAnsi="Calibri" w:cstheme="majorBidi"/>
      <w:b/>
      <w:bCs/>
      <w:sz w:val="32"/>
      <w:u w:val="single"/>
      <w:lang w:eastAsia="en-US"/>
    </w:rPr>
  </w:style>
  <w:style w:type="character" w:customStyle="1" w:styleId="Heading4Char">
    <w:name w:val="Heading 4 Char"/>
    <w:aliases w:val="Tag Char,Big card Char,Normal Tag Char,heading 2 Char,Ch Char, Ch Char,no read Char,No Spacing211 Char,No Spacing12 Char,No Spacing2111 Char,No Spacing4 Char,No Spacing11111 Char,No Spacing5 Char,No Spacing21 Char,No Spacing1111 Char"/>
    <w:basedOn w:val="DefaultParagraphFont"/>
    <w:link w:val="Heading4"/>
    <w:uiPriority w:val="4"/>
    <w:rsid w:val="009F40FD"/>
    <w:rPr>
      <w:rFonts w:ascii="Calibri" w:eastAsiaTheme="majorEastAsia" w:hAnsi="Calibri" w:cstheme="majorBidi"/>
      <w:b/>
      <w:bCs/>
      <w:iCs/>
      <w:sz w:val="26"/>
      <w:lang w:eastAsia="en-US"/>
    </w:rPr>
  </w:style>
  <w:style w:type="character" w:styleId="Emphasis">
    <w:name w:val="Emphasis"/>
    <w:aliases w:val="Minimized,Highlighted,Evidence,minimized,tag2,Size 10,emphasis in card,CD Card,ED - Tag,emphasis,Emphasis!!,Qualifications,normal card text,Underlined,small,Bold Underline,bold underline"/>
    <w:basedOn w:val="DefaultParagraphFont"/>
    <w:uiPriority w:val="7"/>
    <w:qFormat/>
    <w:rsid w:val="009F40FD"/>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Underline Char,apple-style-span + 6 pt,Bold,Kern at 16 pt,Intense Emphasis1,Intense Emphasis2,HHeading 3 + 12 pt,Style,c,Cards + Font: 12 pt Char,Bold Cite Char,Citation Char Char Char,ci,cites Char Ch,Bo"/>
    <w:basedOn w:val="DefaultParagraphFont"/>
    <w:uiPriority w:val="6"/>
    <w:qFormat/>
    <w:rsid w:val="009F40FD"/>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DefaultParagraphFont"/>
    <w:uiPriority w:val="5"/>
    <w:qFormat/>
    <w:rsid w:val="009F40FD"/>
    <w:rPr>
      <w:b/>
      <w:bCs/>
      <w:sz w:val="26"/>
      <w:u w:val="none"/>
    </w:rPr>
  </w:style>
  <w:style w:type="character" w:styleId="Hyperlink">
    <w:name w:val="Hyperlink"/>
    <w:aliases w:val="heading 1 (block title),Important,Read,Internet Link,Card Text"/>
    <w:basedOn w:val="DefaultParagraphFont"/>
    <w:uiPriority w:val="99"/>
    <w:rsid w:val="009F40FD"/>
    <w:rPr>
      <w:color w:val="auto"/>
      <w:u w:val="none"/>
    </w:rPr>
  </w:style>
  <w:style w:type="paragraph" w:customStyle="1" w:styleId="cardtext">
    <w:name w:val="card text"/>
    <w:basedOn w:val="Normal"/>
    <w:link w:val="cardtextChar"/>
    <w:qFormat/>
    <w:rsid w:val="009F40FD"/>
    <w:pPr>
      <w:ind w:left="288" w:right="288"/>
    </w:pPr>
    <w:rPr>
      <w:rFonts w:ascii="Times New Roman" w:hAnsi="Times New Roman"/>
    </w:rPr>
  </w:style>
  <w:style w:type="character" w:customStyle="1" w:styleId="cardtextChar">
    <w:name w:val="card text Char"/>
    <w:link w:val="cardtext"/>
    <w:rsid w:val="009F40FD"/>
    <w:rPr>
      <w:rFonts w:ascii="Times New Roman" w:eastAsiaTheme="minorHAnsi" w:hAnsi="Times New Roman" w:cs="Calibri"/>
      <w:lang w:eastAsia="en-US"/>
    </w:rPr>
  </w:style>
  <w:style w:type="character" w:customStyle="1" w:styleId="TitleChar">
    <w:name w:val="Title Char"/>
    <w:aliases w:val="Bold Underlined Char,UNDERLINE Char,Cites and Cards Char"/>
    <w:link w:val="Title"/>
    <w:uiPriority w:val="6"/>
    <w:qFormat/>
    <w:rsid w:val="009F40FD"/>
    <w:rPr>
      <w:u w:val="single"/>
    </w:rPr>
  </w:style>
  <w:style w:type="paragraph" w:styleId="Title">
    <w:name w:val="Title"/>
    <w:aliases w:val="Bold Underlined,UNDERLINE,Cites and Cards"/>
    <w:basedOn w:val="Normal"/>
    <w:next w:val="Normal"/>
    <w:link w:val="TitleChar"/>
    <w:uiPriority w:val="6"/>
    <w:qFormat/>
    <w:rsid w:val="009F40FD"/>
    <w:pPr>
      <w:outlineLvl w:val="0"/>
    </w:pPr>
    <w:rPr>
      <w:rFonts w:asciiTheme="minorHAnsi" w:eastAsiaTheme="minorEastAsia" w:hAnsiTheme="minorHAnsi" w:cstheme="minorBidi"/>
      <w:u w:val="single"/>
      <w:lang w:eastAsia="zh-CN"/>
    </w:rPr>
  </w:style>
  <w:style w:type="character" w:customStyle="1" w:styleId="TitleChar1">
    <w:name w:val="Title Char1"/>
    <w:basedOn w:val="DefaultParagraphFont"/>
    <w:link w:val="Title"/>
    <w:uiPriority w:val="10"/>
    <w:rsid w:val="009F40FD"/>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ox">
    <w:name w:val="Box"/>
    <w:uiPriority w:val="1"/>
    <w:qFormat/>
    <w:rsid w:val="009F40FD"/>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Cha"/>
    <w:qFormat/>
    <w:rsid w:val="009F40FD"/>
    <w:rPr>
      <w:rFonts w:ascii="Arial Narrow" w:hAnsi="Arial Narrow"/>
      <w:b/>
      <w:sz w:val="24"/>
      <w:szCs w:val="22"/>
      <w:u w:val="thick"/>
    </w:rPr>
  </w:style>
  <w:style w:type="paragraph" w:styleId="DocumentMap">
    <w:name w:val="Document Map"/>
    <w:basedOn w:val="Normal"/>
    <w:link w:val="DocumentMapChar"/>
    <w:uiPriority w:val="99"/>
    <w:semiHidden/>
    <w:unhideWhenUsed/>
    <w:rsid w:val="009F40FD"/>
    <w:rPr>
      <w:rFonts w:ascii="Tahoma" w:hAnsi="Tahoma" w:cs="Tahoma"/>
      <w:sz w:val="16"/>
      <w:szCs w:val="16"/>
    </w:rPr>
  </w:style>
  <w:style w:type="character" w:customStyle="1" w:styleId="DocumentMapChar">
    <w:name w:val="Document Map Char"/>
    <w:basedOn w:val="DefaultParagraphFont"/>
    <w:link w:val="DocumentMap"/>
    <w:uiPriority w:val="99"/>
    <w:semiHidden/>
    <w:rsid w:val="009F40FD"/>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aonet.org/wps/ssi10561/ssi10561.pdf" TargetMode="External"/><Relationship Id="rId5" Type="http://schemas.openxmlformats.org/officeDocument/2006/relationships/hyperlink" Target="http://books.google.com/books?hl=en&amp;lr=&amp;id=BfGvmd4mSe0C&amp;oi=fnd&amp;pg=PP1&amp;dq=latin+america+progress+socioeconomic&amp;ots=rAMn0rJqxV&amp;sig=AKE8fOjyIlvJ2pqz3tpkluCV4os" TargetMode="External"/><Relationship Id="rId4" Type="http://schemas.openxmlformats.org/officeDocument/2006/relationships/hyperlink" Target="http://house.louisiana.gov/house-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Liu</dc:creator>
  <cp:lastModifiedBy>Matt Liu</cp:lastModifiedBy>
  <cp:revision>1</cp:revision>
  <dcterms:created xsi:type="dcterms:W3CDTF">2014-02-15T14:16:00Z</dcterms:created>
  <dcterms:modified xsi:type="dcterms:W3CDTF">2014-02-15T14:16:00Z</dcterms:modified>
</cp:coreProperties>
</file>