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53D" w:rsidRDefault="009B653D" w:rsidP="009B653D">
      <w:pPr>
        <w:pStyle w:val="Heading2"/>
      </w:pPr>
      <w:r>
        <w:t>1AC</w:t>
      </w:r>
    </w:p>
    <w:p w:rsidR="009B653D" w:rsidRPr="009B653D" w:rsidRDefault="009B653D" w:rsidP="009B653D">
      <w:pPr>
        <w:rPr>
          <w:rStyle w:val="StyleStyleBold12pt"/>
        </w:rPr>
      </w:pPr>
      <w:r>
        <w:rPr>
          <w:rStyle w:val="StyleStyleBold12pt"/>
        </w:rPr>
        <w:t>1AC THA v2</w:t>
      </w:r>
    </w:p>
    <w:p w:rsidR="009B653D" w:rsidRDefault="009B653D" w:rsidP="009B653D">
      <w:pPr>
        <w:pStyle w:val="Heading2"/>
      </w:pPr>
      <w:r>
        <w:lastRenderedPageBreak/>
        <w:t>2AC Relations</w:t>
      </w:r>
    </w:p>
    <w:p w:rsidR="009B653D" w:rsidRDefault="009B653D" w:rsidP="009B653D"/>
    <w:p w:rsidR="009B653D" w:rsidRPr="007B3CD9" w:rsidRDefault="009B653D" w:rsidP="009B653D">
      <w:pPr>
        <w:rPr>
          <w:rStyle w:val="StyleStyleBold12pt"/>
        </w:rPr>
      </w:pPr>
      <w:r>
        <w:rPr>
          <w:rStyle w:val="StyleStyleBold12pt"/>
        </w:rPr>
        <w:t xml:space="preserve">Drug </w:t>
      </w:r>
      <w:r w:rsidRPr="007B3CD9">
        <w:rPr>
          <w:rStyle w:val="StyleStyleBold12pt"/>
        </w:rPr>
        <w:t>Trafficking causes extinction through ecological destruction</w:t>
      </w:r>
    </w:p>
    <w:p w:rsidR="009B653D" w:rsidRPr="003F6C04" w:rsidRDefault="009B653D" w:rsidP="009B653D">
      <w:r>
        <w:rPr>
          <w:rStyle w:val="StyleStyleBold12pt"/>
        </w:rPr>
        <w:t xml:space="preserve">Dreyfus, ‘2 </w:t>
      </w:r>
      <w:r w:rsidRPr="003F6C04">
        <w:t xml:space="preserve">[8/5/02, Pablo Gabriel Dreyfus is Arms control expert PhD from the </w:t>
      </w:r>
      <w:proofErr w:type="spellStart"/>
      <w:r w:rsidRPr="003F6C04">
        <w:t>Institut</w:t>
      </w:r>
      <w:proofErr w:type="spellEnd"/>
      <w:r w:rsidRPr="003F6C04">
        <w:t xml:space="preserve"> </w:t>
      </w:r>
      <w:proofErr w:type="spellStart"/>
      <w:r w:rsidRPr="003F6C04">
        <w:t>Universitaire</w:t>
      </w:r>
      <w:proofErr w:type="spellEnd"/>
      <w:r w:rsidRPr="003F6C04">
        <w:t xml:space="preserve"> De </w:t>
      </w:r>
      <w:proofErr w:type="spellStart"/>
      <w:r w:rsidRPr="003F6C04">
        <w:t>Hautes</w:t>
      </w:r>
      <w:proofErr w:type="spellEnd"/>
      <w:r w:rsidRPr="003F6C04">
        <w:t xml:space="preserve"> Etudes </w:t>
      </w:r>
      <w:proofErr w:type="spellStart"/>
      <w:r w:rsidRPr="003F6C04">
        <w:t>Internationale</w:t>
      </w:r>
      <w:proofErr w:type="spellEnd"/>
      <w:r w:rsidRPr="003F6C04">
        <w:t xml:space="preserve">, “Border Spillover: Drug Trafficking and National Security in South America”, </w:t>
      </w:r>
      <w:hyperlink r:id="rId9" w:history="1">
        <w:r w:rsidRPr="003F6C04">
          <w:rPr>
            <w:rStyle w:val="Hyperlink"/>
          </w:rPr>
          <w:t>http://doc.rero.ch/record/2861/files/DreyfusP-these.pdf</w:t>
        </w:r>
      </w:hyperlink>
      <w:r w:rsidRPr="003F6C04">
        <w:t>]</w:t>
      </w:r>
    </w:p>
    <w:p w:rsidR="009B653D" w:rsidRPr="009C2067" w:rsidRDefault="009B653D" w:rsidP="009B653D">
      <w:pPr>
        <w:pStyle w:val="card0"/>
        <w:rPr>
          <w:rStyle w:val="StyleBoldUnderline"/>
          <w:highlight w:val="yellow"/>
        </w:rPr>
      </w:pPr>
      <w:r w:rsidRPr="009C2067">
        <w:rPr>
          <w:rStyle w:val="StyleBoldUnderline"/>
          <w:highlight w:val="green"/>
        </w:rPr>
        <w:t>Ecological threats</w:t>
      </w:r>
      <w:r w:rsidRPr="00E300C3">
        <w:rPr>
          <w:rStyle w:val="StyleBoldUnderline"/>
        </w:rPr>
        <w:t xml:space="preserve">: Ecological threats </w:t>
      </w:r>
      <w:r w:rsidRPr="009C2067">
        <w:rPr>
          <w:rStyle w:val="StyleBoldUnderline"/>
          <w:highlight w:val="green"/>
        </w:rPr>
        <w:t>harm the biosphere</w:t>
      </w:r>
      <w:r w:rsidRPr="00E300C3">
        <w:rPr>
          <w:rStyle w:val="StyleBoldUnderline"/>
        </w:rPr>
        <w:t xml:space="preserve">, </w:t>
      </w:r>
      <w:r w:rsidRPr="009C2067">
        <w:rPr>
          <w:rStyle w:val="StyleBoldUnderline"/>
          <w:highlight w:val="green"/>
        </w:rPr>
        <w:t xml:space="preserve">which </w:t>
      </w:r>
      <w:r w:rsidRPr="009C2067">
        <w:rPr>
          <w:rStyle w:val="StyleBoldUnderline"/>
        </w:rPr>
        <w:t>is</w:t>
      </w:r>
      <w:r w:rsidRPr="00E300C3">
        <w:rPr>
          <w:rStyle w:val="StyleBoldUnderline"/>
        </w:rPr>
        <w:t xml:space="preserve"> the </w:t>
      </w:r>
      <w:r w:rsidRPr="009C2067">
        <w:rPr>
          <w:rStyle w:val="StyleBoldUnderline"/>
          <w:highlight w:val="yellow"/>
        </w:rPr>
        <w:t>essential support</w:t>
      </w:r>
    </w:p>
    <w:p w:rsidR="009B653D" w:rsidRDefault="009B653D" w:rsidP="009B653D">
      <w:proofErr w:type="gramStart"/>
      <w:r w:rsidRPr="009B653D">
        <w:t>system</w:t>
      </w:r>
      <w:proofErr w:type="gramEnd"/>
      <w:r w:rsidRPr="009B653D">
        <w:t xml:space="preserve"> on which all human enterprises depend.134 Ecological threats stemming from drug trafficking </w:t>
      </w:r>
    </w:p>
    <w:p w:rsidR="009B653D" w:rsidRDefault="009B653D" w:rsidP="009B653D">
      <w:r>
        <w:t>AND</w:t>
      </w:r>
    </w:p>
    <w:p w:rsidR="009B653D" w:rsidRPr="009B653D" w:rsidRDefault="009B653D" w:rsidP="009B653D">
      <w:proofErr w:type="gramStart"/>
      <w:r w:rsidRPr="009B653D">
        <w:t>if</w:t>
      </w:r>
      <w:proofErr w:type="gramEnd"/>
      <w:r w:rsidRPr="009B653D">
        <w:t xml:space="preserve"> it is outside of the region under analysis--is an example).</w:t>
      </w:r>
    </w:p>
    <w:p w:rsidR="009B653D" w:rsidRDefault="009B653D" w:rsidP="009B653D"/>
    <w:p w:rsidR="009B653D" w:rsidRPr="00DB64A7" w:rsidRDefault="009B653D" w:rsidP="009B653D">
      <w:pPr>
        <w:rPr>
          <w:rStyle w:val="StyleStyleBold12pt"/>
        </w:rPr>
      </w:pPr>
      <w:r w:rsidRPr="00DB64A7">
        <w:rPr>
          <w:rStyle w:val="StyleStyleBold12pt"/>
        </w:rPr>
        <w:t xml:space="preserve">Relations Solves </w:t>
      </w:r>
      <w:proofErr w:type="spellStart"/>
      <w:r w:rsidRPr="00DB64A7">
        <w:rPr>
          <w:rStyle w:val="StyleStyleBold12pt"/>
        </w:rPr>
        <w:t>Bioterror</w:t>
      </w:r>
      <w:proofErr w:type="spellEnd"/>
    </w:p>
    <w:p w:rsidR="009B653D" w:rsidRPr="00DB64A7" w:rsidRDefault="009B653D" w:rsidP="009B653D">
      <w:pPr>
        <w:rPr>
          <w:rStyle w:val="StyleStyleBold12pt"/>
        </w:rPr>
      </w:pPr>
      <w:r w:rsidRPr="00DB64A7">
        <w:rPr>
          <w:rStyle w:val="StyleStyleBold12pt"/>
        </w:rPr>
        <w:t xml:space="preserve">Rosales et al, ’11 </w:t>
      </w:r>
      <w:r w:rsidRPr="00DB64A7">
        <w:t>[January 2011, Cecilia Rosales is a 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w:t>
      </w:r>
      <w:proofErr w:type="spellStart"/>
      <w:r w:rsidRPr="00DB64A7">
        <w:t>U.S.Mexico</w:t>
      </w:r>
      <w:proofErr w:type="spellEnd"/>
      <w:r w:rsidRPr="00DB64A7">
        <w:t xml:space="preserve"> cross-border workforce training </w:t>
      </w:r>
      <w:proofErr w:type="spellStart"/>
      <w:r w:rsidRPr="00DB64A7">
        <w:t>needs</w:t>
      </w:r>
      <w:proofErr w:type="gramStart"/>
      <w:r w:rsidRPr="00DB64A7">
        <w:t>:survey</w:t>
      </w:r>
      <w:proofErr w:type="spellEnd"/>
      <w:proofErr w:type="gramEnd"/>
      <w:r w:rsidRPr="00DB64A7">
        <w:t xml:space="preserve"> implementation”, http://www.ncbi.nlm.nih.gov/pmc/articles/PMC3134923/]</w:t>
      </w:r>
    </w:p>
    <w:p w:rsidR="009B653D" w:rsidRDefault="009B653D" w:rsidP="009B653D">
      <w:proofErr w:type="spellStart"/>
      <w:r w:rsidRPr="009B653D">
        <w:t>Abinational</w:t>
      </w:r>
      <w:proofErr w:type="spellEnd"/>
      <w:r w:rsidRPr="009B653D">
        <w:t xml:space="preserve"> border-wide, online assessment on preparedness/emergency response and workforce training </w:t>
      </w:r>
    </w:p>
    <w:p w:rsidR="009B653D" w:rsidRDefault="009B653D" w:rsidP="009B653D">
      <w:r>
        <w:t>AND</w:t>
      </w:r>
    </w:p>
    <w:p w:rsidR="009B653D" w:rsidRPr="009B653D" w:rsidRDefault="009B653D" w:rsidP="009B653D">
      <w:proofErr w:type="gramStart"/>
      <w:r w:rsidRPr="009B653D">
        <w:t>the</w:t>
      </w:r>
      <w:proofErr w:type="gramEnd"/>
      <w:r w:rsidRPr="009B653D">
        <w:t xml:space="preserve"> four U.S. Border States and two Mexico Border States. </w:t>
      </w:r>
    </w:p>
    <w:p w:rsidR="009B653D" w:rsidRPr="00DB64A7" w:rsidRDefault="009B653D" w:rsidP="009B653D"/>
    <w:p w:rsidR="009B653D" w:rsidRPr="00E34B47" w:rsidRDefault="009B653D" w:rsidP="009B653D">
      <w:pPr>
        <w:rPr>
          <w:rStyle w:val="StyleStyleBold12pt"/>
        </w:rPr>
      </w:pPr>
      <w:proofErr w:type="spellStart"/>
      <w:r w:rsidRPr="00E34B47">
        <w:rPr>
          <w:rStyle w:val="StyleStyleBold12pt"/>
        </w:rPr>
        <w:t>Bioterror</w:t>
      </w:r>
      <w:proofErr w:type="spellEnd"/>
      <w:r w:rsidRPr="00E34B47">
        <w:rPr>
          <w:rStyle w:val="StyleStyleBold12pt"/>
        </w:rPr>
        <w:t xml:space="preserve"> leads to extinction</w:t>
      </w:r>
    </w:p>
    <w:p w:rsidR="009B653D" w:rsidRPr="00482829" w:rsidRDefault="009B653D" w:rsidP="009B653D">
      <w:r w:rsidRPr="00482829">
        <w:t>Anders </w:t>
      </w:r>
      <w:r w:rsidRPr="00E34B47">
        <w:rPr>
          <w:rStyle w:val="StyleStyleBold12pt"/>
        </w:rPr>
        <w:t>Sandberg 8</w:t>
      </w:r>
      <w:r w:rsidRPr="00482829">
        <w:t xml:space="preserve">, is a James Martin Research Fellow at the Future of Humanity Institute at Oxford University; Jason G. Matheny, PhD candidate in Health Policy and Management at Johns Hopkins Bloomberg School of Public Health and special consultant to the Center for </w:t>
      </w:r>
      <w:proofErr w:type="spellStart"/>
      <w:r w:rsidRPr="00482829">
        <w:t>Biosecurity</w:t>
      </w:r>
      <w:proofErr w:type="spellEnd"/>
      <w:r w:rsidRPr="00482829">
        <w:t xml:space="preserve"> at the University of Pittsburgh Medical Center; Milan M. </w:t>
      </w:r>
      <w:proofErr w:type="spellStart"/>
      <w:r w:rsidRPr="00482829">
        <w:t>Ćirković</w:t>
      </w:r>
      <w:proofErr w:type="spellEnd"/>
      <w:r w:rsidRPr="00482829">
        <w:t>, senior research associate at the Astronomical Observatory of Belgrade and assistant professor of physics at the University of Novi Sad in Serbia and Montenegro, 9/8/8, “How can we reduce the risk of human extinction?,” Bulletin of the Atomic Scientists,</w:t>
      </w:r>
      <w:hyperlink r:id="rId10" w:tgtFrame="_blank" w:history="1">
        <w:r w:rsidRPr="00482829">
          <w:t>http://www.thebulletin.org/web-edition/features/how-can-we-reduce-the-risk-of-human-extinction</w:t>
        </w:r>
      </w:hyperlink>
    </w:p>
    <w:p w:rsidR="009B653D" w:rsidRDefault="009B653D" w:rsidP="009B653D">
      <w:r w:rsidRPr="009B653D">
        <w:t xml:space="preserve">The risks from anthropogenic hazards appear at present larger than those from natural ones. </w:t>
      </w:r>
    </w:p>
    <w:p w:rsidR="009B653D" w:rsidRDefault="009B653D" w:rsidP="009B653D">
      <w:r>
        <w:t>AND</w:t>
      </w:r>
    </w:p>
    <w:p w:rsidR="009B653D" w:rsidRPr="009B653D" w:rsidRDefault="009B653D" w:rsidP="009B653D">
      <w:proofErr w:type="gramStart"/>
      <w:r w:rsidRPr="009B653D">
        <w:t>may</w:t>
      </w:r>
      <w:proofErr w:type="gramEnd"/>
      <w:r w:rsidRPr="009B653D">
        <w:t xml:space="preserve"> increase as biotechnologies continue to improve at a rate rivaling Moore's Law.</w:t>
      </w:r>
    </w:p>
    <w:p w:rsidR="009B653D" w:rsidRPr="00A36B1A" w:rsidRDefault="009B653D" w:rsidP="009B653D"/>
    <w:p w:rsidR="009B653D" w:rsidRDefault="009B653D" w:rsidP="009B653D"/>
    <w:p w:rsidR="009B653D" w:rsidRPr="00832179" w:rsidRDefault="009B653D" w:rsidP="009B653D"/>
    <w:p w:rsidR="009B653D" w:rsidRDefault="009B653D" w:rsidP="009B653D">
      <w:pPr>
        <w:pStyle w:val="Heading2"/>
      </w:pPr>
      <w:r>
        <w:lastRenderedPageBreak/>
        <w:t>2AC Arctic CP</w:t>
      </w:r>
    </w:p>
    <w:p w:rsidR="009B653D" w:rsidRPr="00ED0FA8" w:rsidRDefault="009B653D" w:rsidP="009B653D"/>
    <w:p w:rsidR="009B653D" w:rsidRDefault="009B653D" w:rsidP="009B653D">
      <w:pPr>
        <w:rPr>
          <w:rStyle w:val="StyleStyleBold12pt"/>
        </w:rPr>
      </w:pPr>
      <w:r>
        <w:rPr>
          <w:rStyle w:val="StyleStyleBold12pt"/>
        </w:rPr>
        <w:t>Only the Plan Solves</w:t>
      </w:r>
    </w:p>
    <w:p w:rsidR="009B653D" w:rsidRPr="003E40A8" w:rsidRDefault="009B653D" w:rsidP="009B653D">
      <w:pPr>
        <w:rPr>
          <w:rStyle w:val="StyleStyleBold12pt"/>
        </w:rPr>
      </w:pPr>
      <w:r>
        <w:rPr>
          <w:rStyle w:val="StyleStyleBold12pt"/>
        </w:rPr>
        <w:t xml:space="preserve">U.S. House 4-25 </w:t>
      </w:r>
      <w:r w:rsidRPr="003E40A8">
        <w:t xml:space="preserve">[4/25/13, U.S. HOUSE OF REPRESENTATIVES. “H.R. 1613: To amend the Outer Continental Shelf Lands Act to provide for the proper Federal management and oversight of </w:t>
      </w:r>
      <w:proofErr w:type="spellStart"/>
      <w:r w:rsidRPr="003E40A8">
        <w:t>transboundary</w:t>
      </w:r>
      <w:proofErr w:type="spellEnd"/>
      <w:r w:rsidRPr="003E40A8">
        <w:t xml:space="preserve"> hydrocarbon reservoirs STATEMENT OF TOMMY P. BEAUDREAU ACTING ASSISTANT SECRETARY, LAND AND MINERALS MANAGEMENT UNITED STATES DEPARTMENT OF THE INTERIOR BEFORE THE SUBCOMMITTEE ON ENERGY AND MINERAL RESOURCES COMMITTEE ON NATURAL RESOURCES”, http://www.doi.gov/ocl/hearings/113/hr1613_042513.cfm?renderforprint=1&amp;]</w:t>
      </w:r>
    </w:p>
    <w:p w:rsidR="009B653D" w:rsidRDefault="009B653D" w:rsidP="009B653D">
      <w:r w:rsidRPr="009B653D">
        <w:t>The Mexican market has long been closed to participation by U.S. companies</w:t>
      </w:r>
    </w:p>
    <w:p w:rsidR="009B653D" w:rsidRDefault="009B653D" w:rsidP="009B653D">
      <w:r>
        <w:t>AND</w:t>
      </w:r>
    </w:p>
    <w:p w:rsidR="009B653D" w:rsidRPr="009B653D" w:rsidRDefault="009B653D" w:rsidP="009B653D">
      <w:proofErr w:type="gramStart"/>
      <w:r w:rsidRPr="009B653D">
        <w:t>environmental</w:t>
      </w:r>
      <w:proofErr w:type="gramEnd"/>
      <w:r w:rsidRPr="009B653D">
        <w:t xml:space="preserve"> risks that would result from unilateral exploration and development along the boundary.</w:t>
      </w:r>
    </w:p>
    <w:p w:rsidR="009B653D" w:rsidRPr="00ED0FA8" w:rsidRDefault="009B653D" w:rsidP="009B653D"/>
    <w:p w:rsidR="009B653D" w:rsidRDefault="009B653D" w:rsidP="009B653D"/>
    <w:p w:rsidR="009B653D" w:rsidRDefault="009B653D" w:rsidP="009B653D">
      <w:pPr>
        <w:rPr>
          <w:rStyle w:val="StyleStyleBold12pt"/>
          <w:rFonts w:eastAsiaTheme="majorEastAsia" w:cstheme="majorBidi"/>
          <w:b w:val="0"/>
          <w:bCs w:val="0"/>
          <w:iCs/>
        </w:rPr>
      </w:pPr>
    </w:p>
    <w:p w:rsidR="009B653D" w:rsidRPr="00832179" w:rsidRDefault="009B653D" w:rsidP="009B653D">
      <w:pPr>
        <w:rPr>
          <w:rStyle w:val="StyleStyleBold12pt"/>
        </w:rPr>
      </w:pPr>
      <w:r w:rsidRPr="00832179">
        <w:rPr>
          <w:rStyle w:val="StyleStyleBold12pt"/>
        </w:rPr>
        <w:t>CP Doesn’t Solve Case</w:t>
      </w:r>
    </w:p>
    <w:p w:rsidR="009B653D" w:rsidRPr="00720D00" w:rsidRDefault="009B653D" w:rsidP="009B653D">
      <w:r w:rsidRPr="00720D00">
        <w:rPr>
          <w:rStyle w:val="StyleStyleBold12pt"/>
        </w:rPr>
        <w:t>The Gleaner, 8-21</w:t>
      </w:r>
      <w:r>
        <w:t>-’13 (“</w:t>
      </w:r>
      <w:proofErr w:type="spellStart"/>
      <w:r>
        <w:t>Pemex</w:t>
      </w:r>
      <w:proofErr w:type="spellEnd"/>
      <w:r>
        <w:t xml:space="preserve"> </w:t>
      </w:r>
      <w:proofErr w:type="gramStart"/>
      <w:r>
        <w:t>To</w:t>
      </w:r>
      <w:proofErr w:type="gramEnd"/>
      <w:r>
        <w:t xml:space="preserve"> Explore For Oil In United States” http://jamaica-gleaner.com/gleaner/20130821/business/business7.html)</w:t>
      </w:r>
    </w:p>
    <w:p w:rsidR="009B653D" w:rsidRDefault="009B653D" w:rsidP="009B653D">
      <w:r w:rsidRPr="009B653D">
        <w:t xml:space="preserve">The plan will help </w:t>
      </w:r>
      <w:proofErr w:type="spellStart"/>
      <w:r w:rsidRPr="009B653D">
        <w:t>Petroleos</w:t>
      </w:r>
      <w:proofErr w:type="spellEnd"/>
      <w:r w:rsidRPr="009B653D">
        <w:t xml:space="preserve"> </w:t>
      </w:r>
      <w:proofErr w:type="spellStart"/>
      <w:r w:rsidRPr="009B653D">
        <w:t>Mexicanos</w:t>
      </w:r>
      <w:proofErr w:type="spellEnd"/>
      <w:r w:rsidRPr="009B653D">
        <w:t xml:space="preserve">, known as </w:t>
      </w:r>
      <w:proofErr w:type="spellStart"/>
      <w:r w:rsidRPr="009B653D">
        <w:t>Pemex</w:t>
      </w:r>
      <w:proofErr w:type="spellEnd"/>
      <w:r w:rsidRPr="009B653D">
        <w:t xml:space="preserve">, acquire drilling techniques it </w:t>
      </w:r>
    </w:p>
    <w:p w:rsidR="009B653D" w:rsidRDefault="009B653D" w:rsidP="009B653D">
      <w:r>
        <w:t>AND</w:t>
      </w:r>
    </w:p>
    <w:p w:rsidR="009B653D" w:rsidRPr="009B653D" w:rsidRDefault="009B653D" w:rsidP="009B653D">
      <w:proofErr w:type="gramStart"/>
      <w:r w:rsidRPr="009B653D">
        <w:t>oil</w:t>
      </w:r>
      <w:proofErr w:type="gramEnd"/>
      <w:r w:rsidRPr="009B653D">
        <w:t xml:space="preserve"> production has dropped by about one-quarter over the last decade.</w:t>
      </w:r>
    </w:p>
    <w:p w:rsidR="009B653D" w:rsidRDefault="009B653D" w:rsidP="009B653D">
      <w:pPr>
        <w:rPr>
          <w:rStyle w:val="StyleStyleBold12pt"/>
        </w:rPr>
      </w:pPr>
    </w:p>
    <w:p w:rsidR="009B653D" w:rsidRPr="00832179" w:rsidRDefault="009B653D" w:rsidP="009B653D">
      <w:pPr>
        <w:rPr>
          <w:rStyle w:val="StyleStyleBold12pt"/>
        </w:rPr>
      </w:pPr>
    </w:p>
    <w:p w:rsidR="009B653D" w:rsidRDefault="009B653D" w:rsidP="009B653D">
      <w:pPr>
        <w:pStyle w:val="Heading2"/>
      </w:pPr>
      <w:r>
        <w:lastRenderedPageBreak/>
        <w:t>2AC LNG DA</w:t>
      </w:r>
    </w:p>
    <w:p w:rsidR="009B653D" w:rsidRPr="00907987" w:rsidRDefault="009B653D" w:rsidP="009B653D">
      <w:pPr>
        <w:rPr>
          <w:rStyle w:val="StyleStyleBold12pt"/>
        </w:rPr>
      </w:pPr>
      <w:r w:rsidRPr="00907987">
        <w:rPr>
          <w:rStyle w:val="StyleStyleBold12pt"/>
        </w:rPr>
        <w:t>US Production rise inevitable- will become net exporter</w:t>
      </w:r>
    </w:p>
    <w:p w:rsidR="009B653D" w:rsidRPr="00907987" w:rsidRDefault="009B653D" w:rsidP="009B653D">
      <w:pPr>
        <w:rPr>
          <w:rStyle w:val="StyleStyleBold12pt"/>
        </w:rPr>
      </w:pPr>
      <w:r w:rsidRPr="00907987">
        <w:rPr>
          <w:rStyle w:val="StyleStyleBold12pt"/>
        </w:rPr>
        <w:t xml:space="preserve">Arsenault 8-31 </w:t>
      </w:r>
      <w:r w:rsidRPr="00907987">
        <w:t xml:space="preserve">[8/31/13, Chris Arsenault is a reporter for Al </w:t>
      </w:r>
      <w:proofErr w:type="spellStart"/>
      <w:r w:rsidRPr="00907987">
        <w:t>Jazeera</w:t>
      </w:r>
      <w:proofErr w:type="spellEnd"/>
      <w:r w:rsidRPr="00907987">
        <w:t xml:space="preserve"> and was a reporter with Inter Press Service news agency. He has also reported for CBC radio, the Halifax Chronicle Herald and dozens of magazines. His work focuses on North and South America, geopolitics, energy markets and social movements. Educated in Canada, he holds a BA in history and economics from Dalhousie University and an MA in history from the University of British Columbia, where he was awarded the 2008/09 Phil Lind Fellowship. In 2012, he held the </w:t>
      </w:r>
      <w:proofErr w:type="spellStart"/>
      <w:r w:rsidRPr="00907987">
        <w:t>Wolfson</w:t>
      </w:r>
      <w:proofErr w:type="spellEnd"/>
      <w:r w:rsidRPr="00907987">
        <w:t xml:space="preserve"> Press Fellowship at Cambridge University. Arsenault has been a guest lecturer the University of Toronto, Queen’s University, York University, Laurentian, Saint Mary's University and the Universidad </w:t>
      </w:r>
      <w:proofErr w:type="spellStart"/>
      <w:r w:rsidRPr="00907987">
        <w:t>Anáhuac</w:t>
      </w:r>
      <w:proofErr w:type="spellEnd"/>
      <w:r w:rsidRPr="00907987">
        <w:t xml:space="preserve"> in Mexico City. His first book is titled Blowback: A Canadian History of Agent Orange and the War at Home. “US could reclaim role as net energy exporter”, http://www.aljazeera.com/indepth/features/2013/08/2013831142514713250.html]</w:t>
      </w:r>
    </w:p>
    <w:p w:rsidR="009B653D" w:rsidRDefault="009B653D" w:rsidP="009B653D">
      <w:r w:rsidRPr="009B653D">
        <w:t xml:space="preserve">In changes that would have been unthinkable just five years ago, the US is </w:t>
      </w:r>
    </w:p>
    <w:p w:rsidR="009B653D" w:rsidRDefault="009B653D" w:rsidP="009B653D">
      <w:r>
        <w:t>AND</w:t>
      </w:r>
    </w:p>
    <w:p w:rsidR="009B653D" w:rsidRPr="009B653D" w:rsidRDefault="009B653D" w:rsidP="009B653D">
      <w:proofErr w:type="gramStart"/>
      <w:r w:rsidRPr="009B653D">
        <w:t>according</w:t>
      </w:r>
      <w:proofErr w:type="gramEnd"/>
      <w:r w:rsidRPr="009B653D">
        <w:t xml:space="preserve"> to a November 2012 report from the International Energy Agency (IEA). </w:t>
      </w:r>
    </w:p>
    <w:p w:rsidR="009B653D" w:rsidRPr="00907987" w:rsidRDefault="009B653D" w:rsidP="009B653D">
      <w:pPr>
        <w:rPr>
          <w:rStyle w:val="StyleStyleBold12pt"/>
        </w:rPr>
      </w:pPr>
    </w:p>
    <w:p w:rsidR="009B653D" w:rsidRPr="00DB668D" w:rsidRDefault="009B653D" w:rsidP="009B653D"/>
    <w:p w:rsidR="009B653D" w:rsidRDefault="009B653D" w:rsidP="009B653D"/>
    <w:p w:rsidR="009B653D" w:rsidRPr="00DE46DA" w:rsidRDefault="009B653D" w:rsidP="009B653D">
      <w:pPr>
        <w:rPr>
          <w:rStyle w:val="StyleStyleBold12pt"/>
        </w:rPr>
      </w:pPr>
      <w:r>
        <w:rPr>
          <w:rStyle w:val="StyleStyleBold12pt"/>
        </w:rPr>
        <w:t>Other Energy bills Thump</w:t>
      </w:r>
    </w:p>
    <w:p w:rsidR="009B653D" w:rsidRDefault="009B653D" w:rsidP="009B653D">
      <w:proofErr w:type="spellStart"/>
      <w:r w:rsidRPr="00DE46DA">
        <w:rPr>
          <w:rStyle w:val="StyleStyleBold12pt"/>
        </w:rPr>
        <w:t>Alario</w:t>
      </w:r>
      <w:proofErr w:type="spellEnd"/>
      <w:r w:rsidRPr="00DE46DA">
        <w:rPr>
          <w:rStyle w:val="StyleStyleBold12pt"/>
        </w:rPr>
        <w:t xml:space="preserve"> 6-16</w:t>
      </w:r>
      <w:r w:rsidRPr="00824095">
        <w:t xml:space="preserve"> [6/16/13, Dick </w:t>
      </w:r>
      <w:proofErr w:type="spellStart"/>
      <w:r w:rsidRPr="00824095">
        <w:t>Alario</w:t>
      </w:r>
      <w:proofErr w:type="spellEnd"/>
      <w:r w:rsidRPr="00824095">
        <w:t xml:space="preserve"> is the Chairman of the National Ocean Industries Association which represents all facets of the domestic offshore energy and related industries, “Time to Remove Roadblocks to Offshore Energy Production</w:t>
      </w:r>
      <w:r>
        <w:t xml:space="preserve">”, </w:t>
      </w:r>
      <w:hyperlink r:id="rId11" w:history="1">
        <w:r>
          <w:t>http://www.noia.org/time-to-remove-roadblocks-to-offshore-energy-production/</w:t>
        </w:r>
      </w:hyperlink>
      <w:r>
        <w:t>]</w:t>
      </w:r>
    </w:p>
    <w:p w:rsidR="009B653D" w:rsidRDefault="009B653D" w:rsidP="009B653D">
      <w:r w:rsidRPr="009B653D">
        <w:t xml:space="preserve">A decade ago, it seemed far-fetched that America would be poised to </w:t>
      </w:r>
    </w:p>
    <w:p w:rsidR="009B653D" w:rsidRDefault="009B653D" w:rsidP="009B653D">
      <w:r>
        <w:t>AND</w:t>
      </w:r>
    </w:p>
    <w:p w:rsidR="009B653D" w:rsidRPr="009B653D" w:rsidRDefault="009B653D" w:rsidP="009B653D">
      <w:r w:rsidRPr="009B653D">
        <w:t xml:space="preserve"> </w:t>
      </w:r>
      <w:proofErr w:type="gramStart"/>
      <w:r w:rsidRPr="009B653D">
        <w:t>that</w:t>
      </w:r>
      <w:proofErr w:type="gramEnd"/>
      <w:r w:rsidRPr="009B653D">
        <w:t xml:space="preserve"> will provide independent advice to the offshore energy industry.</w:t>
      </w:r>
    </w:p>
    <w:p w:rsidR="009B653D" w:rsidRDefault="009B653D" w:rsidP="009B653D"/>
    <w:p w:rsidR="009B653D" w:rsidRDefault="009B653D" w:rsidP="009B653D"/>
    <w:p w:rsidR="009B653D" w:rsidRPr="00DE46DA" w:rsidRDefault="009B653D" w:rsidP="009B653D">
      <w:pPr>
        <w:rPr>
          <w:rStyle w:val="StyleStyleBold12pt"/>
        </w:rPr>
      </w:pPr>
      <w:r w:rsidRPr="00DE46DA">
        <w:rPr>
          <w:rStyle w:val="StyleStyleBold12pt"/>
        </w:rPr>
        <w:t>No links</w:t>
      </w:r>
      <w:r>
        <w:rPr>
          <w:rStyle w:val="StyleStyleBold12pt"/>
        </w:rPr>
        <w:t xml:space="preserve"> – no revolution</w:t>
      </w:r>
    </w:p>
    <w:p w:rsidR="009B653D" w:rsidRDefault="009B653D" w:rsidP="009B653D">
      <w:r w:rsidRPr="00DE46DA">
        <w:rPr>
          <w:rStyle w:val="StyleStyleBold12pt"/>
        </w:rPr>
        <w:t>Simmons 4-25</w:t>
      </w:r>
      <w:r>
        <w:t xml:space="preserve"> [4/25/13, Daniel Simmons is the Institution for Energy Research State and Regulatory Affairs Director before the House Natural Resources Subcommittee on Energy and Mineral Resources, “SIMMONS: North America is Energy Rich”, </w:t>
      </w:r>
      <w:hyperlink r:id="rId12" w:history="1">
        <w:r>
          <w:t>http://www.instituteforenergyresearch.org/2013/04/25/simmons-north-america-is-energy-rich/</w:t>
        </w:r>
      </w:hyperlink>
      <w:r>
        <w:t>]</w:t>
      </w:r>
    </w:p>
    <w:p w:rsidR="009B653D" w:rsidRDefault="009B653D" w:rsidP="009B653D">
      <w:r w:rsidRPr="009B653D">
        <w:t xml:space="preserve">The United States and Mexico are energy rich countries. Total recoverable oil in North </w:t>
      </w:r>
    </w:p>
    <w:p w:rsidR="009B653D" w:rsidRDefault="009B653D" w:rsidP="009B653D">
      <w:r>
        <w:t>AND</w:t>
      </w:r>
    </w:p>
    <w:p w:rsidR="009B653D" w:rsidRPr="009B653D" w:rsidRDefault="009B653D" w:rsidP="009B653D">
      <w:proofErr w:type="gramStart"/>
      <w:r w:rsidRPr="009B653D">
        <w:t>the</w:t>
      </w:r>
      <w:proofErr w:type="gramEnd"/>
      <w:r w:rsidRPr="009B653D">
        <w:t xml:space="preserve"> border is the potential for cooperation between the United States and Mexico.</w:t>
      </w:r>
    </w:p>
    <w:p w:rsidR="009B653D" w:rsidRDefault="009B653D" w:rsidP="009B653D"/>
    <w:p w:rsidR="009B653D" w:rsidRPr="004254CD" w:rsidRDefault="009B653D" w:rsidP="009B653D">
      <w:pPr>
        <w:rPr>
          <w:rStyle w:val="StyleStyleBold12pt"/>
        </w:rPr>
      </w:pPr>
      <w:r w:rsidRPr="004254CD">
        <w:rPr>
          <w:rStyle w:val="StyleStyleBold12pt"/>
        </w:rPr>
        <w:t>Russia economy low now---multiple alt causes</w:t>
      </w:r>
    </w:p>
    <w:p w:rsidR="009B653D" w:rsidRPr="00CE5068" w:rsidRDefault="009B653D" w:rsidP="009B653D">
      <w:proofErr w:type="spellStart"/>
      <w:r w:rsidRPr="00CE5068">
        <w:rPr>
          <w:rStyle w:val="StyleStyleBold12pt"/>
        </w:rPr>
        <w:t>Businessweek</w:t>
      </w:r>
      <w:proofErr w:type="spellEnd"/>
      <w:r w:rsidRPr="00CE5068">
        <w:rPr>
          <w:rStyle w:val="StyleStyleBold12pt"/>
        </w:rPr>
        <w:t xml:space="preserve"> 13 – </w:t>
      </w:r>
      <w:r w:rsidRPr="00CE5068">
        <w:t xml:space="preserve">Scott Rose AND*** Olga </w:t>
      </w:r>
      <w:proofErr w:type="spellStart"/>
      <w:r w:rsidRPr="00CE5068">
        <w:t>Tanas</w:t>
      </w:r>
      <w:proofErr w:type="spellEnd"/>
      <w:r w:rsidRPr="00CE5068">
        <w:t xml:space="preserve">, January 31st, 2013, "Russian Economy Probably Slowed to Three-Year Low in 2012" </w:t>
      </w:r>
      <w:hyperlink r:id="rId13" w:history="1">
        <w:r w:rsidRPr="00CE5068">
          <w:rPr>
            <w:rStyle w:val="Hyperlink"/>
          </w:rPr>
          <w:t>www.businessweek.com/news/2013-01-30/russian-economy-probably-slowed-to-three-year-low-in-2012</w:t>
        </w:r>
      </w:hyperlink>
    </w:p>
    <w:p w:rsidR="009B653D" w:rsidRDefault="009B653D" w:rsidP="009B653D">
      <w:r w:rsidRPr="009B653D">
        <w:t xml:space="preserve">Russia’s economy probably grew last year at the weakest pace since a contraction in 2009 </w:t>
      </w:r>
    </w:p>
    <w:p w:rsidR="009B653D" w:rsidRDefault="009B653D" w:rsidP="009B653D">
      <w:r>
        <w:t>AND</w:t>
      </w:r>
    </w:p>
    <w:p w:rsidR="009B653D" w:rsidRPr="009B653D" w:rsidRDefault="009B653D" w:rsidP="009B653D">
      <w:proofErr w:type="gramStart"/>
      <w:r w:rsidRPr="009B653D">
        <w:t>in</w:t>
      </w:r>
      <w:proofErr w:type="gramEnd"/>
      <w:r w:rsidRPr="009B653D">
        <w:t xml:space="preserve"> more than three years in December, which may sap buying power.</w:t>
      </w:r>
    </w:p>
    <w:p w:rsidR="009B653D" w:rsidRPr="00044671" w:rsidRDefault="009B653D" w:rsidP="009B653D">
      <w:pPr>
        <w:rPr>
          <w:rStyle w:val="StyleStyleBold12pt"/>
        </w:rPr>
      </w:pPr>
      <w:r>
        <w:br/>
      </w:r>
      <w:r w:rsidRPr="00044671">
        <w:rPr>
          <w:rStyle w:val="StyleStyleBold12pt"/>
        </w:rPr>
        <w:t>Oil not key – consensus of experts</w:t>
      </w:r>
    </w:p>
    <w:p w:rsidR="009B653D" w:rsidRDefault="009B653D" w:rsidP="009B653D">
      <w:proofErr w:type="spellStart"/>
      <w:r w:rsidRPr="00B32AC4">
        <w:rPr>
          <w:rStyle w:val="StyleStyleBold12pt"/>
        </w:rPr>
        <w:t>Bondar</w:t>
      </w:r>
      <w:proofErr w:type="spellEnd"/>
      <w:r w:rsidRPr="00B32AC4">
        <w:rPr>
          <w:rStyle w:val="StyleStyleBold12pt"/>
        </w:rPr>
        <w:t xml:space="preserve"> and </w:t>
      </w:r>
      <w:proofErr w:type="spellStart"/>
      <w:r w:rsidRPr="00B32AC4">
        <w:rPr>
          <w:rStyle w:val="StyleStyleBold12pt"/>
        </w:rPr>
        <w:t>Reznikova</w:t>
      </w:r>
      <w:proofErr w:type="spellEnd"/>
      <w:r w:rsidRPr="00B32AC4">
        <w:rPr>
          <w:rStyle w:val="StyleStyleBold12pt"/>
        </w:rPr>
        <w:t xml:space="preserve"> 11</w:t>
      </w:r>
      <w:r>
        <w:t xml:space="preserve"> [writers for RBC Daily [Russia], 2011, Natalia and Anna, "Oil </w:t>
      </w:r>
      <w:proofErr w:type="gramStart"/>
      <w:r>
        <w:t>Out</w:t>
      </w:r>
      <w:proofErr w:type="gramEnd"/>
      <w:r>
        <w:t xml:space="preserve"> of Favor," RBC daily, No.194, Lexis]</w:t>
      </w:r>
    </w:p>
    <w:p w:rsidR="009B653D" w:rsidRDefault="009B653D" w:rsidP="009B653D">
      <w:r w:rsidRPr="009B653D">
        <w:t xml:space="preserve">The weak GDP growth in the first half-year and the low level of </w:t>
      </w:r>
    </w:p>
    <w:p w:rsidR="009B653D" w:rsidRDefault="009B653D" w:rsidP="009B653D">
      <w:r>
        <w:t>AND</w:t>
      </w:r>
    </w:p>
    <w:p w:rsidR="009B653D" w:rsidRPr="009B653D" w:rsidRDefault="009B653D" w:rsidP="009B653D">
      <w:r w:rsidRPr="009B653D">
        <w:t xml:space="preserve">2011, agrees Igor </w:t>
      </w:r>
      <w:proofErr w:type="spellStart"/>
      <w:r w:rsidRPr="009B653D">
        <w:t>Nikolaev</w:t>
      </w:r>
      <w:proofErr w:type="spellEnd"/>
      <w:r w:rsidRPr="009B653D">
        <w:t>, Director of Strategic Analysis at FBK Company.</w:t>
      </w:r>
    </w:p>
    <w:p w:rsidR="009B653D" w:rsidRDefault="009B653D" w:rsidP="009B653D"/>
    <w:p w:rsidR="009B653D" w:rsidRPr="00044671" w:rsidRDefault="009B653D" w:rsidP="009B653D">
      <w:pPr>
        <w:rPr>
          <w:rStyle w:val="StyleStyleBold12pt"/>
        </w:rPr>
      </w:pPr>
      <w:r w:rsidRPr="00044671">
        <w:rPr>
          <w:rStyle w:val="StyleStyleBold12pt"/>
        </w:rPr>
        <w:t>Russian stability does not depend on its economy</w:t>
      </w:r>
    </w:p>
    <w:p w:rsidR="009B653D" w:rsidRPr="00CE5068" w:rsidRDefault="009B653D" w:rsidP="009B653D">
      <w:r w:rsidRPr="00CE5068">
        <w:rPr>
          <w:rStyle w:val="StyleStyleBold12pt"/>
        </w:rPr>
        <w:lastRenderedPageBreak/>
        <w:t xml:space="preserve">Goodrich and </w:t>
      </w:r>
      <w:proofErr w:type="spellStart"/>
      <w:r w:rsidRPr="00CE5068">
        <w:rPr>
          <w:rStyle w:val="StyleStyleBold12pt"/>
        </w:rPr>
        <w:t>Zeihan</w:t>
      </w:r>
      <w:proofErr w:type="spellEnd"/>
      <w:r w:rsidRPr="00CE5068">
        <w:rPr>
          <w:rStyle w:val="StyleStyleBold12pt"/>
        </w:rPr>
        <w:t xml:space="preserve"> 9</w:t>
      </w:r>
      <w:r w:rsidRPr="00CE5068">
        <w:t xml:space="preserve"> [Lauren Goodrich, </w:t>
      </w:r>
      <w:proofErr w:type="spellStart"/>
      <w:r w:rsidRPr="00CE5068">
        <w:t>Stratfor's</w:t>
      </w:r>
      <w:proofErr w:type="spellEnd"/>
      <w:r w:rsidRPr="00CE5068">
        <w:t xml:space="preserve"> Director of Analysis and Senior Eurasia analyst, and Peter </w:t>
      </w:r>
      <w:proofErr w:type="spellStart"/>
      <w:r w:rsidRPr="00CE5068">
        <w:t>Zeihan</w:t>
      </w:r>
      <w:proofErr w:type="spellEnd"/>
      <w:r w:rsidRPr="00CE5068">
        <w:t xml:space="preserve">, Vice President of Analysis at </w:t>
      </w:r>
      <w:proofErr w:type="spellStart"/>
      <w:r w:rsidRPr="00CE5068">
        <w:t>Stratfor</w:t>
      </w:r>
      <w:proofErr w:type="spellEnd"/>
      <w:r w:rsidRPr="00CE5068">
        <w:t xml:space="preserve">, “The Financial Crisis and the Six Pillars of Russian Strength,” March 3 2009, </w:t>
      </w:r>
      <w:hyperlink r:id="rId14" w:history="1">
        <w:r w:rsidRPr="00CE5068">
          <w:t>http://www.stratfor.com/weekly/20090302_financial_crisis_and_six_pillars_russian_strength</w:t>
        </w:r>
      </w:hyperlink>
      <w:r w:rsidRPr="00CE5068">
        <w:t>]</w:t>
      </w:r>
    </w:p>
    <w:p w:rsidR="009B653D" w:rsidRDefault="009B653D" w:rsidP="009B653D">
      <w:r w:rsidRPr="009B653D">
        <w:t xml:space="preserve">Politics: It is no secret that the Kremlin uses an iron fist to maintain </w:t>
      </w:r>
    </w:p>
    <w:p w:rsidR="009B653D" w:rsidRDefault="009B653D" w:rsidP="009B653D">
      <w:r>
        <w:t>AND</w:t>
      </w:r>
    </w:p>
    <w:p w:rsidR="009B653D" w:rsidRPr="009B653D" w:rsidRDefault="009B653D" w:rsidP="009B653D">
      <w:proofErr w:type="gramStart"/>
      <w:r w:rsidRPr="009B653D">
        <w:t>stability</w:t>
      </w:r>
      <w:proofErr w:type="gramEnd"/>
      <w:r w:rsidRPr="009B653D">
        <w:t xml:space="preserve"> and authority, regardless of whether this benefits the recipient of Moscow's attention</w:t>
      </w:r>
    </w:p>
    <w:p w:rsidR="009B653D" w:rsidRPr="00DB668D" w:rsidRDefault="009B653D" w:rsidP="009B653D"/>
    <w:p w:rsidR="009B653D" w:rsidRDefault="009B653D" w:rsidP="009B653D">
      <w:pPr>
        <w:pStyle w:val="Heading2"/>
      </w:pPr>
      <w:r>
        <w:lastRenderedPageBreak/>
        <w:t xml:space="preserve">2AC Nieto </w:t>
      </w:r>
      <w:proofErr w:type="spellStart"/>
      <w:r>
        <w:t>Cred</w:t>
      </w:r>
      <w:proofErr w:type="spellEnd"/>
    </w:p>
    <w:p w:rsidR="009B653D" w:rsidRPr="00CA50E8" w:rsidRDefault="009B653D" w:rsidP="009B653D">
      <w:pPr>
        <w:rPr>
          <w:rStyle w:val="StyleStyleBold12pt"/>
        </w:rPr>
      </w:pPr>
      <w:r w:rsidRPr="00CA50E8">
        <w:rPr>
          <w:rStyle w:val="StyleStyleBold12pt"/>
        </w:rPr>
        <w:t>Momentum has been lost</w:t>
      </w:r>
      <w:r>
        <w:rPr>
          <w:rStyle w:val="StyleStyleBold12pt"/>
        </w:rPr>
        <w:t xml:space="preserve"> for Reforms</w:t>
      </w:r>
    </w:p>
    <w:p w:rsidR="009B653D" w:rsidRPr="00CA50E8" w:rsidRDefault="009B653D" w:rsidP="009B653D">
      <w:pPr>
        <w:rPr>
          <w:b/>
          <w:iCs/>
          <w:sz w:val="24"/>
          <w:u w:val="single"/>
        </w:rPr>
      </w:pPr>
      <w:r w:rsidRPr="00CA50E8">
        <w:rPr>
          <w:rStyle w:val="StyleStyleBold12pt"/>
        </w:rPr>
        <w:t>Webber 9-2</w:t>
      </w:r>
      <w:r>
        <w:t xml:space="preserve"> [9/2/13, Jude Webber is the Financial Times correspondent in Mexico City, “</w:t>
      </w:r>
      <w:proofErr w:type="spellStart"/>
      <w:r>
        <w:t>Peña</w:t>
      </w:r>
      <w:proofErr w:type="spellEnd"/>
      <w:r>
        <w:t xml:space="preserve"> Nieto promises to transform Mexico despite protests”, http://www.ft.com/intl/cms/s/0/17911370-13fe-11e3-b0b4-00144feabdc0.html#axzz2eBJdbZf8]</w:t>
      </w:r>
    </w:p>
    <w:p w:rsidR="009B653D" w:rsidRDefault="009B653D" w:rsidP="009B653D">
      <w:r w:rsidRPr="009B653D">
        <w:t xml:space="preserve">The president sought to </w:t>
      </w:r>
      <w:proofErr w:type="spellStart"/>
      <w:r w:rsidRPr="009B653D">
        <w:t>minimise</w:t>
      </w:r>
      <w:proofErr w:type="spellEnd"/>
      <w:r w:rsidRPr="009B653D">
        <w:t xml:space="preserve"> the protests, saying they were from teachers in poverty</w:t>
      </w:r>
    </w:p>
    <w:p w:rsidR="009B653D" w:rsidRDefault="009B653D" w:rsidP="009B653D">
      <w:r>
        <w:t>AND</w:t>
      </w:r>
    </w:p>
    <w:p w:rsidR="009B653D" w:rsidRPr="009B653D" w:rsidRDefault="009B653D" w:rsidP="009B653D">
      <w:r w:rsidRPr="009B653D">
        <w:t xml:space="preserve">, Elba Esther </w:t>
      </w:r>
      <w:proofErr w:type="spellStart"/>
      <w:r w:rsidRPr="009B653D">
        <w:t>Gordillo</w:t>
      </w:r>
      <w:proofErr w:type="spellEnd"/>
      <w:r w:rsidRPr="009B653D">
        <w:t>, on embezzlement charges and a key telecoms reform.</w:t>
      </w:r>
    </w:p>
    <w:p w:rsidR="009B653D" w:rsidRPr="00506D54" w:rsidRDefault="009B653D" w:rsidP="009B653D"/>
    <w:p w:rsidR="009B653D" w:rsidRDefault="009B653D" w:rsidP="009B653D">
      <w:pPr>
        <w:rPr>
          <w:rStyle w:val="StyleStyleBold12pt"/>
        </w:rPr>
      </w:pPr>
      <w:r>
        <w:rPr>
          <w:rStyle w:val="StyleStyleBold12pt"/>
        </w:rPr>
        <w:t>Plan Provides momentum for reforms</w:t>
      </w:r>
    </w:p>
    <w:p w:rsidR="009B653D" w:rsidRPr="00502BD1" w:rsidRDefault="009B653D" w:rsidP="009B653D">
      <w:pPr>
        <w:rPr>
          <w:rStyle w:val="StyleStyleBold12pt"/>
        </w:rPr>
      </w:pPr>
      <w:r>
        <w:rPr>
          <w:rStyle w:val="StyleStyleBold12pt"/>
        </w:rPr>
        <w:t xml:space="preserve">Goldwyn </w:t>
      </w:r>
      <w:proofErr w:type="gramStart"/>
      <w:r>
        <w:rPr>
          <w:rStyle w:val="StyleStyleBold12pt"/>
        </w:rPr>
        <w:t>et</w:t>
      </w:r>
      <w:proofErr w:type="gramEnd"/>
      <w:r>
        <w:rPr>
          <w:rStyle w:val="StyleStyleBold12pt"/>
        </w:rPr>
        <w:t xml:space="preserve">. al 8-14 </w:t>
      </w:r>
      <w:r w:rsidRPr="00502BD1">
        <w:t xml:space="preserve">[8/14/13, David L. Goldwyn is president of Goldwyn Global Strategies, LLC, an international energy advisory consultancy, and a nonresident senior fellow with the Energy Security Initiative at the Brookings Institution. David Goldwyn served as the U.S. State Department’s special envoy and coordinator for international energy affairs from 2009-2011, reporting directly to Secretary of State Hillary Clinton. In this position, Goldwyn conceived and developed the Global Shale Gas Initiative and the Energy Governance and Capacity Initiative, led ministerial-level energy dialogues with Angola, Canada, China, India, Iraq, Mexico, Nigeria and Brazil, and co-chaired a regional </w:t>
      </w:r>
      <w:proofErr w:type="spellStart"/>
      <w:r w:rsidRPr="00502BD1">
        <w:t>biofuels</w:t>
      </w:r>
      <w:proofErr w:type="spellEnd"/>
      <w:r w:rsidRPr="00502BD1">
        <w:t xml:space="preserve"> initiative with Brazil. Neil R. Brown is a Senior Advisor at Goldwyn Global Strategies. Cory R. Gill is an Associate at Goldwyn Global Strategies. “Time to Implement the U.S.-Mexico </w:t>
      </w:r>
      <w:proofErr w:type="spellStart"/>
      <w:r w:rsidRPr="00502BD1">
        <w:t>Transboundary</w:t>
      </w:r>
      <w:proofErr w:type="spellEnd"/>
      <w:r w:rsidRPr="00502BD1">
        <w:t xml:space="preserve"> Hydrocarbons Agreement — Congress: Drop the Poison Pill”, http://www.brookings.edu/blogs/up-front/posts/2013/08/14-us-mexico-transboundary-hydrocarbon-goldwyn-brown-gill]</w:t>
      </w:r>
    </w:p>
    <w:p w:rsidR="009B653D" w:rsidRDefault="009B653D" w:rsidP="009B653D">
      <w:r w:rsidRPr="009B653D">
        <w:t xml:space="preserve">Senior Mexican officials have indicated the </w:t>
      </w:r>
      <w:proofErr w:type="spellStart"/>
      <w:r w:rsidRPr="009B653D">
        <w:t>transboundary</w:t>
      </w:r>
      <w:proofErr w:type="spellEnd"/>
      <w:r w:rsidRPr="009B653D">
        <w:t xml:space="preserve"> agreement could provide crucial momentum to President </w:t>
      </w:r>
      <w:proofErr w:type="spellStart"/>
      <w:r w:rsidRPr="009B653D">
        <w:t>Peña</w:t>
      </w:r>
      <w:proofErr w:type="spellEnd"/>
      <w:r w:rsidRPr="009B653D">
        <w:t xml:space="preserve"> </w:t>
      </w:r>
    </w:p>
    <w:p w:rsidR="009B653D" w:rsidRDefault="009B653D" w:rsidP="009B653D">
      <w:r>
        <w:t>AND</w:t>
      </w:r>
    </w:p>
    <w:p w:rsidR="009B653D" w:rsidRPr="009B653D" w:rsidRDefault="009B653D" w:rsidP="009B653D">
      <w:r w:rsidRPr="009B653D">
        <w:t xml:space="preserve">. </w:t>
      </w:r>
      <w:proofErr w:type="gramStart"/>
      <w:r w:rsidRPr="009B653D">
        <w:t>Gulf Coast communities vulnerable to negative environmental impacts from Mexican exploration activities."</w:t>
      </w:r>
      <w:proofErr w:type="gramEnd"/>
    </w:p>
    <w:p w:rsidR="009B653D" w:rsidRDefault="009B653D" w:rsidP="009B653D">
      <w:pPr>
        <w:pStyle w:val="Card"/>
        <w:rPr>
          <w:rStyle w:val="StyleBoldUnderline"/>
        </w:rPr>
      </w:pPr>
    </w:p>
    <w:p w:rsidR="009B653D" w:rsidRDefault="009B653D" w:rsidP="009B653D"/>
    <w:p w:rsidR="009B653D" w:rsidRDefault="009B653D" w:rsidP="009B653D">
      <w:pPr>
        <w:rPr>
          <w:rStyle w:val="StyleStyleBold12pt"/>
        </w:rPr>
      </w:pPr>
      <w:r>
        <w:rPr>
          <w:rStyle w:val="StyleStyleBold12pt"/>
        </w:rPr>
        <w:t xml:space="preserve">Plan is key to make Reforms </w:t>
      </w:r>
      <w:proofErr w:type="spellStart"/>
      <w:r>
        <w:rPr>
          <w:rStyle w:val="StyleStyleBold12pt"/>
        </w:rPr>
        <w:t>Succesful</w:t>
      </w:r>
      <w:proofErr w:type="spellEnd"/>
    </w:p>
    <w:p w:rsidR="009B653D" w:rsidRPr="00CF666E" w:rsidRDefault="009B653D" w:rsidP="009B653D">
      <w:pPr>
        <w:rPr>
          <w:rStyle w:val="StyleStyleBold12pt"/>
        </w:rPr>
      </w:pPr>
      <w:proofErr w:type="spellStart"/>
      <w:r>
        <w:rPr>
          <w:rStyle w:val="StyleStyleBold12pt"/>
        </w:rPr>
        <w:t>Musarra</w:t>
      </w:r>
      <w:proofErr w:type="spellEnd"/>
      <w:r>
        <w:rPr>
          <w:rStyle w:val="StyleStyleBold12pt"/>
        </w:rPr>
        <w:t xml:space="preserve"> 9-16 </w:t>
      </w:r>
      <w:r w:rsidRPr="00CF666E">
        <w:t xml:space="preserve">[9/16/13, Sarah Parker </w:t>
      </w:r>
      <w:proofErr w:type="spellStart"/>
      <w:r w:rsidRPr="00CF666E">
        <w:t>Musarra</w:t>
      </w:r>
      <w:proofErr w:type="spellEnd"/>
      <w:r w:rsidRPr="00CF666E">
        <w:t xml:space="preserve"> is a reporter for OE Digital. “Mexico energy reform seeks to make history by repeating it”, http://oedigital.com/technology/item/3993-mexico-energy-reform-seeks-to-make-history-by-repeating-it]</w:t>
      </w:r>
    </w:p>
    <w:p w:rsidR="009B653D" w:rsidRDefault="009B653D" w:rsidP="009B653D">
      <w:r w:rsidRPr="009B653D">
        <w:t xml:space="preserve">The Mexican government recognizes that there are many parts that have to fall in place </w:t>
      </w:r>
    </w:p>
    <w:p w:rsidR="009B653D" w:rsidRDefault="009B653D" w:rsidP="009B653D">
      <w:r>
        <w:t>AND</w:t>
      </w:r>
    </w:p>
    <w:p w:rsidR="009B653D" w:rsidRPr="009B653D" w:rsidRDefault="009B653D" w:rsidP="009B653D">
      <w:proofErr w:type="gramStart"/>
      <w:r w:rsidRPr="009B653D">
        <w:t>lying</w:t>
      </w:r>
      <w:proofErr w:type="gramEnd"/>
      <w:r w:rsidRPr="009B653D">
        <w:t xml:space="preserve"> in wait in the area, as Mexico is already finding out.</w:t>
      </w:r>
    </w:p>
    <w:p w:rsidR="009B653D" w:rsidRDefault="009B653D" w:rsidP="009B653D"/>
    <w:p w:rsidR="009B653D" w:rsidRPr="001D58BB" w:rsidRDefault="009B653D" w:rsidP="009B653D">
      <w:pPr>
        <w:rPr>
          <w:rStyle w:val="StyleStyleBold12pt"/>
        </w:rPr>
      </w:pPr>
      <w:r w:rsidRPr="001D58BB">
        <w:rPr>
          <w:rStyle w:val="StyleStyleBold12pt"/>
        </w:rPr>
        <w:t>Both the PRI and PAN support the TBA</w:t>
      </w:r>
    </w:p>
    <w:p w:rsidR="009B653D" w:rsidRDefault="009B653D" w:rsidP="009B653D">
      <w:r w:rsidRPr="001D58BB">
        <w:rPr>
          <w:rStyle w:val="StyleStyleBold12pt"/>
        </w:rPr>
        <w:t>EIU ’12</w:t>
      </w:r>
      <w:r>
        <w:t xml:space="preserve"> [4/27/12, The Economist Intelligence Unit are a research group that benefits business leaders with their knowledge, “</w:t>
      </w:r>
      <w:r w:rsidRPr="001D58BB">
        <w:t>Mexico oil and gas: Dollars from doughnuts?</w:t>
      </w:r>
      <w:proofErr w:type="gramStart"/>
      <w:r>
        <w:t>”,</w:t>
      </w:r>
      <w:proofErr w:type="gramEnd"/>
      <w:r>
        <w:t xml:space="preserve"> </w:t>
      </w:r>
      <w:hyperlink r:id="rId15" w:history="1">
        <w:r w:rsidRPr="001D58BB">
          <w:rPr>
            <w:color w:val="0000FF"/>
            <w:u w:val="single"/>
          </w:rPr>
          <w:t>http://www.embassyofmexico.org/tweets/MexicooilandgasDollarsfromDonutsTheEconomist.pdf</w:t>
        </w:r>
      </w:hyperlink>
      <w:r>
        <w:t>]</w:t>
      </w:r>
    </w:p>
    <w:p w:rsidR="009B653D" w:rsidRDefault="009B653D" w:rsidP="009B653D">
      <w:r w:rsidRPr="009B653D">
        <w:t xml:space="preserve">The new arrangement promises to be particularly beneficial south of the border. All being </w:t>
      </w:r>
    </w:p>
    <w:p w:rsidR="009B653D" w:rsidRDefault="009B653D" w:rsidP="009B653D">
      <w:r>
        <w:t>AND</w:t>
      </w:r>
    </w:p>
    <w:p w:rsidR="009B653D" w:rsidRPr="009B653D" w:rsidRDefault="009B653D" w:rsidP="009B653D">
      <w:proofErr w:type="gramStart"/>
      <w:r w:rsidRPr="009B653D">
        <w:t>the</w:t>
      </w:r>
      <w:proofErr w:type="gramEnd"/>
      <w:r w:rsidRPr="009B653D">
        <w:t xml:space="preserve"> pact “will be a tool to defend [Mexico’s] interests”.</w:t>
      </w:r>
    </w:p>
    <w:p w:rsidR="009B653D" w:rsidRDefault="009B653D" w:rsidP="009B653D"/>
    <w:p w:rsidR="009B653D" w:rsidRDefault="009B653D" w:rsidP="009B653D"/>
    <w:p w:rsidR="009B653D" w:rsidRDefault="009B653D" w:rsidP="009B653D">
      <w:pPr>
        <w:rPr>
          <w:rStyle w:val="StyleBoldUnderline"/>
        </w:rPr>
      </w:pPr>
    </w:p>
    <w:p w:rsidR="009B653D" w:rsidRPr="0062423B" w:rsidRDefault="009B653D" w:rsidP="009B653D"/>
    <w:p w:rsidR="009B653D" w:rsidRDefault="009B653D" w:rsidP="009B653D">
      <w:pPr>
        <w:pStyle w:val="Heading2"/>
      </w:pPr>
      <w:r>
        <w:lastRenderedPageBreak/>
        <w:t>2AC Protectionism DA</w:t>
      </w:r>
    </w:p>
    <w:p w:rsidR="009B653D" w:rsidRPr="00DE0669" w:rsidRDefault="009B653D" w:rsidP="009B653D"/>
    <w:p w:rsidR="009B653D" w:rsidRPr="00DB64A7" w:rsidRDefault="009B653D" w:rsidP="009B653D">
      <w:pPr>
        <w:rPr>
          <w:rStyle w:val="StyleStyleBold12pt"/>
        </w:rPr>
      </w:pPr>
      <w:r w:rsidRPr="00DB64A7">
        <w:rPr>
          <w:rStyle w:val="StyleStyleBold12pt"/>
        </w:rPr>
        <w:t>Relations Solve Extinction</w:t>
      </w:r>
    </w:p>
    <w:p w:rsidR="009B653D" w:rsidRPr="00DB64A7" w:rsidRDefault="009B653D" w:rsidP="009B653D">
      <w:r w:rsidRPr="00DB64A7">
        <w:rPr>
          <w:rStyle w:val="StyleStyleBold12pt"/>
        </w:rPr>
        <w:t>Baker, ‘7</w:t>
      </w:r>
      <w:r w:rsidRPr="00DB64A7">
        <w:t xml:space="preserve"> [July 2007, Dr. Biff Baker works with U.S. Northern Command J5/Theater Security Cooperation, retired Joint Specialty </w:t>
      </w:r>
      <w:proofErr w:type="spellStart"/>
      <w:r w:rsidRPr="00DB64A7">
        <w:t>Ofﬁcer</w:t>
      </w:r>
      <w:proofErr w:type="spellEnd"/>
      <w:r w:rsidRPr="00DB64A7">
        <w:t xml:space="preserve">, Defense Institute of Security Assistance Management graduate, and former Security Assistance </w:t>
      </w:r>
      <w:proofErr w:type="spellStart"/>
      <w:r w:rsidRPr="00DB64A7">
        <w:t>Ofﬁcer</w:t>
      </w:r>
      <w:proofErr w:type="spellEnd"/>
      <w:r w:rsidRPr="00DB64A7">
        <w:t xml:space="preserve"> with the U.S. Embassy in Kuwait, “The United States and Mexico Enhanced Military Cooperation”, http://www.disam.dsca.mil/pubs/Vol%2029_3/Baker_Biff.pdf]</w:t>
      </w:r>
    </w:p>
    <w:p w:rsidR="009B653D" w:rsidRDefault="009B653D" w:rsidP="009B653D">
      <w:r w:rsidRPr="009B653D">
        <w:t xml:space="preserve">Diplomatic relationships between the United States and Mexico have waxed and waned since our close </w:t>
      </w:r>
    </w:p>
    <w:p w:rsidR="009B653D" w:rsidRDefault="009B653D" w:rsidP="009B653D">
      <w:r>
        <w:t>AND</w:t>
      </w:r>
    </w:p>
    <w:p w:rsidR="009B653D" w:rsidRPr="009B653D" w:rsidRDefault="009B653D" w:rsidP="009B653D">
      <w:proofErr w:type="gramStart"/>
      <w:r w:rsidRPr="009B653D">
        <w:t>foundation</w:t>
      </w:r>
      <w:proofErr w:type="gramEnd"/>
      <w:r w:rsidRPr="009B653D">
        <w:t xml:space="preserve"> of every relationship whether it is between two individuals or two nations. </w:t>
      </w:r>
    </w:p>
    <w:p w:rsidR="009B653D" w:rsidRDefault="009B653D" w:rsidP="009B653D"/>
    <w:p w:rsidR="009B653D" w:rsidRPr="00DE0669" w:rsidRDefault="009B653D" w:rsidP="009B653D"/>
    <w:p w:rsidR="009B653D" w:rsidRPr="00DB64A7" w:rsidRDefault="009B653D" w:rsidP="009B653D">
      <w:pPr>
        <w:rPr>
          <w:rStyle w:val="StyleStyleBold12pt"/>
        </w:rPr>
      </w:pPr>
      <w:r w:rsidRPr="00DB64A7">
        <w:rPr>
          <w:rStyle w:val="StyleStyleBold12pt"/>
        </w:rPr>
        <w:t>Relations solves Trade Deficit with China and boosts overall Latin American Relations</w:t>
      </w:r>
    </w:p>
    <w:p w:rsidR="009B653D" w:rsidRPr="00DB64A7" w:rsidRDefault="009B653D" w:rsidP="009B653D">
      <w:pPr>
        <w:rPr>
          <w:rStyle w:val="StyleStyleBold12pt"/>
          <w:rFonts w:ascii="Garamond" w:hAnsi="Garamond"/>
          <w:b w:val="0"/>
          <w:bCs w:val="0"/>
          <w:sz w:val="20"/>
        </w:rPr>
      </w:pPr>
      <w:proofErr w:type="spellStart"/>
      <w:r w:rsidRPr="00DB64A7">
        <w:rPr>
          <w:rStyle w:val="StyleStyleBold12pt"/>
        </w:rPr>
        <w:t>Montealegre</w:t>
      </w:r>
      <w:proofErr w:type="spellEnd"/>
      <w:r w:rsidRPr="00DB64A7">
        <w:rPr>
          <w:rStyle w:val="StyleStyleBold12pt"/>
        </w:rPr>
        <w:t xml:space="preserve">, 1-24 </w:t>
      </w:r>
      <w:r w:rsidRPr="00DB64A7">
        <w:t xml:space="preserve">[1/24/13, Oscar </w:t>
      </w:r>
      <w:proofErr w:type="spellStart"/>
      <w:r w:rsidRPr="00DB64A7">
        <w:t>Montealegre</w:t>
      </w:r>
      <w:proofErr w:type="spellEnd"/>
      <w:r w:rsidRPr="00DB64A7">
        <w:t xml:space="preserve"> is Diplomatic Courier Contributor and a freelancer specializing in Latin American markets, finance, economics, and geopolitics, MA in International Relations from the University of Westminster-London and a Certificate in International Trade and Commerce from UCLA, “U.S.-Mexico Relations: Love Thy Neighbor”, http://www.diplomaticourier.com/news/regions/latin-america/1331]</w:t>
      </w:r>
    </w:p>
    <w:p w:rsidR="009B653D" w:rsidRDefault="009B653D" w:rsidP="009B653D">
      <w:r w:rsidRPr="009B653D">
        <w:t>It is not common knowledge that Mexico is the United States’ third largest trading partner</w:t>
      </w:r>
    </w:p>
    <w:p w:rsidR="009B653D" w:rsidRDefault="009B653D" w:rsidP="009B653D">
      <w:r>
        <w:t>AND</w:t>
      </w:r>
    </w:p>
    <w:p w:rsidR="009B653D" w:rsidRPr="009B653D" w:rsidRDefault="009B653D" w:rsidP="009B653D">
      <w:proofErr w:type="gramStart"/>
      <w:r w:rsidRPr="009B653D">
        <w:t>political</w:t>
      </w:r>
      <w:proofErr w:type="gramEnd"/>
      <w:r w:rsidRPr="009B653D">
        <w:t xml:space="preserve"> corruption. But don’t India and China have corruption problems as well?</w:t>
      </w:r>
    </w:p>
    <w:p w:rsidR="009B653D" w:rsidRDefault="009B653D" w:rsidP="009B653D"/>
    <w:p w:rsidR="009B653D" w:rsidRDefault="009B653D" w:rsidP="009B653D">
      <w:pPr>
        <w:rPr>
          <w:rStyle w:val="StyleStyleBold12pt"/>
        </w:rPr>
      </w:pPr>
      <w:r w:rsidRPr="00C34091">
        <w:rPr>
          <w:rStyle w:val="StyleStyleBold12pt"/>
        </w:rPr>
        <w:t>Data proves resolving the deficit solves protectionism</w:t>
      </w:r>
    </w:p>
    <w:p w:rsidR="009B653D" w:rsidRPr="00C34091" w:rsidRDefault="009B653D" w:rsidP="009B653D">
      <w:pPr>
        <w:rPr>
          <w:rStyle w:val="StyleStyleBold12pt"/>
        </w:rPr>
      </w:pPr>
      <w:proofErr w:type="spellStart"/>
      <w:r>
        <w:rPr>
          <w:rStyle w:val="StyleStyleBold12pt"/>
        </w:rPr>
        <w:t>Hufbauer</w:t>
      </w:r>
      <w:proofErr w:type="spellEnd"/>
      <w:r>
        <w:rPr>
          <w:rStyle w:val="StyleStyleBold12pt"/>
        </w:rPr>
        <w:t xml:space="preserve"> </w:t>
      </w:r>
      <w:proofErr w:type="gramStart"/>
      <w:r>
        <w:rPr>
          <w:rStyle w:val="StyleStyleBold12pt"/>
        </w:rPr>
        <w:t>et</w:t>
      </w:r>
      <w:proofErr w:type="gramEnd"/>
      <w:r>
        <w:rPr>
          <w:rStyle w:val="StyleStyleBold12pt"/>
        </w:rPr>
        <w:t xml:space="preserve">. al, ’10 </w:t>
      </w:r>
      <w:r w:rsidRPr="00C34091">
        <w:t xml:space="preserve">[March 2010, Gary </w:t>
      </w:r>
      <w:proofErr w:type="spellStart"/>
      <w:r w:rsidRPr="00C34091">
        <w:t>Hufbauer</w:t>
      </w:r>
      <w:proofErr w:type="spellEnd"/>
      <w:r w:rsidRPr="00C34091">
        <w:t xml:space="preserve"> is Former Senior Chair at the Council on Foreign Relations, Author of multiple books on international trade, Peterson Institute for International Economics. “US Protectionist Impulses in the Wake of the Great Recession”,</w:t>
      </w:r>
      <w:r>
        <w:t xml:space="preserve"> </w:t>
      </w:r>
      <w:hyperlink r:id="rId16" w:history="1">
        <w:r w:rsidRPr="00C34091">
          <w:rPr>
            <w:rStyle w:val="Hyperlink"/>
          </w:rPr>
          <w:t>http://www.iie.com/publications/papers/hufbauer201003.pdf</w:t>
        </w:r>
      </w:hyperlink>
      <w:r w:rsidRPr="00C34091">
        <w:t>]</w:t>
      </w:r>
    </w:p>
    <w:p w:rsidR="009B653D" w:rsidRDefault="009B653D" w:rsidP="009B653D">
      <w:r w:rsidRPr="009B653D">
        <w:t xml:space="preserve">The U.S. unemployment rate more than doubled between the onset of the </w:t>
      </w:r>
    </w:p>
    <w:p w:rsidR="009B653D" w:rsidRDefault="009B653D" w:rsidP="009B653D">
      <w:r>
        <w:t>AND</w:t>
      </w:r>
    </w:p>
    <w:p w:rsidR="009B653D" w:rsidRPr="009B653D" w:rsidRDefault="009B653D" w:rsidP="009B653D">
      <w:proofErr w:type="gramStart"/>
      <w:r w:rsidRPr="009B653D">
        <w:t>an</w:t>
      </w:r>
      <w:proofErr w:type="gramEnd"/>
      <w:r w:rsidRPr="009B653D">
        <w:t xml:space="preserve"> easy pass on future new instances of U.S.  </w:t>
      </w:r>
      <w:proofErr w:type="gramStart"/>
      <w:r w:rsidRPr="009B653D">
        <w:t>protectionism</w:t>
      </w:r>
      <w:proofErr w:type="gramEnd"/>
      <w:r w:rsidRPr="009B653D">
        <w:t xml:space="preserve">. </w:t>
      </w:r>
    </w:p>
    <w:p w:rsidR="009B653D" w:rsidRDefault="009B653D" w:rsidP="009B653D"/>
    <w:p w:rsidR="009B653D" w:rsidRPr="00DE0669" w:rsidRDefault="009B653D" w:rsidP="009B653D">
      <w:pPr>
        <w:rPr>
          <w:rStyle w:val="StyleStyleBold12pt"/>
        </w:rPr>
      </w:pPr>
      <w:r w:rsidRPr="00DE0669">
        <w:rPr>
          <w:rStyle w:val="StyleStyleBold12pt"/>
        </w:rPr>
        <w:t xml:space="preserve">No chance of protectionism </w:t>
      </w:r>
    </w:p>
    <w:p w:rsidR="009B653D" w:rsidRPr="00B20318" w:rsidRDefault="009B653D" w:rsidP="009B653D">
      <w:pPr>
        <w:rPr>
          <w:szCs w:val="16"/>
        </w:rPr>
      </w:pPr>
      <w:r w:rsidRPr="00DE0669">
        <w:rPr>
          <w:rStyle w:val="StyleStyleBold12pt"/>
        </w:rPr>
        <w:t>Anderson ‘9</w:t>
      </w:r>
      <w:r w:rsidRPr="00B20318">
        <w:rPr>
          <w:szCs w:val="16"/>
        </w:rPr>
        <w:t>—head of Asia-Pacific Economics for UBS (Jonathan, “Reality Check for Prophets of Protectionism”, August 17th 2009. http://english.caijing.com.cn/2009-08-17/110225722.html)</w:t>
      </w:r>
    </w:p>
    <w:p w:rsidR="009B653D" w:rsidRPr="00B20318" w:rsidRDefault="009B653D" w:rsidP="009B653D">
      <w:pPr>
        <w:rPr>
          <w:szCs w:val="16"/>
        </w:rPr>
      </w:pPr>
    </w:p>
    <w:p w:rsidR="009B653D" w:rsidRDefault="009B653D" w:rsidP="009B653D">
      <w:r w:rsidRPr="009B653D">
        <w:t xml:space="preserve">Now, here we are again, at the beginning of what some commentators call </w:t>
      </w:r>
    </w:p>
    <w:p w:rsidR="009B653D" w:rsidRDefault="009B653D" w:rsidP="009B653D">
      <w:r>
        <w:t>AND</w:t>
      </w:r>
    </w:p>
    <w:p w:rsidR="009B653D" w:rsidRPr="009B653D" w:rsidRDefault="009B653D" w:rsidP="009B653D">
      <w:proofErr w:type="gramStart"/>
      <w:r w:rsidRPr="009B653D">
        <w:t>perhaps</w:t>
      </w:r>
      <w:proofErr w:type="gramEnd"/>
      <w:r w:rsidRPr="009B653D">
        <w:t xml:space="preserve"> longer. But we don't think the real situation supports these fears. </w:t>
      </w:r>
    </w:p>
    <w:p w:rsidR="009B653D" w:rsidRPr="00B20318" w:rsidRDefault="009B653D" w:rsidP="009B653D">
      <w:pPr>
        <w:rPr>
          <w:szCs w:val="16"/>
        </w:rPr>
      </w:pPr>
    </w:p>
    <w:p w:rsidR="009B653D" w:rsidRPr="00DE0669" w:rsidRDefault="009B653D" w:rsidP="009B653D"/>
    <w:p w:rsidR="009B653D" w:rsidRPr="00DB64A7" w:rsidRDefault="009B653D" w:rsidP="009B653D"/>
    <w:p w:rsidR="009B653D" w:rsidRPr="00DE0669" w:rsidRDefault="009B653D" w:rsidP="009B653D"/>
    <w:p w:rsidR="009B653D" w:rsidRPr="0062423B" w:rsidRDefault="009B653D" w:rsidP="009B653D"/>
    <w:p w:rsidR="009B653D" w:rsidRDefault="009B653D" w:rsidP="009B653D">
      <w:pPr>
        <w:pStyle w:val="Heading2"/>
      </w:pPr>
      <w:r>
        <w:lastRenderedPageBreak/>
        <w:t xml:space="preserve">1AR </w:t>
      </w:r>
      <w:proofErr w:type="spellStart"/>
      <w:r>
        <w:t>Pemex</w:t>
      </w:r>
      <w:proofErr w:type="spellEnd"/>
    </w:p>
    <w:p w:rsidR="009B653D" w:rsidRDefault="009B653D" w:rsidP="009B653D">
      <w:pPr>
        <w:rPr>
          <w:rStyle w:val="Emphasis"/>
        </w:rPr>
      </w:pPr>
      <w:proofErr w:type="spellStart"/>
      <w:r>
        <w:rPr>
          <w:rStyle w:val="StyleStyleBold12pt"/>
        </w:rPr>
        <w:t>Pemex</w:t>
      </w:r>
      <w:proofErr w:type="spellEnd"/>
      <w:r>
        <w:rPr>
          <w:rStyle w:val="StyleStyleBold12pt"/>
        </w:rPr>
        <w:t xml:space="preserve"> Production at an </w:t>
      </w:r>
      <w:r>
        <w:rPr>
          <w:rStyle w:val="Emphasis"/>
        </w:rPr>
        <w:t>All-time Low</w:t>
      </w:r>
    </w:p>
    <w:p w:rsidR="009B653D" w:rsidRPr="00B81B4B" w:rsidRDefault="009B653D" w:rsidP="009B653D">
      <w:pPr>
        <w:rPr>
          <w:rStyle w:val="StyleStyleBold12pt"/>
        </w:rPr>
      </w:pPr>
      <w:r>
        <w:rPr>
          <w:rStyle w:val="StyleStyleBold12pt"/>
        </w:rPr>
        <w:t xml:space="preserve">Reuters 8-23 </w:t>
      </w:r>
      <w:r w:rsidRPr="00B81B4B">
        <w:t>[8/23/13, Reuters is an international financial and business news agency “UPDATE 1-Mexican crude oil output sinks to lowest level since 1995”, http://www.reuters.com/article/2013/08/24/mexico-oil-idUSL2N0GO1XV20130824</w:t>
      </w:r>
      <w:r>
        <w:rPr>
          <w:rStyle w:val="StyleStyleBold12pt"/>
        </w:rPr>
        <w:t>]</w:t>
      </w:r>
    </w:p>
    <w:p w:rsidR="009B653D" w:rsidRDefault="009B653D" w:rsidP="009B653D">
      <w:r w:rsidRPr="009B653D">
        <w:t xml:space="preserve">Aug 23 (Reuters) - Mexico produced 2.482 million barrels per day </w:t>
      </w:r>
    </w:p>
    <w:p w:rsidR="009B653D" w:rsidRDefault="009B653D" w:rsidP="009B653D">
      <w:r>
        <w:t>AND</w:t>
      </w:r>
    </w:p>
    <w:p w:rsidR="009B653D" w:rsidRPr="009B653D" w:rsidRDefault="009B653D" w:rsidP="009B653D">
      <w:r w:rsidRPr="009B653D">
        <w:t xml:space="preserve">, Ku </w:t>
      </w:r>
      <w:proofErr w:type="spellStart"/>
      <w:r w:rsidRPr="009B653D">
        <w:t>Maloob</w:t>
      </w:r>
      <w:proofErr w:type="spellEnd"/>
      <w:r w:rsidRPr="009B653D">
        <w:t xml:space="preserve"> </w:t>
      </w:r>
      <w:proofErr w:type="spellStart"/>
      <w:r w:rsidRPr="009B653D">
        <w:t>Zaap</w:t>
      </w:r>
      <w:proofErr w:type="spellEnd"/>
      <w:r w:rsidRPr="009B653D">
        <w:t>, will drop 60 percent over the next decade.</w:t>
      </w:r>
    </w:p>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AB9" w:rsidRDefault="00A13AB9" w:rsidP="005F5576">
      <w:r>
        <w:separator/>
      </w:r>
    </w:p>
  </w:endnote>
  <w:endnote w:type="continuationSeparator" w:id="0">
    <w:p w:rsidR="00A13AB9" w:rsidRDefault="00A13AB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MS PMincho"/>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AB9" w:rsidRDefault="00A13AB9" w:rsidP="005F5576">
      <w:r>
        <w:separator/>
      </w:r>
    </w:p>
  </w:footnote>
  <w:footnote w:type="continuationSeparator" w:id="0">
    <w:p w:rsidR="00A13AB9" w:rsidRDefault="00A13AB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13AB9"/>
    <w:rsid w:val="000022F2"/>
    <w:rsid w:val="0000459F"/>
    <w:rsid w:val="00004EB4"/>
    <w:rsid w:val="00012D5A"/>
    <w:rsid w:val="0002196C"/>
    <w:rsid w:val="00021F29"/>
    <w:rsid w:val="00027EED"/>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666F"/>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54C66"/>
    <w:rsid w:val="008553E1"/>
    <w:rsid w:val="00866057"/>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B653D"/>
    <w:rsid w:val="009C4298"/>
    <w:rsid w:val="009D318C"/>
    <w:rsid w:val="009E5169"/>
    <w:rsid w:val="009F2D31"/>
    <w:rsid w:val="00A10B8B"/>
    <w:rsid w:val="00A13AB9"/>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06C03"/>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2,No Spacing211,No Spacing2111,Heading 2 Char2 Char,Heading 2 Char1 Char Char,small space,Very Small Text,Heading 21"/>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Heading 2 Char2 Char Char,Heading 2 Char1 Char Char Char,small space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CD - Cite"/>
    <w:basedOn w:val="Normal"/>
    <w:link w:val="CardChar"/>
    <w:qFormat/>
    <w:rsid w:val="008367E3"/>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8367E3"/>
    <w:rPr>
      <w:rFonts w:ascii="Times New Roman" w:hAnsi="Times New Roman" w:cs="Times New Roman"/>
      <w:sz w:val="20"/>
    </w:rPr>
  </w:style>
  <w:style w:type="paragraph" w:customStyle="1" w:styleId="Cards">
    <w:name w:val="Cards"/>
    <w:next w:val="Normal"/>
    <w:link w:val="CardsChar"/>
    <w:qFormat/>
    <w:rsid w:val="009B65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9B653D"/>
    <w:rPr>
      <w:rFonts w:ascii="Times New Roman" w:eastAsia="Times New Roman" w:hAnsi="Times New Roman" w:cs="Times New Roman"/>
      <w:sz w:val="20"/>
      <w:szCs w:val="24"/>
    </w:rPr>
  </w:style>
  <w:style w:type="paragraph" w:customStyle="1" w:styleId="card0">
    <w:name w:val="card"/>
    <w:basedOn w:val="Normal"/>
    <w:next w:val="Normal"/>
    <w:link w:val="cardChar0"/>
    <w:qFormat/>
    <w:rsid w:val="009B653D"/>
    <w:pPr>
      <w:ind w:left="288" w:right="288"/>
    </w:pPr>
    <w:rPr>
      <w:rFonts w:ascii="Calibri" w:eastAsia="Times New Roman" w:hAnsi="Calibri" w:cs="Calibri"/>
      <w:sz w:val="16"/>
      <w:szCs w:val="24"/>
    </w:rPr>
  </w:style>
  <w:style w:type="character" w:customStyle="1" w:styleId="cardChar0">
    <w:name w:val="card Char"/>
    <w:basedOn w:val="DefaultParagraphFont"/>
    <w:link w:val="card0"/>
    <w:rsid w:val="009B653D"/>
    <w:rPr>
      <w:rFonts w:ascii="Calibri" w:eastAsia="Times New Roman" w:hAnsi="Calibri" w:cs="Calibri"/>
      <w:sz w:val="16"/>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week.com/news/2013-01-30/russian-economy-probably-slowed-to-three-year-low-in-201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instituteforenergyresearch.org/2013/04/25/simmons-north-america-is-energy-ri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ie.com/publications/papers/hufbauer20100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oia.org/time-to-remove-roadblocks-to-offshore-energy-production/" TargetMode="External"/><Relationship Id="rId5" Type="http://schemas.openxmlformats.org/officeDocument/2006/relationships/settings" Target="settings.xml"/><Relationship Id="rId15" Type="http://schemas.openxmlformats.org/officeDocument/2006/relationships/hyperlink" Target="http://www.embassyofmexico.org/tweets/MexicooilandgasDollarsfromDonutsTheEconomist.pdf" TargetMode="External"/><Relationship Id="rId10" Type="http://schemas.openxmlformats.org/officeDocument/2006/relationships/hyperlink" Target="http://www.thebulletin.org/web-edition/features/how-can-we-reduce-the-risk-of-human-extinction" TargetMode="External"/><Relationship Id="rId4" Type="http://schemas.openxmlformats.org/officeDocument/2006/relationships/styles" Target="styles.xml"/><Relationship Id="rId9" Type="http://schemas.openxmlformats.org/officeDocument/2006/relationships/hyperlink" Target="http://doc.rero.ch/record/2861/files/DreyfusP-these.pdf" TargetMode="External"/><Relationship Id="rId14" Type="http://schemas.openxmlformats.org/officeDocument/2006/relationships/hyperlink" Target="http://www.stratfor.com/weekly/20090302_financial_crisis_and_six_pillars_russian_streng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2013-10-05T02:48:00Z</dcterms:created>
  <dcterms:modified xsi:type="dcterms:W3CDTF">2013-10-05T02:50:00Z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