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B0" w:rsidRPr="00CE15CA" w:rsidRDefault="002009B0" w:rsidP="002009B0">
      <w:pPr>
        <w:rPr>
          <w:rStyle w:val="StyleStyleBold12pt"/>
        </w:rPr>
      </w:pPr>
      <w:r w:rsidRPr="00CE15CA">
        <w:rPr>
          <w:rStyle w:val="StyleStyleBold12pt"/>
        </w:rPr>
        <w:t>C/I QPQs are not Engagement</w:t>
      </w:r>
    </w:p>
    <w:p w:rsidR="002009B0" w:rsidRPr="00CE15CA" w:rsidRDefault="002009B0" w:rsidP="002009B0">
      <w:r w:rsidRPr="00CE15CA">
        <w:rPr>
          <w:rStyle w:val="StyleStyleBold12pt"/>
        </w:rPr>
        <w:t>Smith 5</w:t>
      </w:r>
      <w:r w:rsidRPr="00CE15CA">
        <w:t xml:space="preserve"> (Karen E, Senior Lecturer in International Relations, London School of Economics, “Engagement and conditionality: incompatible or mutually reinforcing?,”  May 2005, Global Europe: New Terms of Engagement, </w:t>
      </w:r>
      <w:hyperlink r:id="rId9" w:history="1">
        <w:r w:rsidRPr="00CE15CA">
          <w:rPr>
            <w:rStyle w:val="Hyperlink"/>
          </w:rPr>
          <w:t>http://scholar.googleusercontent.com/scholar?q=cache:8-3RqE0TzFMJ:scholar.google.com/+engagement+positive+incentives+bilateral&amp;hl=en&amp;as_sdt=0,14</w:t>
        </w:r>
      </w:hyperlink>
      <w:r w:rsidRPr="00CE15CA">
        <w:rPr>
          <w:rStyle w:val="Hyperlink"/>
        </w:rPr>
        <w:t>)</w:t>
      </w:r>
    </w:p>
    <w:p w:rsidR="002009B0" w:rsidRPr="00CE15CA" w:rsidRDefault="002009B0" w:rsidP="002009B0"/>
    <w:p w:rsidR="002009B0" w:rsidRPr="00CE15CA" w:rsidRDefault="002009B0" w:rsidP="002009B0">
      <w:pPr>
        <w:pStyle w:val="Card"/>
      </w:pPr>
      <w:proofErr w:type="gramStart"/>
      <w:r w:rsidRPr="00CE15CA">
        <w:t>First, a few definitions.</w:t>
      </w:r>
      <w:proofErr w:type="gramEnd"/>
      <w:r w:rsidRPr="00CE15CA">
        <w:t xml:space="preserve"> ‘</w:t>
      </w:r>
      <w:r w:rsidRPr="00CE15CA">
        <w:rPr>
          <w:rStyle w:val="StyleBoldUnderline"/>
          <w:highlight w:val="green"/>
        </w:rPr>
        <w:t xml:space="preserve">Engagement’ is a foreign policy </w:t>
      </w:r>
      <w:r w:rsidRPr="00CE15CA">
        <w:rPr>
          <w:rStyle w:val="StyleBoldUnderline"/>
          <w:highlight w:val="yellow"/>
        </w:rPr>
        <w:t xml:space="preserve">strategy </w:t>
      </w:r>
      <w:r w:rsidRPr="00CE15CA">
        <w:rPr>
          <w:rStyle w:val="StyleBoldUnderline"/>
          <w:highlight w:val="green"/>
        </w:rPr>
        <w:t xml:space="preserve">of building close ties </w:t>
      </w:r>
      <w:r w:rsidRPr="00CE15CA">
        <w:rPr>
          <w:rStyle w:val="StyleBoldUnderline"/>
          <w:highlight w:val="yellow"/>
        </w:rPr>
        <w:t>with</w:t>
      </w:r>
      <w:r w:rsidRPr="00CE15CA">
        <w:rPr>
          <w:rStyle w:val="StyleBoldUnderline"/>
        </w:rPr>
        <w:t xml:space="preserve"> the government and/or civil society and/or business community of </w:t>
      </w:r>
      <w:r w:rsidRPr="00CE15CA">
        <w:rPr>
          <w:rStyle w:val="StyleBoldUnderline"/>
          <w:highlight w:val="yellow"/>
        </w:rPr>
        <w:t>another state</w:t>
      </w:r>
      <w:r w:rsidRPr="00CE15CA">
        <w:t xml:space="preserve">. The intention of this strategy is to undermine illiberal political and economic practices, and </w:t>
      </w:r>
      <w:proofErr w:type="spellStart"/>
      <w:r w:rsidRPr="00CE15CA">
        <w:t>socialise</w:t>
      </w:r>
      <w:proofErr w:type="spellEnd"/>
      <w:r w:rsidRPr="00CE15CA">
        <w:t xml:space="preserve"> government and other domestic actors into more liberal ways. Most cases of </w:t>
      </w:r>
      <w:r w:rsidRPr="00CE15CA">
        <w:rPr>
          <w:rStyle w:val="StyleBoldUnderline"/>
          <w:highlight w:val="yellow"/>
        </w:rPr>
        <w:t>engagement entail</w:t>
      </w:r>
      <w:r w:rsidRPr="00CE15CA">
        <w:t xml:space="preserve"> primarily </w:t>
      </w:r>
      <w:r w:rsidRPr="00CE15CA">
        <w:rPr>
          <w:rStyle w:val="StyleBoldUnderline"/>
          <w:highlight w:val="yellow"/>
        </w:rPr>
        <w:t>building economic links, and encouraging trade and investment</w:t>
      </w:r>
      <w:r w:rsidRPr="00CE15CA">
        <w:t xml:space="preserve"> in particular. Some observers have variously labeled this strategy one of interdependence, or of ‘oxygen’: economic activity leads to positive political consequences.19‘</w:t>
      </w:r>
      <w:r w:rsidRPr="00CE15CA">
        <w:rPr>
          <w:rStyle w:val="Emphasis"/>
          <w:highlight w:val="green"/>
        </w:rPr>
        <w:t>Conditionality’, in contrast, is the linking</w:t>
      </w:r>
      <w:r w:rsidRPr="00CE15CA">
        <w:rPr>
          <w:highlight w:val="green"/>
        </w:rPr>
        <w:t>,</w:t>
      </w:r>
      <w:r w:rsidRPr="00CE15CA">
        <w:t xml:space="preserve"> by a state or international </w:t>
      </w:r>
      <w:proofErr w:type="spellStart"/>
      <w:r w:rsidRPr="00CE15CA">
        <w:t>organisation</w:t>
      </w:r>
      <w:proofErr w:type="spellEnd"/>
      <w:r w:rsidRPr="00CE15CA">
        <w:t xml:space="preserve">, </w:t>
      </w:r>
      <w:r w:rsidRPr="00CE15CA">
        <w:rPr>
          <w:rStyle w:val="Emphasis"/>
          <w:highlight w:val="green"/>
        </w:rPr>
        <w:t>of</w:t>
      </w:r>
      <w:r w:rsidRPr="00CE15CA">
        <w:rPr>
          <w:rStyle w:val="Emphasis"/>
        </w:rPr>
        <w:t xml:space="preserve"> </w:t>
      </w:r>
      <w:r w:rsidRPr="00CE15CA">
        <w:rPr>
          <w:rStyle w:val="StyleBoldUnderline"/>
        </w:rPr>
        <w:t xml:space="preserve">perceived </w:t>
      </w:r>
      <w:r w:rsidRPr="00CE15CA">
        <w:rPr>
          <w:rStyle w:val="Emphasis"/>
          <w:highlight w:val="green"/>
        </w:rPr>
        <w:t>benefits</w:t>
      </w:r>
      <w:r w:rsidRPr="00CE15CA">
        <w:t xml:space="preserve"> to another state(such as aid or trade concessions) </w:t>
      </w:r>
      <w:r w:rsidRPr="00CE15CA">
        <w:rPr>
          <w:rStyle w:val="Emphasis"/>
          <w:highlight w:val="green"/>
        </w:rPr>
        <w:t xml:space="preserve">to the </w:t>
      </w:r>
      <w:proofErr w:type="spellStart"/>
      <w:r w:rsidRPr="00CE15CA">
        <w:rPr>
          <w:rStyle w:val="Emphasis"/>
          <w:highlight w:val="green"/>
        </w:rPr>
        <w:t>fulfilment</w:t>
      </w:r>
      <w:proofErr w:type="spellEnd"/>
      <w:r w:rsidRPr="00CE15CA">
        <w:rPr>
          <w:rStyle w:val="Emphasis"/>
          <w:highlight w:val="green"/>
        </w:rPr>
        <w:t xml:space="preserve"> of</w:t>
      </w:r>
      <w:r w:rsidRPr="00CE15CA">
        <w:t xml:space="preserve"> economic and/or political </w:t>
      </w:r>
      <w:r w:rsidRPr="00CE15CA">
        <w:rPr>
          <w:rStyle w:val="Emphasis"/>
          <w:highlight w:val="green"/>
        </w:rPr>
        <w:t>conditions</w:t>
      </w:r>
      <w:r w:rsidRPr="00CE15CA">
        <w:rPr>
          <w:highlight w:val="yellow"/>
        </w:rPr>
        <w:t>. ‘</w:t>
      </w:r>
      <w:r w:rsidRPr="00CE15CA">
        <w:rPr>
          <w:rStyle w:val="StyleBoldUnderline"/>
          <w:highlight w:val="yellow"/>
        </w:rPr>
        <w:t xml:space="preserve">Positive conditionality’ entails promising benefits to a state if it </w:t>
      </w:r>
      <w:proofErr w:type="spellStart"/>
      <w:r w:rsidRPr="00CE15CA">
        <w:rPr>
          <w:rStyle w:val="StyleBoldUnderline"/>
          <w:highlight w:val="yellow"/>
        </w:rPr>
        <w:t>fulfils</w:t>
      </w:r>
      <w:proofErr w:type="spellEnd"/>
      <w:r w:rsidRPr="00CE15CA">
        <w:rPr>
          <w:rStyle w:val="StyleBoldUnderline"/>
          <w:highlight w:val="yellow"/>
        </w:rPr>
        <w:t xml:space="preserve"> the conditions</w:t>
      </w:r>
      <w:r w:rsidRPr="00CE15CA">
        <w:rPr>
          <w:rStyle w:val="StyleBoldUnderline"/>
        </w:rPr>
        <w:t>; ‘negative conditionality’ involves reducing, suspending, or terminating those benefits if the state violates the conditions</w:t>
      </w:r>
      <w:r w:rsidRPr="00CE15CA">
        <w:t xml:space="preserve"> (in other words, applying sanctions, or a strategy of ‘asphyxiation’).20 </w:t>
      </w:r>
      <w:r w:rsidRPr="00CE15CA">
        <w:rPr>
          <w:rStyle w:val="Emphasis"/>
        </w:rPr>
        <w:t xml:space="preserve">To put it simply, </w:t>
      </w:r>
      <w:r w:rsidRPr="00CE15CA">
        <w:rPr>
          <w:rStyle w:val="Emphasis"/>
          <w:highlight w:val="green"/>
        </w:rPr>
        <w:t>engagement implies ties, but with no strings attached; conditionality attaches the strings</w:t>
      </w:r>
      <w:r w:rsidRPr="00CE15CA">
        <w:t xml:space="preserve">. In another way of looking at it, </w:t>
      </w:r>
      <w:r w:rsidRPr="00CE15CA">
        <w:rPr>
          <w:rStyle w:val="StyleBoldUnderline"/>
        </w:rPr>
        <w:t>engagement is more of a bottom-up strategy</w:t>
      </w:r>
      <w:r w:rsidRPr="00CE15CA">
        <w:t xml:space="preserve"> to induce change in another country, </w:t>
      </w:r>
      <w:r w:rsidRPr="00CE15CA">
        <w:rPr>
          <w:rStyle w:val="StyleBoldUnderline"/>
        </w:rPr>
        <w:t>conditionality more of a top-down strategy</w:t>
      </w:r>
    </w:p>
    <w:p w:rsidR="002009B0" w:rsidRPr="00CE15CA" w:rsidRDefault="002009B0" w:rsidP="002009B0"/>
    <w:p w:rsidR="002009B0" w:rsidRPr="00CE15CA" w:rsidRDefault="002009B0" w:rsidP="002009B0">
      <w:pPr>
        <w:pStyle w:val="Heading4"/>
      </w:pPr>
      <w:r w:rsidRPr="00CE15CA">
        <w:t xml:space="preserve">Limits – </w:t>
      </w:r>
    </w:p>
    <w:p w:rsidR="002009B0" w:rsidRPr="00CE15CA" w:rsidRDefault="002009B0" w:rsidP="002009B0"/>
    <w:p w:rsidR="002009B0" w:rsidRPr="00CE15CA" w:rsidRDefault="002009B0" w:rsidP="002009B0">
      <w:pPr>
        <w:pStyle w:val="Heading4"/>
      </w:pPr>
      <w:r w:rsidRPr="00CE15CA">
        <w:t>Ground –</w:t>
      </w:r>
    </w:p>
    <w:p w:rsidR="002009B0" w:rsidRPr="00CE15CA" w:rsidRDefault="002009B0" w:rsidP="002009B0"/>
    <w:p w:rsidR="002009B0" w:rsidRDefault="002009B0" w:rsidP="002009B0">
      <w:pPr>
        <w:pStyle w:val="Heading4"/>
      </w:pPr>
      <w:r w:rsidRPr="00CE15CA">
        <w:t xml:space="preserve">Default to reasonability – </w:t>
      </w:r>
    </w:p>
    <w:p w:rsidR="002009B0" w:rsidRDefault="002009B0" w:rsidP="002009B0"/>
    <w:p w:rsidR="002009B0" w:rsidRPr="00CE15CA" w:rsidRDefault="002009B0" w:rsidP="002009B0">
      <w:pPr>
        <w:pStyle w:val="Heading4"/>
      </w:pPr>
      <w:r w:rsidRPr="00CE15CA">
        <w:t xml:space="preserve">No Limits Explosion- </w:t>
      </w:r>
    </w:p>
    <w:p w:rsidR="002009B0" w:rsidRPr="00CE15CA" w:rsidRDefault="002009B0" w:rsidP="002009B0"/>
    <w:p w:rsidR="002009B0" w:rsidRPr="00363B70" w:rsidRDefault="002009B0" w:rsidP="002009B0">
      <w:pPr>
        <w:pStyle w:val="Heading4"/>
        <w:rPr>
          <w:rStyle w:val="StyleStyleBold12pt"/>
        </w:rPr>
      </w:pPr>
      <w:r w:rsidRPr="00CE15CA">
        <w:t xml:space="preserve">No ground loss – </w:t>
      </w:r>
    </w:p>
    <w:p w:rsidR="000022F2" w:rsidRPr="00AE0CE8" w:rsidRDefault="000022F2" w:rsidP="00AE0CE8"/>
    <w:sectPr w:rsidR="000022F2" w:rsidRPr="00AE0CE8" w:rsidSect="0073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F3A" w:rsidRDefault="00012F3A" w:rsidP="005F5576">
      <w:r>
        <w:separator/>
      </w:r>
    </w:p>
  </w:endnote>
  <w:endnote w:type="continuationSeparator" w:id="0">
    <w:p w:rsidR="00012F3A" w:rsidRDefault="00012F3A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F3A" w:rsidRDefault="00012F3A" w:rsidP="005F5576">
      <w:r>
        <w:separator/>
      </w:r>
    </w:p>
  </w:footnote>
  <w:footnote w:type="continuationSeparator" w:id="0">
    <w:p w:rsidR="00012F3A" w:rsidRDefault="00012F3A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F3A"/>
    <w:rsid w:val="000022F2"/>
    <w:rsid w:val="0000459F"/>
    <w:rsid w:val="00004EB4"/>
    <w:rsid w:val="00012D5A"/>
    <w:rsid w:val="00012F3A"/>
    <w:rsid w:val="0002196C"/>
    <w:rsid w:val="00021F29"/>
    <w:rsid w:val="00027EED"/>
    <w:rsid w:val="0003041D"/>
    <w:rsid w:val="00033028"/>
    <w:rsid w:val="00033651"/>
    <w:rsid w:val="000360A7"/>
    <w:rsid w:val="00052A1D"/>
    <w:rsid w:val="00055E12"/>
    <w:rsid w:val="00064A59"/>
    <w:rsid w:val="0007162E"/>
    <w:rsid w:val="0007252A"/>
    <w:rsid w:val="00073B9A"/>
    <w:rsid w:val="0008787B"/>
    <w:rsid w:val="00090287"/>
    <w:rsid w:val="00090BA2"/>
    <w:rsid w:val="000978A3"/>
    <w:rsid w:val="00097D7E"/>
    <w:rsid w:val="000A1D39"/>
    <w:rsid w:val="000A4FA5"/>
    <w:rsid w:val="000B3B6C"/>
    <w:rsid w:val="000B61C8"/>
    <w:rsid w:val="000B7DD3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815"/>
    <w:rsid w:val="001B3CEC"/>
    <w:rsid w:val="001B6478"/>
    <w:rsid w:val="001C1D82"/>
    <w:rsid w:val="001C2147"/>
    <w:rsid w:val="001C587E"/>
    <w:rsid w:val="001C7C90"/>
    <w:rsid w:val="001D0D51"/>
    <w:rsid w:val="001E2E1D"/>
    <w:rsid w:val="001F7572"/>
    <w:rsid w:val="0020006E"/>
    <w:rsid w:val="002009AE"/>
    <w:rsid w:val="002009B0"/>
    <w:rsid w:val="002101DA"/>
    <w:rsid w:val="00217499"/>
    <w:rsid w:val="0024023F"/>
    <w:rsid w:val="00240C4E"/>
    <w:rsid w:val="00243DC0"/>
    <w:rsid w:val="0024561C"/>
    <w:rsid w:val="00250E16"/>
    <w:rsid w:val="00257696"/>
    <w:rsid w:val="0026382E"/>
    <w:rsid w:val="00270391"/>
    <w:rsid w:val="00272786"/>
    <w:rsid w:val="002853E1"/>
    <w:rsid w:val="00287AB7"/>
    <w:rsid w:val="00287D8F"/>
    <w:rsid w:val="00294AE1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D4E35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4F45E4"/>
    <w:rsid w:val="005020C3"/>
    <w:rsid w:val="005111F8"/>
    <w:rsid w:val="00513FA2"/>
    <w:rsid w:val="00514387"/>
    <w:rsid w:val="00516459"/>
    <w:rsid w:val="00520153"/>
    <w:rsid w:val="005349E1"/>
    <w:rsid w:val="00537EF5"/>
    <w:rsid w:val="00541963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B4543"/>
    <w:rsid w:val="005C0B05"/>
    <w:rsid w:val="005C3A40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79A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3CEA"/>
    <w:rsid w:val="006B302F"/>
    <w:rsid w:val="006C64D4"/>
    <w:rsid w:val="006E1612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430D"/>
    <w:rsid w:val="00734E34"/>
    <w:rsid w:val="00743059"/>
    <w:rsid w:val="00744F58"/>
    <w:rsid w:val="00750CED"/>
    <w:rsid w:val="00751B7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0AD0"/>
    <w:rsid w:val="007A3D06"/>
    <w:rsid w:val="007B0B5C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E54F9"/>
    <w:rsid w:val="008109E4"/>
    <w:rsid w:val="008133F9"/>
    <w:rsid w:val="00816D4B"/>
    <w:rsid w:val="00823AAC"/>
    <w:rsid w:val="008367E3"/>
    <w:rsid w:val="00840192"/>
    <w:rsid w:val="00854C66"/>
    <w:rsid w:val="008553E1"/>
    <w:rsid w:val="00866057"/>
    <w:rsid w:val="0087643B"/>
    <w:rsid w:val="00877669"/>
    <w:rsid w:val="00897F92"/>
    <w:rsid w:val="008A64C9"/>
    <w:rsid w:val="008A6E4D"/>
    <w:rsid w:val="008B180A"/>
    <w:rsid w:val="008B24B7"/>
    <w:rsid w:val="008C2CD8"/>
    <w:rsid w:val="008C5743"/>
    <w:rsid w:val="008C68EE"/>
    <w:rsid w:val="008C7F44"/>
    <w:rsid w:val="008D29C5"/>
    <w:rsid w:val="008D390F"/>
    <w:rsid w:val="008D4273"/>
    <w:rsid w:val="008D4EF3"/>
    <w:rsid w:val="008E0E4F"/>
    <w:rsid w:val="008E1FD5"/>
    <w:rsid w:val="008E4139"/>
    <w:rsid w:val="008E7B95"/>
    <w:rsid w:val="008F322F"/>
    <w:rsid w:val="00907DFE"/>
    <w:rsid w:val="00912D41"/>
    <w:rsid w:val="00914596"/>
    <w:rsid w:val="009146BF"/>
    <w:rsid w:val="00915AD4"/>
    <w:rsid w:val="00915EF1"/>
    <w:rsid w:val="009221D5"/>
    <w:rsid w:val="00924C08"/>
    <w:rsid w:val="00927D88"/>
    <w:rsid w:val="00930D1F"/>
    <w:rsid w:val="00935127"/>
    <w:rsid w:val="0094025E"/>
    <w:rsid w:val="0094256C"/>
    <w:rsid w:val="00953DD8"/>
    <w:rsid w:val="00953F11"/>
    <w:rsid w:val="009706C1"/>
    <w:rsid w:val="00976675"/>
    <w:rsid w:val="00976FBF"/>
    <w:rsid w:val="009837FF"/>
    <w:rsid w:val="00983C81"/>
    <w:rsid w:val="00984B38"/>
    <w:rsid w:val="009A0636"/>
    <w:rsid w:val="009A1C59"/>
    <w:rsid w:val="009A6FF5"/>
    <w:rsid w:val="009B2B47"/>
    <w:rsid w:val="009B35DB"/>
    <w:rsid w:val="009C4298"/>
    <w:rsid w:val="009D318C"/>
    <w:rsid w:val="009E5169"/>
    <w:rsid w:val="009F2D31"/>
    <w:rsid w:val="00A10B8B"/>
    <w:rsid w:val="00A20D78"/>
    <w:rsid w:val="00A2174A"/>
    <w:rsid w:val="00A25216"/>
    <w:rsid w:val="00A26733"/>
    <w:rsid w:val="00A3595E"/>
    <w:rsid w:val="00A46C7F"/>
    <w:rsid w:val="00A624C0"/>
    <w:rsid w:val="00A7135E"/>
    <w:rsid w:val="00A73245"/>
    <w:rsid w:val="00A77145"/>
    <w:rsid w:val="00A82989"/>
    <w:rsid w:val="00A843B6"/>
    <w:rsid w:val="00A904FE"/>
    <w:rsid w:val="00A9262C"/>
    <w:rsid w:val="00A94016"/>
    <w:rsid w:val="00AA433B"/>
    <w:rsid w:val="00AB3B76"/>
    <w:rsid w:val="00AB61DD"/>
    <w:rsid w:val="00AC222F"/>
    <w:rsid w:val="00AC2CC7"/>
    <w:rsid w:val="00AC7B3B"/>
    <w:rsid w:val="00AD3CE6"/>
    <w:rsid w:val="00AE0CE8"/>
    <w:rsid w:val="00AE1307"/>
    <w:rsid w:val="00AE7586"/>
    <w:rsid w:val="00AF3D7A"/>
    <w:rsid w:val="00AF7A65"/>
    <w:rsid w:val="00B06710"/>
    <w:rsid w:val="00B07EBF"/>
    <w:rsid w:val="00B102C7"/>
    <w:rsid w:val="00B15760"/>
    <w:rsid w:val="00B166CB"/>
    <w:rsid w:val="00B235E1"/>
    <w:rsid w:val="00B272CF"/>
    <w:rsid w:val="00B3145D"/>
    <w:rsid w:val="00B357BA"/>
    <w:rsid w:val="00B51F29"/>
    <w:rsid w:val="00B564DB"/>
    <w:rsid w:val="00B768B6"/>
    <w:rsid w:val="00B816A3"/>
    <w:rsid w:val="00B908D1"/>
    <w:rsid w:val="00B940D1"/>
    <w:rsid w:val="00BA2F1E"/>
    <w:rsid w:val="00BB58BD"/>
    <w:rsid w:val="00BB6A26"/>
    <w:rsid w:val="00BC1034"/>
    <w:rsid w:val="00BC3BE8"/>
    <w:rsid w:val="00BC5D18"/>
    <w:rsid w:val="00BE2408"/>
    <w:rsid w:val="00BE3EC6"/>
    <w:rsid w:val="00BE5BEB"/>
    <w:rsid w:val="00BE6528"/>
    <w:rsid w:val="00C0087A"/>
    <w:rsid w:val="00C01B01"/>
    <w:rsid w:val="00C05F9D"/>
    <w:rsid w:val="00C27212"/>
    <w:rsid w:val="00C34185"/>
    <w:rsid w:val="00C42DD6"/>
    <w:rsid w:val="00C502B1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2C22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A6A3D"/>
    <w:rsid w:val="00DB0F7E"/>
    <w:rsid w:val="00DB5489"/>
    <w:rsid w:val="00DB6C98"/>
    <w:rsid w:val="00DC10C2"/>
    <w:rsid w:val="00DC701C"/>
    <w:rsid w:val="00DD7F91"/>
    <w:rsid w:val="00DE109E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4B2"/>
    <w:rsid w:val="00EA15A8"/>
    <w:rsid w:val="00EA2926"/>
    <w:rsid w:val="00EB2CDE"/>
    <w:rsid w:val="00EC1A81"/>
    <w:rsid w:val="00EC7E5C"/>
    <w:rsid w:val="00ED1342"/>
    <w:rsid w:val="00ED78F1"/>
    <w:rsid w:val="00EE46E0"/>
    <w:rsid w:val="00EE4DCA"/>
    <w:rsid w:val="00EE766A"/>
    <w:rsid w:val="00EF0F62"/>
    <w:rsid w:val="00F007E1"/>
    <w:rsid w:val="00F0130D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92522"/>
    <w:rsid w:val="00FB4261"/>
    <w:rsid w:val="00FB43B1"/>
    <w:rsid w:val="00FC0608"/>
    <w:rsid w:val="00FC2155"/>
    <w:rsid w:val="00FC41A7"/>
    <w:rsid w:val="00FC6B7C"/>
    <w:rsid w:val="00FD675B"/>
    <w:rsid w:val="00FD7483"/>
    <w:rsid w:val="00FE352F"/>
    <w:rsid w:val="00FE380E"/>
    <w:rsid w:val="00FE4404"/>
    <w:rsid w:val="00FF2451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009B0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51B7C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36"/>
      <w:szCs w:val="28"/>
      <w:u w:val="double"/>
    </w:rPr>
  </w:style>
  <w:style w:type="paragraph" w:styleId="Heading2">
    <w:name w:val="heading 2"/>
    <w:aliases w:val="Aligned Card Text,CD Tag,TAG Char3,Heading 2 Char1 Char Char11,Heading 2 Char Char Char Char11,Heading 2 Char Char Char Char Char Char Char Char,Heading 2 Char Char Char Char,Heading 2 Char Char Char Char Char Char Char,T,Hat"/>
    <w:basedOn w:val="Normal"/>
    <w:next w:val="Normal"/>
    <w:link w:val="Heading2Char"/>
    <w:uiPriority w:val="2"/>
    <w:qFormat/>
    <w:rsid w:val="00DA6A3D"/>
    <w:pPr>
      <w:keepNext/>
      <w:keepLines/>
      <w:pageBreakBefore/>
      <w:spacing w:before="240" w:after="12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16D4B"/>
    <w:pPr>
      <w:keepNext/>
      <w:keepLines/>
      <w:pageBreakBefore/>
      <w:spacing w:before="120" w:after="120"/>
      <w:jc w:val="center"/>
      <w:outlineLvl w:val="2"/>
    </w:pPr>
    <w:rPr>
      <w:rFonts w:eastAsiaTheme="majorEastAsia" w:cstheme="majorBidi"/>
      <w:b/>
      <w:bCs/>
      <w:sz w:val="52"/>
      <w:u w:val="single"/>
    </w:rPr>
  </w:style>
  <w:style w:type="paragraph" w:styleId="Heading4">
    <w:name w:val="heading 4"/>
    <w:aliases w:val="Tag,Big card,small text,body,Normal Tag"/>
    <w:basedOn w:val="Normal"/>
    <w:next w:val="Normal"/>
    <w:link w:val="Heading4Char"/>
    <w:uiPriority w:val="4"/>
    <w:qFormat/>
    <w:rsid w:val="001B6478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51B7C"/>
    <w:rPr>
      <w:rFonts w:ascii="Times New Roman" w:eastAsiaTheme="majorEastAsia" w:hAnsi="Times New Roman" w:cstheme="majorBidi"/>
      <w:b/>
      <w:bCs/>
      <w:sz w:val="36"/>
      <w:szCs w:val="28"/>
      <w:u w:val="double"/>
    </w:rPr>
  </w:style>
  <w:style w:type="character" w:customStyle="1" w:styleId="Heading2Char">
    <w:name w:val="Heading 2 Char"/>
    <w:aliases w:val="Aligned Card Text Char,CD Tag Char,TAG Char3 Char,Heading 2 Char1 Char Char11 Char,Heading 2 Char Char Char Char11 Char,Heading 2 Char Char Char Char Char Char Char Char Char,Heading 2 Char Char Char Char Char,T Char,Hat Char"/>
    <w:basedOn w:val="DefaultParagraphFont"/>
    <w:link w:val="Heading2"/>
    <w:uiPriority w:val="2"/>
    <w:rsid w:val="00DA6A3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"/>
    <w:basedOn w:val="DefaultParagraphFont"/>
    <w:uiPriority w:val="7"/>
    <w:qFormat/>
    <w:rsid w:val="001B6478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1B6478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16D4B"/>
    <w:rPr>
      <w:rFonts w:ascii="Times New Roman" w:eastAsiaTheme="majorEastAsia" w:hAnsi="Times New Roman" w:cstheme="majorBidi"/>
      <w:b/>
      <w:bCs/>
      <w:sz w:val="52"/>
      <w:u w:val="single"/>
    </w:rPr>
  </w:style>
  <w:style w:type="character" w:customStyle="1" w:styleId="StyleBoldUnderline">
    <w:name w:val="Style Bold Underline"/>
    <w:aliases w:val="Underline,Intense Emphasis1,Intense Emphasis11,apple-style-span + 6 pt,Bold,Kern at 16 pt,Intense Emphasis111,Intense Emphasis2,HHeading 3 + 12 pt,Cards + Font: 12 pt Char,Title Char,Citation Char Char Char,Style,ci,Bold Cite Char,c"/>
    <w:basedOn w:val="DefaultParagraphFont"/>
    <w:uiPriority w:val="6"/>
    <w:qFormat/>
    <w:rsid w:val="001B647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1B6478"/>
    <w:rPr>
      <w:rFonts w:ascii="Times New Roman" w:hAnsi="Times New Roman"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1B6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478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1B6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478"/>
    <w:rPr>
      <w:rFonts w:ascii="Times New Roman" w:hAnsi="Times New Roman" w:cs="Times New Roman"/>
      <w:sz w:val="20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1B647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B6478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"/>
    <w:basedOn w:val="DefaultParagraphFont"/>
    <w:link w:val="Heading4"/>
    <w:uiPriority w:val="4"/>
    <w:rsid w:val="001B6478"/>
    <w:rPr>
      <w:rFonts w:ascii="Times New Roman" w:eastAsiaTheme="majorEastAsia" w:hAnsi="Times New Roman" w:cstheme="majorBidi"/>
      <w:b/>
      <w:bCs/>
      <w:iCs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1B64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6478"/>
    <w:rPr>
      <w:rFonts w:ascii="Tahoma" w:hAnsi="Tahoma" w:cs="Tahoma"/>
      <w:sz w:val="16"/>
      <w:szCs w:val="16"/>
    </w:rPr>
  </w:style>
  <w:style w:type="paragraph" w:customStyle="1" w:styleId="CardText">
    <w:name w:val="CardText"/>
    <w:basedOn w:val="Normal"/>
    <w:next w:val="Normal"/>
    <w:link w:val="CardTextChar"/>
    <w:qFormat/>
    <w:rsid w:val="00751B7C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751B7C"/>
    <w:rPr>
      <w:rFonts w:ascii="Times New Roman" w:eastAsia="Times New Roman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link w:val="textbold"/>
    <w:qFormat/>
    <w:rsid w:val="001B6478"/>
    <w:rPr>
      <w:u w:val="single"/>
    </w:rPr>
  </w:style>
  <w:style w:type="character" w:customStyle="1" w:styleId="Emphasis2">
    <w:name w:val="Emphasis2"/>
    <w:basedOn w:val="DefaultParagraphFont"/>
    <w:rsid w:val="001B6478"/>
    <w:rPr>
      <w:rFonts w:ascii="Times New Roman" w:hAnsi="Times New Roman"/>
      <w:b/>
      <w:iCs/>
      <w:sz w:val="24"/>
      <w:u w:val="single"/>
    </w:rPr>
  </w:style>
  <w:style w:type="paragraph" w:customStyle="1" w:styleId="textbold">
    <w:name w:val="text bold"/>
    <w:basedOn w:val="Normal"/>
    <w:link w:val="underline"/>
    <w:rsid w:val="001B6478"/>
    <w:pPr>
      <w:ind w:left="720"/>
      <w:jc w:val="both"/>
    </w:pPr>
    <w:rPr>
      <w:rFonts w:asciiTheme="minorHAnsi" w:hAnsiTheme="minorHAnsi" w:cstheme="minorBidi"/>
      <w:sz w:val="22"/>
      <w:u w:val="single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Very Small Text,No Spacing41,tag,No Spacing111,No Spacing1111,No Spacing11111,No Spacing3,tags,No Spacing12"/>
    <w:basedOn w:val="Normal"/>
    <w:link w:val="CardChar"/>
    <w:qFormat/>
    <w:rsid w:val="008367E3"/>
    <w:pPr>
      <w:ind w:left="288" w:right="288"/>
    </w:p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8367E3"/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cholar.googleusercontent.com/scholar?q=cache:8-3RqE0TzFMJ:scholar.google.com/+engagement+positive+incentives+bilateral&amp;hl=en&amp;as_sdt=0,1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rex</cp:lastModifiedBy>
  <cp:revision>1</cp:revision>
  <dcterms:created xsi:type="dcterms:W3CDTF">2013-09-11T02:36:00Z</dcterms:created>
  <dcterms:modified xsi:type="dcterms:W3CDTF">2013-09-11T02:36:00Z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