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D0" w:rsidRDefault="00A146D0" w:rsidP="00A146D0">
      <w:pPr>
        <w:pStyle w:val="BlockTitle1"/>
      </w:pPr>
      <w:bookmarkStart w:id="0" w:name="_GoBack"/>
      <w:bookmarkEnd w:id="0"/>
      <w:r>
        <w:t>T</w:t>
      </w:r>
    </w:p>
    <w:p w:rsidR="00A146D0" w:rsidRDefault="00A146D0" w:rsidP="00A146D0"/>
    <w:p w:rsidR="00A146D0" w:rsidRPr="00FD10D4" w:rsidRDefault="00A146D0" w:rsidP="00A146D0">
      <w:pPr>
        <w:pStyle w:val="Heading4"/>
      </w:pPr>
      <w:r>
        <w:t xml:space="preserve">A. Interpretation – economic engagement trade agreements and promotion, aid, loans, and grants. </w:t>
      </w:r>
    </w:p>
    <w:p w:rsidR="00A146D0" w:rsidRPr="00C26B52" w:rsidRDefault="00A146D0" w:rsidP="00A146D0">
      <w:pPr>
        <w:ind w:left="720"/>
        <w:rPr>
          <w:rFonts w:cs="Arial"/>
          <w:szCs w:val="20"/>
        </w:rPr>
      </w:pPr>
      <w:proofErr w:type="spellStart"/>
      <w:r w:rsidRPr="00C26B52">
        <w:rPr>
          <w:b/>
          <w:color w:val="000000"/>
          <w:u w:val="thick" w:color="000000"/>
        </w:rPr>
        <w:t>Resnik</w:t>
      </w:r>
      <w:proofErr w:type="spellEnd"/>
      <w:r w:rsidRPr="00C26B52">
        <w:rPr>
          <w:b/>
          <w:color w:val="000000"/>
          <w:u w:val="thick" w:color="000000"/>
        </w:rPr>
        <w:t>, 1</w:t>
      </w:r>
      <w:r w:rsidRPr="00C26B52">
        <w:rPr>
          <w:rFonts w:cs="Arial"/>
          <w:b/>
          <w:szCs w:val="20"/>
        </w:rPr>
        <w:t xml:space="preserve"> </w:t>
      </w:r>
      <w:r w:rsidRPr="00C26B52">
        <w:rPr>
          <w:rFonts w:cs="Arial"/>
          <w:szCs w:val="20"/>
        </w:rPr>
        <w:t>– Assistant Professor of Political Science at Yeshiva University (Evan, Journal of International Affairs, “Defining Engagement” v54, n2, political science complete)</w:t>
      </w:r>
    </w:p>
    <w:p w:rsidR="00A146D0" w:rsidRPr="00C26B52" w:rsidRDefault="00A146D0" w:rsidP="00A146D0">
      <w:pPr>
        <w:rPr>
          <w:rFonts w:cs="Arial"/>
          <w:szCs w:val="20"/>
        </w:rPr>
      </w:pPr>
    </w:p>
    <w:p w:rsidR="00A146D0" w:rsidRDefault="00A146D0" w:rsidP="00A146D0">
      <w:pPr>
        <w:pStyle w:val="evidencetext"/>
      </w:pPr>
      <w:r w:rsidRPr="00A146D0">
        <w:t>A REFINED DEFINITION OF ENGAGEMENT</w:t>
      </w:r>
      <w:r w:rsidRPr="00A146D0">
        <w:t xml:space="preserve"> </w:t>
      </w:r>
      <w:r w:rsidRPr="00A146D0">
        <w:t xml:space="preserve">In order to establish a more effective framework for dealing </w:t>
      </w:r>
    </w:p>
    <w:p w:rsidR="00A146D0" w:rsidRDefault="00A146D0" w:rsidP="00A146D0">
      <w:pPr>
        <w:pStyle w:val="evidencetext"/>
      </w:pPr>
      <w:r>
        <w:t>AND</w:t>
      </w:r>
    </w:p>
    <w:p w:rsidR="00A146D0" w:rsidRPr="00A146D0" w:rsidRDefault="00A146D0" w:rsidP="00A146D0">
      <w:pPr>
        <w:pStyle w:val="evidencetext"/>
        <w:rPr>
          <w:rStyle w:val="highlight2"/>
        </w:rPr>
      </w:pPr>
      <w:r w:rsidRPr="00A146D0">
        <w:rPr>
          <w:rStyle w:val="highlight2"/>
        </w:rPr>
        <w:t>of travel and tourism links</w:t>
      </w:r>
      <w:r w:rsidRPr="00A146D0">
        <w:rPr>
          <w:rStyle w:val="highlight2"/>
        </w:rPr>
        <w:t xml:space="preserve"> </w:t>
      </w:r>
      <w:r w:rsidRPr="00A146D0">
        <w:rPr>
          <w:rStyle w:val="highlight2"/>
        </w:rPr>
        <w:t>Sport, artistic and academic exchanges(n25)</w:t>
      </w:r>
    </w:p>
    <w:p w:rsidR="00A146D0" w:rsidRDefault="00A146D0" w:rsidP="00A146D0"/>
    <w:p w:rsidR="00A146D0" w:rsidRDefault="00A146D0" w:rsidP="00A146D0">
      <w:pPr>
        <w:pStyle w:val="Heading4"/>
      </w:pPr>
      <w:r>
        <w:t>B. Violation – affirmative is a demand, not a trade agreement, promotion, aid, loan, or grant</w:t>
      </w:r>
    </w:p>
    <w:p w:rsidR="00A146D0" w:rsidRDefault="00A146D0" w:rsidP="00A146D0"/>
    <w:p w:rsidR="00A146D0" w:rsidRPr="003554D9" w:rsidRDefault="00A146D0" w:rsidP="00A146D0">
      <w:pPr>
        <w:pStyle w:val="Heading4"/>
      </w:pPr>
      <w:r>
        <w:t>C. Vote negative for fairness and education – affirmative explodes limits, makes negative research and ground impossible. Kills education through research and competitive equity.</w:t>
      </w:r>
    </w:p>
    <w:p w:rsidR="00A146D0" w:rsidRDefault="00A146D0" w:rsidP="00A146D0"/>
    <w:p w:rsidR="00A146D0" w:rsidRDefault="00A146D0" w:rsidP="00A146D0"/>
    <w:p w:rsidR="00A146D0" w:rsidRDefault="00A146D0" w:rsidP="00A146D0">
      <w:pPr>
        <w:pStyle w:val="BlockTitle1"/>
      </w:pPr>
      <w:r>
        <w:lastRenderedPageBreak/>
        <w:t>Predictability K</w:t>
      </w:r>
    </w:p>
    <w:p w:rsidR="00A146D0" w:rsidRDefault="00A146D0" w:rsidP="00A146D0"/>
    <w:p w:rsidR="00A146D0" w:rsidRPr="003554D9" w:rsidRDefault="00A146D0" w:rsidP="00A146D0">
      <w:pPr>
        <w:pStyle w:val="Heading4"/>
        <w:keepNext w:val="0"/>
        <w:keepLines w:val="0"/>
        <w:numPr>
          <w:ilvl w:val="0"/>
          <w:numId w:val="1"/>
        </w:numPr>
        <w:spacing w:before="0"/>
        <w:ind w:right="288"/>
        <w:rPr>
          <w:rFonts w:cs="Arial"/>
          <w:lang w:val="x-none" w:eastAsia="x-none"/>
        </w:rPr>
      </w:pPr>
      <w:r>
        <w:tab/>
      </w:r>
      <w:r w:rsidRPr="003554D9">
        <w:rPr>
          <w:rFonts w:cs="Arial"/>
          <w:lang w:val="x-none" w:eastAsia="x-none"/>
        </w:rPr>
        <w:t>The Affirmative should defend the implementation of a policy by the United States Federal Government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</w:p>
    <w:p w:rsidR="00A146D0" w:rsidRPr="003554D9" w:rsidRDefault="00A146D0" w:rsidP="00A146D0">
      <w:pPr>
        <w:ind w:left="720"/>
      </w:pPr>
      <w:proofErr w:type="spellStart"/>
      <w:r w:rsidRPr="003554D9">
        <w:rPr>
          <w:b/>
          <w:color w:val="000000"/>
          <w:u w:val="thick" w:color="000000"/>
        </w:rPr>
        <w:t>WordNet</w:t>
      </w:r>
      <w:proofErr w:type="spellEnd"/>
      <w:r w:rsidRPr="003554D9">
        <w:t>, Princeton University, 20</w:t>
      </w:r>
      <w:r w:rsidRPr="003554D9">
        <w:rPr>
          <w:b/>
          <w:color w:val="000000"/>
          <w:u w:val="thick" w:color="000000"/>
        </w:rPr>
        <w:t>03</w:t>
      </w:r>
      <w:r w:rsidRPr="003554D9">
        <w:t xml:space="preserve">, p. http://dictionary.reference.com/search?q=us%20government </w:t>
      </w:r>
    </w:p>
    <w:p w:rsidR="00A146D0" w:rsidRPr="003554D9" w:rsidRDefault="00A146D0" w:rsidP="00A146D0">
      <w:pPr>
        <w:ind w:left="288" w:right="288"/>
        <w:rPr>
          <w:rFonts w:ascii="Times New Roman" w:hAnsi="Times New Roman"/>
          <w:szCs w:val="20"/>
        </w:rPr>
      </w:pPr>
    </w:p>
    <w:p w:rsidR="00A146D0" w:rsidRPr="003554D9" w:rsidRDefault="00A146D0" w:rsidP="00A146D0">
      <w:pPr>
        <w:ind w:left="1008" w:right="720"/>
        <w:rPr>
          <w:color w:val="000000"/>
          <w:sz w:val="16"/>
        </w:rPr>
      </w:pPr>
      <w:r w:rsidRPr="003554D9">
        <w:rPr>
          <w:color w:val="000000"/>
          <w:sz w:val="16"/>
        </w:rPr>
        <w:t xml:space="preserve">U.S. government n : </w:t>
      </w:r>
      <w:r w:rsidRPr="003554D9">
        <w:rPr>
          <w:b/>
          <w:color w:val="000000"/>
          <w:sz w:val="19"/>
          <w:u w:val="thick"/>
          <w:bdr w:val="none" w:sz="0" w:space="0" w:color="auto" w:frame="1"/>
        </w:rPr>
        <w:t>the executive and legislative and judicial branches of the federal government of the United States</w:t>
      </w:r>
      <w:r w:rsidRPr="003554D9">
        <w:rPr>
          <w:color w:val="000000"/>
          <w:sz w:val="16"/>
        </w:rPr>
        <w:t xml:space="preserve"> [</w:t>
      </w:r>
      <w:proofErr w:type="spellStart"/>
      <w:r w:rsidRPr="003554D9">
        <w:rPr>
          <w:color w:val="000000"/>
          <w:sz w:val="16"/>
        </w:rPr>
        <w:t>syn</w:t>
      </w:r>
      <w:proofErr w:type="spellEnd"/>
      <w:r w:rsidRPr="003554D9">
        <w:rPr>
          <w:color w:val="000000"/>
          <w:sz w:val="16"/>
        </w:rPr>
        <w:t>: United States government, United States, U.S. government, US Government, U.S.]</w:t>
      </w:r>
    </w:p>
    <w:p w:rsidR="00A146D0" w:rsidRPr="003554D9" w:rsidRDefault="00A146D0" w:rsidP="00A146D0"/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Three net benefits: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First is predictability—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u w:val="single"/>
          <w:lang w:val="x-none" w:eastAsia="x-none"/>
        </w:rPr>
        <w:t>This Outweighs their Turns</w:t>
      </w:r>
      <w:r w:rsidRPr="003554D9">
        <w:rPr>
          <w:rFonts w:cs="Arial"/>
          <w:b/>
          <w:lang w:val="x-none" w:eastAsia="x-none"/>
        </w:rPr>
        <w:t>: Failure to establish research parameters leads to the Failure of Design Games</w:t>
      </w:r>
    </w:p>
    <w:p w:rsidR="00A146D0" w:rsidRPr="003554D9" w:rsidRDefault="00A146D0" w:rsidP="00A146D0">
      <w:pPr>
        <w:ind w:left="720"/>
        <w:rPr>
          <w:rFonts w:cs="Arial"/>
          <w:color w:val="000000"/>
          <w:sz w:val="12"/>
        </w:rPr>
      </w:pPr>
    </w:p>
    <w:p w:rsidR="00A146D0" w:rsidRPr="003554D9" w:rsidRDefault="00A146D0" w:rsidP="00A146D0">
      <w:pPr>
        <w:ind w:firstLine="720"/>
        <w:rPr>
          <w:b/>
          <w:color w:val="000000"/>
          <w:u w:val="thick" w:color="000000"/>
          <w:lang w:val="x-none" w:eastAsia="x-none"/>
        </w:rPr>
      </w:pPr>
      <w:proofErr w:type="spellStart"/>
      <w:r w:rsidRPr="003554D9">
        <w:rPr>
          <w:rFonts w:cs="Arial"/>
          <w:b/>
          <w:color w:val="000000"/>
          <w:u w:val="thick" w:color="000000"/>
          <w:lang w:val="x-none" w:eastAsia="x-none"/>
        </w:rPr>
        <w:t>Sarratore</w:t>
      </w:r>
      <w:proofErr w:type="spellEnd"/>
      <w:r w:rsidRPr="003554D9">
        <w:rPr>
          <w:rFonts w:cs="Arial"/>
          <w:b/>
          <w:color w:val="000000"/>
          <w:u w:val="thick" w:color="000000"/>
          <w:lang w:val="x-none" w:eastAsia="x-none"/>
        </w:rPr>
        <w:t xml:space="preserve"> 99</w:t>
      </w:r>
    </w:p>
    <w:p w:rsidR="00A146D0" w:rsidRPr="003554D9" w:rsidRDefault="00A146D0" w:rsidP="00A146D0">
      <w:pPr>
        <w:ind w:left="720" w:right="1728"/>
        <w:rPr>
          <w:rFonts w:cs="Arial"/>
          <w:color w:val="000000"/>
          <w:sz w:val="9"/>
        </w:rPr>
      </w:pPr>
      <w:r w:rsidRPr="003554D9">
        <w:rPr>
          <w:rFonts w:cs="Arial"/>
          <w:color w:val="000000"/>
          <w:sz w:val="9"/>
        </w:rPr>
        <w:t xml:space="preserve">(Steven T. is Associate Professor of Theatre and Associate Dean of Fine  and Performing Arts at Indiana University-Purdue University Fort Wayne “Design Games,” Theatre Topics 9.1) </w:t>
      </w:r>
    </w:p>
    <w:p w:rsidR="00A146D0" w:rsidRPr="003554D9" w:rsidRDefault="00A146D0" w:rsidP="00A146D0">
      <w:pPr>
        <w:ind w:left="1008" w:right="720"/>
        <w:rPr>
          <w:rFonts w:cs="Arial"/>
          <w:color w:val="000000"/>
          <w:sz w:val="12"/>
        </w:rPr>
      </w:pPr>
    </w:p>
    <w:p w:rsidR="00A146D0" w:rsidRDefault="00A146D0" w:rsidP="00A146D0">
      <w:r w:rsidRPr="00A146D0">
        <w:t>The design games offered below owe their development to a variety of inspirations and sources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exclusion of the elements that the designer-</w:t>
      </w:r>
      <w:proofErr w:type="spellStart"/>
      <w:r w:rsidRPr="00A146D0">
        <w:t>gamemaster</w:t>
      </w:r>
      <w:proofErr w:type="spellEnd"/>
      <w:r w:rsidRPr="00A146D0">
        <w:t xml:space="preserve"> ultimately controls the project.  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Predictable research and project parameters are key to innovation—this is the best internal link to education</w:t>
      </w:r>
    </w:p>
    <w:p w:rsidR="00A146D0" w:rsidRPr="003554D9" w:rsidRDefault="00A146D0" w:rsidP="00A146D0">
      <w:pPr>
        <w:ind w:left="720"/>
        <w:rPr>
          <w:rFonts w:cs="Arial"/>
          <w:color w:val="000000"/>
          <w:sz w:val="12"/>
        </w:rPr>
      </w:pPr>
    </w:p>
    <w:p w:rsidR="00A146D0" w:rsidRPr="003554D9" w:rsidRDefault="00A146D0" w:rsidP="00A146D0">
      <w:pPr>
        <w:ind w:firstLine="720"/>
        <w:rPr>
          <w:b/>
          <w:color w:val="000000"/>
          <w:u w:val="thick" w:color="000000"/>
          <w:lang w:val="x-none" w:eastAsia="x-none"/>
        </w:rPr>
      </w:pPr>
      <w:proofErr w:type="spellStart"/>
      <w:r w:rsidRPr="003554D9">
        <w:rPr>
          <w:rFonts w:cs="Arial"/>
          <w:b/>
          <w:color w:val="000000"/>
          <w:u w:val="thick" w:color="000000"/>
          <w:lang w:val="x-none" w:eastAsia="x-none"/>
        </w:rPr>
        <w:t>Sarratore</w:t>
      </w:r>
      <w:proofErr w:type="spellEnd"/>
      <w:r w:rsidRPr="003554D9">
        <w:rPr>
          <w:rFonts w:cs="Arial"/>
          <w:b/>
          <w:color w:val="000000"/>
          <w:u w:val="thick" w:color="000000"/>
          <w:lang w:val="x-none" w:eastAsia="x-none"/>
        </w:rPr>
        <w:t xml:space="preserve"> 99</w:t>
      </w:r>
    </w:p>
    <w:p w:rsidR="00A146D0" w:rsidRPr="003554D9" w:rsidRDefault="00A146D0" w:rsidP="00A146D0">
      <w:pPr>
        <w:ind w:left="720" w:right="1728"/>
        <w:rPr>
          <w:rFonts w:cs="Arial"/>
          <w:color w:val="000000"/>
          <w:sz w:val="9"/>
        </w:rPr>
      </w:pPr>
      <w:r w:rsidRPr="003554D9">
        <w:rPr>
          <w:rFonts w:cs="Arial"/>
          <w:color w:val="000000"/>
          <w:sz w:val="9"/>
        </w:rPr>
        <w:t xml:space="preserve">(Steven T. is Associate Professor of Theatre and Associate Dean of Fine  and Performing Arts at Indiana University-Purdue University Fort Wayne “Design Games,” Theatre Topics 9.1) </w:t>
      </w:r>
    </w:p>
    <w:p w:rsidR="00A146D0" w:rsidRPr="003554D9" w:rsidRDefault="00A146D0" w:rsidP="00A146D0">
      <w:pPr>
        <w:ind w:left="1008" w:right="720"/>
        <w:rPr>
          <w:rFonts w:cs="Arial"/>
          <w:color w:val="000000"/>
          <w:sz w:val="12"/>
        </w:rPr>
      </w:pPr>
    </w:p>
    <w:p w:rsidR="00A146D0" w:rsidRDefault="00A146D0" w:rsidP="00A146D0">
      <w:r w:rsidRPr="00A146D0">
        <w:t>The development and implementation of design games generally require the  following four processes:  1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to step outside of the game and manipulate the pieces  outside of the rules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This education is uniquely important because some government violence is inevitable – we must reject utopianism and debate the consequences of policy action</w:t>
      </w:r>
    </w:p>
    <w:p w:rsidR="00A146D0" w:rsidRPr="003554D9" w:rsidRDefault="00A146D0" w:rsidP="00A146D0">
      <w:pPr>
        <w:ind w:left="720"/>
        <w:rPr>
          <w:color w:val="000000"/>
          <w:sz w:val="16"/>
        </w:rPr>
      </w:pPr>
    </w:p>
    <w:p w:rsidR="00A146D0" w:rsidRPr="003554D9" w:rsidRDefault="00A146D0" w:rsidP="00A146D0">
      <w:pPr>
        <w:ind w:left="720"/>
      </w:pPr>
      <w:r w:rsidRPr="003554D9">
        <w:rPr>
          <w:color w:val="000000"/>
          <w:sz w:val="16"/>
        </w:rPr>
        <w:t xml:space="preserve">Michael </w:t>
      </w:r>
      <w:proofErr w:type="spellStart"/>
      <w:r w:rsidRPr="003554D9">
        <w:rPr>
          <w:b/>
          <w:color w:val="000000"/>
          <w:u w:val="thick" w:color="000000"/>
        </w:rPr>
        <w:t>Ignatieff</w:t>
      </w:r>
      <w:proofErr w:type="spellEnd"/>
      <w:r w:rsidRPr="003554D9">
        <w:rPr>
          <w:color w:val="000000"/>
          <w:sz w:val="16"/>
        </w:rPr>
        <w:t xml:space="preserve">, Carr Professor, Human Rights, Harvard University, LESSER EVILS, </w:t>
      </w:r>
      <w:r w:rsidRPr="003554D9">
        <w:rPr>
          <w:b/>
          <w:color w:val="000000"/>
          <w:u w:val="thick" w:color="000000"/>
        </w:rPr>
        <w:t>2004</w:t>
      </w:r>
      <w:r w:rsidRPr="003554D9">
        <w:rPr>
          <w:color w:val="000000"/>
          <w:sz w:val="16"/>
        </w:rPr>
        <w:t>, p. 18-19</w:t>
      </w:r>
      <w:r w:rsidRPr="003554D9">
        <w:t>.</w:t>
      </w:r>
    </w:p>
    <w:p w:rsidR="00A146D0" w:rsidRPr="003554D9" w:rsidRDefault="00A146D0" w:rsidP="00A146D0">
      <w:pPr>
        <w:ind w:left="1008" w:right="720"/>
        <w:rPr>
          <w:color w:val="000000"/>
          <w:sz w:val="16"/>
        </w:rPr>
      </w:pPr>
    </w:p>
    <w:p w:rsidR="00A146D0" w:rsidRDefault="00A146D0" w:rsidP="00A146D0">
      <w:r w:rsidRPr="00A146D0">
        <w:t xml:space="preserve">To insist that justified exercises of coercion can be defined as a lesser evil is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to our fellow citizens and submit to their judgment as to their correctness.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Second is participatory democracy—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We must posit ourselves as the government in order to make participatory democracy possible</w:t>
      </w:r>
    </w:p>
    <w:p w:rsidR="00A146D0" w:rsidRPr="003554D9" w:rsidRDefault="00A146D0" w:rsidP="00A146D0">
      <w:pPr>
        <w:autoSpaceDE w:val="0"/>
        <w:autoSpaceDN w:val="0"/>
        <w:adjustRightInd w:val="0"/>
        <w:rPr>
          <w:rFonts w:ascii="Times New Roman" w:hAnsi="Times New Roman"/>
          <w:szCs w:val="20"/>
        </w:rPr>
      </w:pPr>
    </w:p>
    <w:p w:rsidR="00A146D0" w:rsidRPr="003554D9" w:rsidRDefault="00A146D0" w:rsidP="00A146D0">
      <w:pPr>
        <w:autoSpaceDE w:val="0"/>
        <w:autoSpaceDN w:val="0"/>
        <w:adjustRightInd w:val="0"/>
        <w:ind w:firstLine="720"/>
        <w:rPr>
          <w:rFonts w:ascii="Times New Roman" w:hAnsi="Times New Roman"/>
          <w:szCs w:val="20"/>
        </w:rPr>
      </w:pPr>
      <w:r w:rsidRPr="003554D9">
        <w:rPr>
          <w:rFonts w:cs="Arial"/>
          <w:color w:val="000000"/>
          <w:sz w:val="12"/>
        </w:rPr>
        <w:t>John</w:t>
      </w:r>
      <w:r w:rsidRPr="003554D9">
        <w:rPr>
          <w:rFonts w:ascii="Times New Roman" w:hAnsi="Times New Roman"/>
          <w:sz w:val="12"/>
          <w:szCs w:val="20"/>
        </w:rPr>
        <w:t xml:space="preserve"> </w:t>
      </w:r>
      <w:r w:rsidRPr="003554D9">
        <w:rPr>
          <w:b/>
          <w:color w:val="000000"/>
          <w:u w:val="thick" w:color="000000"/>
        </w:rPr>
        <w:t>Rawls</w:t>
      </w:r>
      <w:r w:rsidRPr="003554D9">
        <w:rPr>
          <w:rFonts w:ascii="Times New Roman" w:hAnsi="Times New Roman"/>
          <w:sz w:val="12"/>
          <w:szCs w:val="20"/>
        </w:rPr>
        <w:t>, The Law of Peoples, 19</w:t>
      </w:r>
      <w:r w:rsidRPr="003554D9">
        <w:rPr>
          <w:b/>
          <w:color w:val="000000"/>
          <w:u w:val="thick" w:color="000000"/>
        </w:rPr>
        <w:t>99</w:t>
      </w:r>
      <w:r w:rsidRPr="003554D9">
        <w:rPr>
          <w:rFonts w:ascii="Times New Roman" w:hAnsi="Times New Roman"/>
          <w:sz w:val="12"/>
          <w:szCs w:val="20"/>
        </w:rPr>
        <w:t>, p. 56-57</w:t>
      </w:r>
    </w:p>
    <w:p w:rsidR="00A146D0" w:rsidRPr="003554D9" w:rsidRDefault="00A146D0" w:rsidP="00A146D0">
      <w:pPr>
        <w:autoSpaceDE w:val="0"/>
        <w:autoSpaceDN w:val="0"/>
        <w:adjustRightInd w:val="0"/>
        <w:rPr>
          <w:rFonts w:ascii="Times New Roman" w:hAnsi="Times New Roman"/>
          <w:szCs w:val="20"/>
        </w:rPr>
      </w:pPr>
    </w:p>
    <w:p w:rsidR="00A146D0" w:rsidRDefault="00A146D0" w:rsidP="00A146D0">
      <w:r w:rsidRPr="00A146D0">
        <w:t>How is the ideal of public reason realized by citizens who are not government officials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part of the political and social basis of peace and understanding among peoples.</w:t>
      </w:r>
    </w:p>
    <w:p w:rsidR="00A146D0" w:rsidRPr="003554D9" w:rsidRDefault="00A146D0" w:rsidP="00A146D0"/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Participatory democracy is critical to instating human dignity as the core of our politics</w:t>
      </w:r>
    </w:p>
    <w:p w:rsidR="00A146D0" w:rsidRPr="003554D9" w:rsidRDefault="00A146D0" w:rsidP="00A146D0">
      <w:pPr>
        <w:rPr>
          <w:rFonts w:cs="Arial"/>
          <w:color w:val="000000"/>
          <w:sz w:val="12"/>
        </w:rPr>
      </w:pPr>
    </w:p>
    <w:p w:rsidR="00A146D0" w:rsidRPr="003554D9" w:rsidRDefault="00A146D0" w:rsidP="00A146D0">
      <w:pPr>
        <w:ind w:left="720"/>
        <w:rPr>
          <w:rFonts w:cs="Arial"/>
          <w:color w:val="000000"/>
          <w:sz w:val="12"/>
        </w:rPr>
      </w:pPr>
      <w:proofErr w:type="spellStart"/>
      <w:r w:rsidRPr="003554D9">
        <w:rPr>
          <w:rFonts w:cs="Arial"/>
          <w:b/>
          <w:color w:val="000000"/>
          <w:u w:val="thick" w:color="000000"/>
        </w:rPr>
        <w:t>Envio</w:t>
      </w:r>
      <w:proofErr w:type="spellEnd"/>
      <w:r w:rsidRPr="003554D9">
        <w:rPr>
          <w:rFonts w:cs="Arial"/>
          <w:b/>
          <w:color w:val="000000"/>
          <w:u w:val="thick" w:color="000000"/>
        </w:rPr>
        <w:t xml:space="preserve"> </w:t>
      </w:r>
      <w:r w:rsidRPr="003554D9">
        <w:rPr>
          <w:rFonts w:cs="Arial"/>
          <w:color w:val="000000"/>
          <w:sz w:val="12"/>
        </w:rPr>
        <w:t>19</w:t>
      </w:r>
      <w:r w:rsidRPr="003554D9">
        <w:rPr>
          <w:rFonts w:cs="Arial"/>
          <w:b/>
          <w:color w:val="000000"/>
          <w:u w:val="thick" w:color="000000"/>
        </w:rPr>
        <w:t>90</w:t>
      </w:r>
      <w:r w:rsidRPr="003554D9">
        <w:rPr>
          <w:rFonts w:cs="Arial"/>
          <w:color w:val="000000"/>
          <w:sz w:val="12"/>
        </w:rPr>
        <w:t>, Issue 105 “Whither Central America? Coopted Negotiation or Participatory Democracy?” http://www.envio.org.ni/articulo/2597</w:t>
      </w:r>
    </w:p>
    <w:p w:rsidR="00A146D0" w:rsidRPr="003554D9" w:rsidRDefault="00A146D0" w:rsidP="00A146D0">
      <w:pPr>
        <w:rPr>
          <w:rFonts w:cs="Arial"/>
          <w:b/>
          <w:color w:val="000000"/>
          <w:sz w:val="19"/>
          <w:u w:val="thick"/>
          <w:bdr w:val="single" w:sz="12" w:space="0" w:color="auto" w:frame="1"/>
        </w:rPr>
      </w:pPr>
    </w:p>
    <w:p w:rsidR="00A146D0" w:rsidRDefault="00A146D0" w:rsidP="00A146D0">
      <w:r w:rsidRPr="00A146D0">
        <w:t>With the first choice Eastern Europe would rapidly “</w:t>
      </w:r>
      <w:proofErr w:type="spellStart"/>
      <w:r w:rsidRPr="00A146D0">
        <w:t>Latinamericanize</w:t>
      </w:r>
      <w:proofErr w:type="spellEnd"/>
      <w:r w:rsidRPr="00A146D0">
        <w:t>,” becoming dependent on debt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; they will be shown to be just “more of the same.”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Third is hypothesis-testing—</w:t>
      </w: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>Theories or approaches to the world must culminate in a test, in this case a policy—this is critical to social science—it prevents theory from being a trap and leads to more well-informed social sciences</w:t>
      </w:r>
    </w:p>
    <w:p w:rsidR="00A146D0" w:rsidRPr="003554D9" w:rsidRDefault="00A146D0" w:rsidP="00A146D0">
      <w:pPr>
        <w:ind w:left="720"/>
        <w:rPr>
          <w:rFonts w:cs="Arial"/>
          <w:color w:val="000000"/>
          <w:sz w:val="24"/>
        </w:rPr>
      </w:pPr>
      <w:r w:rsidRPr="003554D9">
        <w:rPr>
          <w:rFonts w:cs="Arial"/>
          <w:color w:val="000000"/>
          <w:sz w:val="10"/>
          <w:szCs w:val="10"/>
        </w:rPr>
        <w:t xml:space="preserve">Judith Mitchell </w:t>
      </w:r>
      <w:proofErr w:type="spellStart"/>
      <w:r w:rsidRPr="003554D9">
        <w:rPr>
          <w:rFonts w:cs="Arial"/>
          <w:b/>
          <w:bCs/>
          <w:color w:val="000000"/>
          <w:u w:val="single"/>
        </w:rPr>
        <w:t>Buddenbaum</w:t>
      </w:r>
      <w:proofErr w:type="spellEnd"/>
      <w:r w:rsidRPr="003554D9">
        <w:rPr>
          <w:rFonts w:cs="Arial"/>
          <w:color w:val="000000"/>
          <w:sz w:val="10"/>
          <w:szCs w:val="10"/>
        </w:rPr>
        <w:t xml:space="preserve">, </w:t>
      </w:r>
      <w:proofErr w:type="spellStart"/>
      <w:r w:rsidRPr="003554D9">
        <w:rPr>
          <w:rFonts w:cs="Arial"/>
          <w:color w:val="000000"/>
          <w:sz w:val="10"/>
          <w:szCs w:val="10"/>
        </w:rPr>
        <w:t>Ph.D</w:t>
      </w:r>
      <w:proofErr w:type="spellEnd"/>
      <w:r w:rsidRPr="003554D9">
        <w:rPr>
          <w:rFonts w:cs="Arial"/>
          <w:color w:val="000000"/>
          <w:sz w:val="10"/>
          <w:szCs w:val="10"/>
        </w:rPr>
        <w:t xml:space="preserve"> and professor of Journalism at Colorado State </w:t>
      </w:r>
      <w:r w:rsidRPr="003554D9">
        <w:rPr>
          <w:rFonts w:cs="Arial"/>
          <w:b/>
          <w:bCs/>
          <w:color w:val="000000"/>
          <w:u w:val="single"/>
        </w:rPr>
        <w:t>and</w:t>
      </w:r>
      <w:r w:rsidRPr="003554D9">
        <w:rPr>
          <w:rFonts w:cs="Arial"/>
          <w:color w:val="000000"/>
          <w:sz w:val="10"/>
          <w:szCs w:val="10"/>
        </w:rPr>
        <w:t xml:space="preserve"> Katherine B. </w:t>
      </w:r>
      <w:r w:rsidRPr="003554D9">
        <w:rPr>
          <w:rFonts w:cs="Arial"/>
          <w:b/>
          <w:bCs/>
          <w:color w:val="000000"/>
          <w:u w:val="single"/>
        </w:rPr>
        <w:t>Novak</w:t>
      </w:r>
      <w:r w:rsidRPr="003554D9">
        <w:rPr>
          <w:rFonts w:cs="Arial"/>
          <w:color w:val="000000"/>
          <w:sz w:val="10"/>
          <w:szCs w:val="10"/>
        </w:rPr>
        <w:t xml:space="preserve"> assistant professor at Butler, 20</w:t>
      </w:r>
      <w:r w:rsidRPr="003554D9">
        <w:rPr>
          <w:rFonts w:cs="Arial"/>
          <w:b/>
          <w:bCs/>
          <w:color w:val="000000"/>
          <w:u w:val="single"/>
        </w:rPr>
        <w:t>01</w:t>
      </w:r>
      <w:r w:rsidRPr="003554D9">
        <w:rPr>
          <w:rFonts w:cs="Arial"/>
          <w:color w:val="000000"/>
          <w:sz w:val="10"/>
          <w:szCs w:val="10"/>
        </w:rPr>
        <w:t>. “Applied Communication Research” Iowa State University Press</w:t>
      </w:r>
    </w:p>
    <w:p w:rsidR="00A146D0" w:rsidRPr="003554D9" w:rsidRDefault="00A146D0" w:rsidP="00A146D0">
      <w:pPr>
        <w:ind w:left="1080"/>
        <w:rPr>
          <w:rFonts w:cs="Arial"/>
          <w:color w:val="000000"/>
          <w:sz w:val="10"/>
          <w:szCs w:val="10"/>
        </w:rPr>
      </w:pPr>
      <w:r w:rsidRPr="003554D9">
        <w:rPr>
          <w:rFonts w:cs="Arial"/>
          <w:color w:val="000000"/>
          <w:sz w:val="10"/>
          <w:szCs w:val="10"/>
        </w:rPr>
        <w:t> </w:t>
      </w:r>
    </w:p>
    <w:p w:rsidR="00A146D0" w:rsidRDefault="00A146D0" w:rsidP="00A146D0">
      <w:r w:rsidRPr="00A146D0">
        <w:t xml:space="preserve">Although deductive reasoning is the classical model, many scientists contend that science is better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the subjects for the research before those regularities become the stuff of theory.</w:t>
      </w:r>
    </w:p>
    <w:p w:rsidR="00A146D0" w:rsidRPr="003554D9" w:rsidRDefault="00A146D0" w:rsidP="00A146D0">
      <w:pPr>
        <w:ind w:left="288" w:right="288"/>
        <w:rPr>
          <w:b/>
          <w:lang w:val="x-none" w:eastAsia="x-none"/>
        </w:rPr>
      </w:pPr>
    </w:p>
    <w:p w:rsidR="00A146D0" w:rsidRPr="003554D9" w:rsidRDefault="00A146D0" w:rsidP="00A146D0">
      <w:pPr>
        <w:ind w:left="288" w:right="288"/>
        <w:rPr>
          <w:rFonts w:cs="Arial"/>
          <w:b/>
          <w:lang w:val="x-none" w:eastAsia="x-none"/>
        </w:rPr>
      </w:pPr>
      <w:r w:rsidRPr="003554D9">
        <w:rPr>
          <w:rFonts w:cs="Arial"/>
          <w:b/>
          <w:lang w:val="x-none" w:eastAsia="x-none"/>
        </w:rPr>
        <w:t xml:space="preserve">Testing these in a dialectical atmosphere is critical to ethical </w:t>
      </w:r>
      <w:proofErr w:type="spellStart"/>
      <w:r w:rsidRPr="003554D9">
        <w:rPr>
          <w:rFonts w:cs="Arial"/>
          <w:b/>
          <w:lang w:val="x-none" w:eastAsia="x-none"/>
        </w:rPr>
        <w:t>decisionmaking</w:t>
      </w:r>
      <w:proofErr w:type="spellEnd"/>
      <w:r w:rsidRPr="003554D9">
        <w:rPr>
          <w:rFonts w:cs="Arial"/>
          <w:b/>
          <w:lang w:val="x-none" w:eastAsia="x-none"/>
        </w:rPr>
        <w:t>—debate is a unique forum for this education</w:t>
      </w:r>
    </w:p>
    <w:p w:rsidR="00A146D0" w:rsidRPr="003554D9" w:rsidRDefault="00A146D0" w:rsidP="00A146D0">
      <w:pPr>
        <w:ind w:left="288" w:right="288"/>
        <w:rPr>
          <w:rFonts w:cs="Arial"/>
          <w:b/>
          <w:color w:val="000000"/>
          <w:sz w:val="12"/>
          <w:lang w:val="x-none" w:eastAsia="x-none"/>
        </w:rPr>
      </w:pPr>
    </w:p>
    <w:p w:rsidR="00A146D0" w:rsidRPr="003554D9" w:rsidRDefault="00A146D0" w:rsidP="00A146D0">
      <w:pPr>
        <w:ind w:left="720"/>
        <w:rPr>
          <w:rFonts w:cs="Arial"/>
          <w:color w:val="000000"/>
          <w:sz w:val="12"/>
        </w:rPr>
      </w:pPr>
      <w:r w:rsidRPr="003554D9">
        <w:rPr>
          <w:rFonts w:cs="Arial"/>
          <w:color w:val="000000"/>
          <w:sz w:val="12"/>
        </w:rPr>
        <w:t xml:space="preserve">Star </w:t>
      </w:r>
      <w:r w:rsidRPr="003554D9">
        <w:rPr>
          <w:rFonts w:cs="Arial"/>
          <w:b/>
          <w:color w:val="000000"/>
          <w:u w:val="thick" w:color="000000"/>
        </w:rPr>
        <w:t>Muir</w:t>
      </w:r>
      <w:r w:rsidRPr="003554D9">
        <w:rPr>
          <w:rFonts w:cs="Arial"/>
          <w:color w:val="000000"/>
          <w:sz w:val="12"/>
        </w:rPr>
        <w:t>, professor in the department of communication at George Mason University, 19</w:t>
      </w:r>
      <w:r w:rsidRPr="003554D9">
        <w:rPr>
          <w:rFonts w:cs="Arial"/>
          <w:b/>
          <w:color w:val="000000"/>
          <w:u w:val="thick" w:color="000000"/>
        </w:rPr>
        <w:t>93</w:t>
      </w:r>
      <w:r w:rsidRPr="003554D9">
        <w:rPr>
          <w:rFonts w:cs="Arial"/>
          <w:color w:val="000000"/>
          <w:sz w:val="12"/>
        </w:rPr>
        <w:t>. Philosophy and Rhetoric, volume 26, number 4, page 278. “The Ethics of Contemporary Debate”</w:t>
      </w:r>
    </w:p>
    <w:p w:rsidR="00A146D0" w:rsidRPr="003554D9" w:rsidRDefault="00A146D0" w:rsidP="00A146D0">
      <w:pPr>
        <w:ind w:left="288" w:right="288"/>
        <w:rPr>
          <w:rFonts w:cs="Arial"/>
          <w:b/>
          <w:color w:val="000000"/>
          <w:sz w:val="12"/>
          <w:lang w:val="x-none" w:eastAsia="x-none"/>
        </w:rPr>
      </w:pPr>
    </w:p>
    <w:p w:rsidR="00A146D0" w:rsidRDefault="00A146D0" w:rsidP="00A146D0">
      <w:r w:rsidRPr="00A146D0">
        <w:t xml:space="preserve">Modern debate. Murphy insists, "is not dialectical; it is rhetorical;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fostered rather than hampered by empowering students to form their own moral identity.</w:t>
      </w:r>
    </w:p>
    <w:p w:rsidR="00A146D0" w:rsidRDefault="00A146D0" w:rsidP="00A146D0">
      <w:pPr>
        <w:tabs>
          <w:tab w:val="left" w:pos="1376"/>
        </w:tabs>
      </w:pPr>
    </w:p>
    <w:p w:rsidR="00A146D0" w:rsidRDefault="00A146D0" w:rsidP="00A146D0">
      <w:pPr>
        <w:pStyle w:val="BlockTitle1"/>
      </w:pPr>
      <w:r>
        <w:lastRenderedPageBreak/>
        <w:t>CP</w:t>
      </w:r>
    </w:p>
    <w:p w:rsidR="00A146D0" w:rsidRDefault="00A146D0" w:rsidP="00A146D0"/>
    <w:p w:rsidR="00A146D0" w:rsidRDefault="00A146D0" w:rsidP="00A146D0">
      <w:pPr>
        <w:pStyle w:val="Heading4"/>
      </w:pPr>
      <w:r>
        <w:t>Thus we advocate a re-structuring of our relationship to debt and colonialism in Latin America starting with a REQUEST that the United States federal g</w:t>
      </w:r>
      <w:r w:rsidRPr="00530B4C">
        <w:t>overnment substantially reduce its claims against Cuba for the expropriation of United Fruit Company property.</w:t>
      </w:r>
    </w:p>
    <w:p w:rsidR="00A146D0" w:rsidRDefault="00A146D0" w:rsidP="00A146D0"/>
    <w:p w:rsidR="00A146D0" w:rsidRDefault="00A146D0" w:rsidP="00A146D0">
      <w:pPr>
        <w:pStyle w:val="tag"/>
      </w:pPr>
      <w:r>
        <w:t>The net benefit is the Jackal/Giraffe Critique—</w:t>
      </w:r>
    </w:p>
    <w:p w:rsidR="00A146D0" w:rsidRDefault="00A146D0" w:rsidP="00A146D0"/>
    <w:p w:rsidR="00A146D0" w:rsidRPr="00581A9A" w:rsidRDefault="00A146D0" w:rsidP="00A146D0">
      <w:pPr>
        <w:pStyle w:val="tag"/>
      </w:pPr>
      <w:r w:rsidRPr="00581A9A">
        <w:t xml:space="preserve">The affirmative’s “demand” for change is an undesirable linguistic strategy – such a discursive move embodies </w:t>
      </w:r>
      <w:r w:rsidRPr="006342F3">
        <w:rPr>
          <w:u w:val="single"/>
        </w:rPr>
        <w:t>the language of the jackal</w:t>
      </w:r>
      <w:r w:rsidRPr="00581A9A">
        <w:t xml:space="preserve"> and creates a </w:t>
      </w:r>
      <w:r w:rsidRPr="006342F3">
        <w:rPr>
          <w:u w:val="single"/>
        </w:rPr>
        <w:t>slave-like relationship</w:t>
      </w:r>
      <w:r w:rsidRPr="00581A9A">
        <w:t xml:space="preserve"> between speaker and listener.  Rather than embrace this violent language, we should </w:t>
      </w:r>
      <w:r w:rsidRPr="006342F3">
        <w:rPr>
          <w:u w:val="single"/>
        </w:rPr>
        <w:t>become giraffes and make requests</w:t>
      </w:r>
      <w:r w:rsidRPr="00581A9A">
        <w:t>.</w:t>
      </w:r>
    </w:p>
    <w:p w:rsidR="00A146D0" w:rsidRPr="006342F3" w:rsidRDefault="00A146D0" w:rsidP="00A146D0">
      <w:r w:rsidRPr="006342F3">
        <w:rPr>
          <w:rStyle w:val="cite"/>
        </w:rPr>
        <w:t>Rosenberg 95</w:t>
      </w:r>
      <w:r>
        <w:t xml:space="preserve"> — </w:t>
      </w:r>
      <w:r w:rsidRPr="006342F3">
        <w:t xml:space="preserve">Marshall B. Rosenberg, Ph.D. in Clinical Psychology from the University of Wisconsin, Director of the Center for Nonviolent Communication, and </w:t>
      </w:r>
      <w:proofErr w:type="spellStart"/>
      <w:r w:rsidRPr="006342F3">
        <w:t>Diplomate</w:t>
      </w:r>
      <w:proofErr w:type="spellEnd"/>
      <w:r w:rsidRPr="006342F3">
        <w:t xml:space="preserve"> in Clinical Psychology from the American Board of Examiners in Professional Psychology, 1995</w:t>
      </w:r>
      <w:r>
        <w:t xml:space="preserve"> (</w:t>
      </w:r>
      <w:r w:rsidRPr="006342F3">
        <w:t xml:space="preserve">“Compassionate Communication,” Originally Published in </w:t>
      </w:r>
      <w:r w:rsidRPr="006342F3">
        <w:rPr>
          <w:i/>
        </w:rPr>
        <w:t>Miracles Magazine</w:t>
      </w:r>
      <w:r w:rsidRPr="006342F3">
        <w:t>, Available Online at http://www.naturalchild.com/marshall_rosenberg/ compassionate_communication.html, Accessed 12-31-2003</w:t>
      </w:r>
      <w:r>
        <w:t>)</w:t>
      </w:r>
    </w:p>
    <w:p w:rsidR="00A146D0" w:rsidRDefault="00A146D0" w:rsidP="00A146D0">
      <w:r w:rsidRPr="00A146D0">
        <w:t>At an early age, most of us were taught to speak and think Jackal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 xml:space="preserve">by directives and injunctions, people do not take responsibility for their actions. </w:t>
      </w:r>
    </w:p>
    <w:p w:rsidR="00A146D0" w:rsidRPr="003B4BBB" w:rsidRDefault="00A146D0" w:rsidP="00A146D0"/>
    <w:p w:rsidR="00A146D0" w:rsidRPr="00581A9A" w:rsidRDefault="00A146D0" w:rsidP="00A146D0">
      <w:pPr>
        <w:pStyle w:val="tag"/>
      </w:pPr>
      <w:r w:rsidRPr="006342F3">
        <w:rPr>
          <w:u w:val="single"/>
        </w:rPr>
        <w:t>Second</w:t>
      </w:r>
      <w:r w:rsidRPr="00581A9A">
        <w:t xml:space="preserve">, this </w:t>
      </w:r>
      <w:r w:rsidRPr="006342F3">
        <w:rPr>
          <w:u w:val="single"/>
        </w:rPr>
        <w:t>jackal language</w:t>
      </w:r>
      <w:r w:rsidRPr="00581A9A">
        <w:t xml:space="preserve"> relies on a violent system of communication that undermines relationships and causes paralysis – the affirmative’s linguistic choices </w:t>
      </w:r>
      <w:r w:rsidRPr="006342F3">
        <w:rPr>
          <w:u w:val="single"/>
        </w:rPr>
        <w:t>doom their policy prescription to failure</w:t>
      </w:r>
      <w:r w:rsidRPr="00581A9A">
        <w:t>.</w:t>
      </w:r>
    </w:p>
    <w:p w:rsidR="00A146D0" w:rsidRPr="006342F3" w:rsidRDefault="00A146D0" w:rsidP="00A146D0">
      <w:r w:rsidRPr="003B4BBB">
        <w:rPr>
          <w:rStyle w:val="cite"/>
        </w:rPr>
        <w:t>Wolfe 2k</w:t>
      </w:r>
      <w:r>
        <w:t>—</w:t>
      </w:r>
      <w:r w:rsidRPr="006342F3">
        <w:t>Lucia Wolfe, editor of PAGES, BC Teachers for Peace and Global Education, 2000</w:t>
      </w:r>
      <w:r>
        <w:t xml:space="preserve"> (</w:t>
      </w:r>
      <w:r w:rsidRPr="006342F3">
        <w:t xml:space="preserve">“Valuing the culture of peace,” </w:t>
      </w:r>
      <w:r w:rsidRPr="006342F3">
        <w:rPr>
          <w:i/>
        </w:rPr>
        <w:t>Teacher Newsmagazine</w:t>
      </w:r>
      <w:r w:rsidRPr="006342F3">
        <w:t>, Volume 13, Number 1, September, Available Online at http://www.bctf.bc.ca/ ezine/archive/2000-2001/2000-09/support/10ValuingTheCul</w:t>
      </w:r>
      <w:r>
        <w:t>ture.html, Accessed 12-31-2003)</w:t>
      </w:r>
    </w:p>
    <w:p w:rsidR="00A146D0" w:rsidRDefault="00A146D0" w:rsidP="00A146D0">
      <w:r w:rsidRPr="00A146D0">
        <w:t>“I hope this conference will be a great learning experience and motivator for everyone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 xml:space="preserve">thinking and </w:t>
      </w:r>
      <w:proofErr w:type="spellStart"/>
      <w:r w:rsidRPr="00A146D0">
        <w:t>behaviour</w:t>
      </w:r>
      <w:proofErr w:type="spellEnd"/>
      <w:r w:rsidRPr="00A146D0">
        <w:t xml:space="preserve"> must be taught and valued above violence and violent communication.”</w:t>
      </w:r>
    </w:p>
    <w:p w:rsidR="00A146D0" w:rsidRDefault="00A146D0" w:rsidP="00A146D0">
      <w:r w:rsidRPr="00A146D0">
        <w:t xml:space="preserve">In his keynote address, “Non-violent Communication/ Compassionate Communication: The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compassion; whereas the language of the jackal is a language of demands.</w:t>
      </w:r>
    </w:p>
    <w:p w:rsidR="00A146D0" w:rsidRDefault="00A146D0" w:rsidP="00A146D0">
      <w:r w:rsidRPr="00A146D0">
        <w:t xml:space="preserve">Speaking of the peace process in Northern Ireland, Rev. Ruth Patterson said,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in the eye of the other, we consign ourselves to paralysis.’</w:t>
      </w:r>
    </w:p>
    <w:p w:rsidR="00A146D0" w:rsidRPr="00581A9A" w:rsidRDefault="00A146D0" w:rsidP="00A146D0">
      <w:pPr>
        <w:pStyle w:val="tag"/>
      </w:pPr>
      <w:r w:rsidRPr="00581A9A">
        <w:t xml:space="preserve">The alternative is to reject jackal language and </w:t>
      </w:r>
      <w:r w:rsidRPr="006342F3">
        <w:rPr>
          <w:u w:val="single"/>
        </w:rPr>
        <w:t>metaphorically become giraffes</w:t>
      </w:r>
      <w:r w:rsidRPr="00581A9A">
        <w:t xml:space="preserve">.  The affirmative’s demand engages in suicidal language – our call for non-violent communication is </w:t>
      </w:r>
      <w:r w:rsidRPr="006342F3">
        <w:rPr>
          <w:u w:val="single"/>
        </w:rPr>
        <w:t>a more effective discursive strategy</w:t>
      </w:r>
      <w:r w:rsidRPr="00581A9A">
        <w:t xml:space="preserve">. </w:t>
      </w:r>
    </w:p>
    <w:p w:rsidR="00A146D0" w:rsidRPr="006342F3" w:rsidRDefault="00A146D0" w:rsidP="00A146D0">
      <w:proofErr w:type="spellStart"/>
      <w:r w:rsidRPr="006342F3">
        <w:rPr>
          <w:rStyle w:val="cite"/>
        </w:rPr>
        <w:t>Leu</w:t>
      </w:r>
      <w:proofErr w:type="spellEnd"/>
      <w:r w:rsidRPr="006342F3">
        <w:rPr>
          <w:rStyle w:val="cite"/>
        </w:rPr>
        <w:t xml:space="preserve"> 2k</w:t>
      </w:r>
      <w:r>
        <w:t xml:space="preserve"> — </w:t>
      </w:r>
      <w:r w:rsidRPr="006342F3">
        <w:t xml:space="preserve">Lucy </w:t>
      </w:r>
      <w:proofErr w:type="spellStart"/>
      <w:r w:rsidRPr="006342F3">
        <w:t>Leu</w:t>
      </w:r>
      <w:proofErr w:type="spellEnd"/>
      <w:r w:rsidRPr="006342F3">
        <w:t>, Certified Trainer at the Center for Nonviolent Communication, 2000</w:t>
      </w:r>
      <w:r>
        <w:t xml:space="preserve"> (</w:t>
      </w:r>
      <w:r w:rsidRPr="006342F3">
        <w:t>“Nonviolent Communication: Beyond Judgment and Niceness,” October 26, Available Online at http://www.psncc.org/b</w:t>
      </w:r>
      <w:r>
        <w:t>eyond.htm, Accessed 12-31-2003)</w:t>
      </w:r>
    </w:p>
    <w:p w:rsidR="00A146D0" w:rsidRDefault="00A146D0" w:rsidP="00A146D0">
      <w:r w:rsidRPr="00A146D0">
        <w:t xml:space="preserve">Dr. Marshall B. Rosenberg, founder of Nonviolent Communication (NVC), uses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"racists," "</w:t>
      </w:r>
      <w:proofErr w:type="spellStart"/>
      <w:r w:rsidRPr="00A146D0">
        <w:t>Feminazis</w:t>
      </w:r>
      <w:proofErr w:type="spellEnd"/>
      <w:r w:rsidRPr="00A146D0">
        <w:t>," "bullies," "fanatics," etc.</w:t>
      </w:r>
    </w:p>
    <w:p w:rsidR="00A146D0" w:rsidRDefault="00A146D0" w:rsidP="00A146D0">
      <w:r w:rsidRPr="00A146D0">
        <w:t xml:space="preserve">This kind of thinking and speech leads to self-fulfilling prophecies: if I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energy, intelligence, etc. -- to getting both our needs met.</w:t>
      </w:r>
    </w:p>
    <w:p w:rsidR="00A146D0" w:rsidRPr="00581A9A" w:rsidRDefault="00A146D0" w:rsidP="00A146D0">
      <w:pPr>
        <w:pStyle w:val="card"/>
      </w:pPr>
      <w:r w:rsidRPr="00581A9A">
        <w:t>Unlike a language where we blame each other when we are not getting what we want, NVC emphasizes the joy we humans derive from our ability to contribute to each other's well-being.   We experience deep fulfillment from our power to engage in actions and words that can relieve and help those who are suffering a palpable need.   All humans have the need both to receive and to express compassion.</w:t>
      </w:r>
    </w:p>
    <w:p w:rsidR="00A146D0" w:rsidRDefault="00A146D0" w:rsidP="00A146D0">
      <w:r w:rsidRPr="00A146D0">
        <w:lastRenderedPageBreak/>
        <w:t xml:space="preserve">The symbol for NVC is the giraffe.   Not only do giraffes have the largest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must," "supposed to," "ought to," and "should."</w:t>
      </w:r>
    </w:p>
    <w:p w:rsidR="00A146D0" w:rsidRPr="001E416F" w:rsidRDefault="00A146D0" w:rsidP="00A146D0">
      <w:pPr>
        <w:pStyle w:val="tag"/>
      </w:pPr>
      <w:r w:rsidRPr="006342F3">
        <w:rPr>
          <w:u w:val="single"/>
        </w:rPr>
        <w:t>Finally</w:t>
      </w:r>
      <w:r w:rsidRPr="00B92168">
        <w:t>, the a</w:t>
      </w:r>
      <w:r w:rsidRPr="001E416F">
        <w:t xml:space="preserve">lternative solves – small-scale action by individual students is key to </w:t>
      </w:r>
      <w:r w:rsidRPr="006342F3">
        <w:rPr>
          <w:u w:val="single"/>
        </w:rPr>
        <w:t>break down violence</w:t>
      </w:r>
      <w:r w:rsidRPr="001E416F">
        <w:t xml:space="preserve"> and </w:t>
      </w:r>
      <w:r w:rsidRPr="006342F3">
        <w:rPr>
          <w:u w:val="single"/>
        </w:rPr>
        <w:t>open space for more productive discussions</w:t>
      </w:r>
      <w:r w:rsidRPr="001E416F">
        <w:t>.</w:t>
      </w:r>
    </w:p>
    <w:p w:rsidR="00A146D0" w:rsidRPr="006342F3" w:rsidRDefault="00A146D0" w:rsidP="00A146D0">
      <w:proofErr w:type="spellStart"/>
      <w:r w:rsidRPr="006342F3">
        <w:rPr>
          <w:rStyle w:val="cite"/>
        </w:rPr>
        <w:t>Summy</w:t>
      </w:r>
      <w:proofErr w:type="spellEnd"/>
      <w:r w:rsidRPr="006342F3">
        <w:rPr>
          <w:rStyle w:val="cite"/>
        </w:rPr>
        <w:t xml:space="preserve"> 98</w:t>
      </w:r>
      <w:r>
        <w:t xml:space="preserve"> — </w:t>
      </w:r>
      <w:r w:rsidRPr="006342F3">
        <w:t xml:space="preserve">Ralph </w:t>
      </w:r>
      <w:proofErr w:type="spellStart"/>
      <w:r w:rsidRPr="006342F3">
        <w:t>Summy</w:t>
      </w:r>
      <w:proofErr w:type="spellEnd"/>
      <w:r w:rsidRPr="006342F3">
        <w:t xml:space="preserve">, Director of the </w:t>
      </w:r>
      <w:proofErr w:type="spellStart"/>
      <w:r w:rsidRPr="006342F3">
        <w:t>Matsunaga</w:t>
      </w:r>
      <w:proofErr w:type="spellEnd"/>
      <w:r w:rsidRPr="006342F3">
        <w:t xml:space="preserve"> Institute for Peace at the University of Hawaii, 1998</w:t>
      </w:r>
      <w:r>
        <w:t xml:space="preserve"> (</w:t>
      </w:r>
      <w:r w:rsidRPr="006342F3">
        <w:t xml:space="preserve"> “Nonviolent speech,” </w:t>
      </w:r>
      <w:r w:rsidRPr="006342F3">
        <w:rPr>
          <w:i/>
        </w:rPr>
        <w:t>Peace Review</w:t>
      </w:r>
      <w:r w:rsidRPr="006342F3">
        <w:t>, Volume 10, Issue 4, December, Available Onl</w:t>
      </w:r>
      <w:r>
        <w:t>ine via Academic Search Premier)</w:t>
      </w:r>
    </w:p>
    <w:p w:rsidR="00A146D0" w:rsidRDefault="00A146D0" w:rsidP="00A146D0">
      <w:r w:rsidRPr="00A146D0">
        <w:t xml:space="preserve">Converting one's language to nonviolence is something that everyone can do. It does not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attention and paves the way for discussion on a range of peace topics.</w:t>
      </w:r>
    </w:p>
    <w:p w:rsidR="00A146D0" w:rsidRDefault="00A146D0" w:rsidP="00A146D0"/>
    <w:p w:rsidR="00A146D0" w:rsidRDefault="00A146D0" w:rsidP="00A146D0"/>
    <w:p w:rsidR="00A146D0" w:rsidRDefault="00A146D0" w:rsidP="00A146D0">
      <w:pPr>
        <w:pStyle w:val="BlockTitle1"/>
      </w:pPr>
      <w:r>
        <w:lastRenderedPageBreak/>
        <w:t>Case</w:t>
      </w:r>
    </w:p>
    <w:p w:rsidR="00A146D0" w:rsidRDefault="00A146D0" w:rsidP="00A146D0">
      <w:pPr>
        <w:tabs>
          <w:tab w:val="left" w:pos="1376"/>
        </w:tabs>
      </w:pPr>
    </w:p>
    <w:p w:rsidR="00A146D0" w:rsidRDefault="00A146D0" w:rsidP="00A146D0">
      <w:pPr>
        <w:pStyle w:val="Heading4"/>
      </w:pPr>
      <w:r>
        <w:t>They elevate whiteness to near all-pervasive force driving most oppression. Such conceptual expansion hides the actual practice of racism and makes breaking it down more difficult</w:t>
      </w:r>
    </w:p>
    <w:p w:rsidR="00A146D0" w:rsidRDefault="00A146D0" w:rsidP="00A146D0">
      <w:pPr>
        <w:pStyle w:val="Heading4"/>
      </w:pPr>
    </w:p>
    <w:p w:rsidR="00A146D0" w:rsidRDefault="00A146D0" w:rsidP="00A146D0">
      <w:pPr>
        <w:pStyle w:val="evidencetext"/>
        <w:ind w:left="720"/>
      </w:pPr>
      <w:r>
        <w:rPr>
          <w:rStyle w:val="cite"/>
          <w:sz w:val="22"/>
          <w:u w:val="thick" w:color="000000"/>
        </w:rPr>
        <w:t>Andersen 3</w:t>
      </w:r>
      <w:r>
        <w:t xml:space="preserve"> – Margaret L. Andersen, Professor of Sociology and Women's Studies and Vice Provost for Academic Affairs at the University of Delaware, 2003, “Whitewashing Race: A Critical Perspective on Whiteness,” in White Out: The Continuing Significance of Racism, </w:t>
      </w:r>
      <w:proofErr w:type="spellStart"/>
      <w:r>
        <w:t>ed</w:t>
      </w:r>
      <w:proofErr w:type="spellEnd"/>
      <w:r>
        <w:t xml:space="preserve"> </w:t>
      </w:r>
      <w:proofErr w:type="spellStart"/>
      <w:r>
        <w:t>Doane</w:t>
      </w:r>
      <w:proofErr w:type="spellEnd"/>
      <w:r>
        <w:t xml:space="preserve"> &amp; Bonilla-Silva, p. 30-32</w:t>
      </w:r>
    </w:p>
    <w:p w:rsidR="00A146D0" w:rsidRDefault="00A146D0" w:rsidP="00A146D0">
      <w:pPr>
        <w:pStyle w:val="evidencetext"/>
      </w:pPr>
    </w:p>
    <w:p w:rsidR="00A146D0" w:rsidRDefault="00A146D0" w:rsidP="00A146D0">
      <w:r w:rsidRPr="00A146D0">
        <w:t xml:space="preserve">Conceptually, one of the major </w:t>
      </w:r>
      <w:proofErr w:type="spellStart"/>
      <w:r w:rsidRPr="00A146D0">
        <w:t>problemsin</w:t>
      </w:r>
      <w:proofErr w:type="spellEnd"/>
      <w:r w:rsidRPr="00A146D0">
        <w:t xml:space="preserve"> the whiteness literature is the reification of whiteness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come to mean just about everything, it ends up meaning hardly anything.</w:t>
      </w:r>
    </w:p>
    <w:p w:rsidR="00A146D0" w:rsidRDefault="00A146D0" w:rsidP="00A146D0">
      <w:pPr>
        <w:pStyle w:val="Heading4"/>
      </w:pPr>
    </w:p>
    <w:p w:rsidR="00A146D0" w:rsidRDefault="00A146D0" w:rsidP="00A146D0">
      <w:pPr>
        <w:pStyle w:val="Heading4"/>
      </w:pPr>
      <w:r>
        <w:t>The notion that whiteness and the State doom reformism ensues – oppression goes up by ensuring their politics go nowhere</w:t>
      </w:r>
    </w:p>
    <w:p w:rsidR="00A146D0" w:rsidRDefault="00A146D0" w:rsidP="00A146D0">
      <w:pPr>
        <w:pStyle w:val="Heading4"/>
      </w:pPr>
    </w:p>
    <w:p w:rsidR="00A146D0" w:rsidRDefault="00A146D0" w:rsidP="00A146D0">
      <w:pPr>
        <w:ind w:left="720"/>
        <w:rPr>
          <w:sz w:val="16"/>
          <w:lang w:eastAsia="x-none"/>
        </w:rPr>
      </w:pPr>
      <w:r>
        <w:rPr>
          <w:rStyle w:val="cite"/>
          <w:color w:val="000000"/>
          <w:u w:val="thick" w:color="000000"/>
        </w:rPr>
        <w:t>Andersen 3</w:t>
      </w:r>
      <w:r>
        <w:rPr>
          <w:sz w:val="16"/>
          <w:lang w:eastAsia="x-none"/>
        </w:rPr>
        <w:t xml:space="preserve"> – Margaret L. Andersen, Professor of Sociology and Women's Studies and Vice Provost for Academic Affairs at the University of Delaware, 2003, “Whitewashing Race: A Critical Perspective on Whiteness,” in White Out: The Continuing Significance of Racism, </w:t>
      </w:r>
      <w:proofErr w:type="spellStart"/>
      <w:r>
        <w:rPr>
          <w:sz w:val="16"/>
          <w:lang w:eastAsia="x-none"/>
        </w:rPr>
        <w:t>ed</w:t>
      </w:r>
      <w:proofErr w:type="spellEnd"/>
      <w:r>
        <w:rPr>
          <w:sz w:val="16"/>
          <w:lang w:eastAsia="x-none"/>
        </w:rPr>
        <w:t xml:space="preserve"> </w:t>
      </w:r>
      <w:proofErr w:type="spellStart"/>
      <w:r>
        <w:rPr>
          <w:sz w:val="16"/>
          <w:lang w:eastAsia="x-none"/>
        </w:rPr>
        <w:t>Doane</w:t>
      </w:r>
      <w:proofErr w:type="spellEnd"/>
      <w:r>
        <w:rPr>
          <w:sz w:val="16"/>
          <w:lang w:eastAsia="x-none"/>
        </w:rPr>
        <w:t xml:space="preserve"> &amp; Bonilla-Silva, p. 30-32</w:t>
      </w:r>
    </w:p>
    <w:p w:rsidR="00A146D0" w:rsidRDefault="00A146D0" w:rsidP="00A146D0">
      <w:pPr>
        <w:pStyle w:val="evidencetext"/>
      </w:pPr>
    </w:p>
    <w:p w:rsidR="00A146D0" w:rsidRDefault="00A146D0" w:rsidP="00A146D0">
      <w:r w:rsidRPr="00A146D0">
        <w:t xml:space="preserve">Even those who acknowledge the material basis of race and racism (and most do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with the material reality of racial segregation and discrimination, this seems unlikely.</w:t>
      </w:r>
    </w:p>
    <w:p w:rsidR="00A146D0" w:rsidRDefault="00A146D0" w:rsidP="00A146D0">
      <w:pPr>
        <w:pStyle w:val="Heading4"/>
      </w:pPr>
    </w:p>
    <w:p w:rsidR="00A146D0" w:rsidRDefault="00A146D0" w:rsidP="00A146D0">
      <w:pPr>
        <w:pStyle w:val="Heading4"/>
      </w:pPr>
      <w:r>
        <w:t xml:space="preserve">Political systems aren’t inevitably oppressive – working within them is a better starting point </w:t>
      </w:r>
    </w:p>
    <w:p w:rsidR="00A146D0" w:rsidRDefault="00A146D0" w:rsidP="00A146D0">
      <w:pPr>
        <w:pStyle w:val="Heading4"/>
      </w:pPr>
    </w:p>
    <w:p w:rsidR="00A146D0" w:rsidRDefault="00A146D0" w:rsidP="00A146D0">
      <w:pPr>
        <w:ind w:left="720"/>
        <w:rPr>
          <w:sz w:val="16"/>
          <w:lang w:eastAsia="x-none"/>
        </w:rPr>
      </w:pPr>
      <w:r>
        <w:rPr>
          <w:rStyle w:val="cite"/>
          <w:color w:val="000000"/>
          <w:u w:val="thick" w:color="000000"/>
        </w:rPr>
        <w:t>Sullivan 8</w:t>
      </w:r>
      <w:r>
        <w:rPr>
          <w:sz w:val="16"/>
          <w:lang w:eastAsia="x-none"/>
        </w:rPr>
        <w:t xml:space="preserve"> – Shannon Sullivan, Head of Philosophy and Professor of Philosophy, Women's Studies, and African and African American Studies at Pennsylvania State University, Spring 2008, “Whiteness as Wise Provincialism: Royce and the Rehabilitation of a Racial Category,” Transactions of the Charles S. Peirce Society: A Quarterly Journal in American Philosophy, Vol. 44, No. 2</w:t>
      </w:r>
    </w:p>
    <w:p w:rsidR="00A146D0" w:rsidRDefault="00A146D0" w:rsidP="00A146D0">
      <w:pPr>
        <w:pStyle w:val="evidencetext"/>
      </w:pPr>
    </w:p>
    <w:p w:rsidR="00A146D0" w:rsidRDefault="00A146D0" w:rsidP="00A146D0">
      <w:r w:rsidRPr="00A146D0">
        <w:t xml:space="preserve">It is commonly acknowledged today, at least in academic circles, that racial essences </w:t>
      </w:r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 xml:space="preserve">of racial justice that ignores this need will not be effective in practice. </w:t>
      </w:r>
    </w:p>
    <w:p w:rsidR="00A146D0" w:rsidRDefault="00A146D0" w:rsidP="00A146D0">
      <w:pPr>
        <w:pStyle w:val="Heading4"/>
      </w:pPr>
    </w:p>
    <w:p w:rsidR="00A146D0" w:rsidRDefault="00A146D0" w:rsidP="00A146D0">
      <w:pPr>
        <w:pStyle w:val="Heading4"/>
      </w:pPr>
      <w:r>
        <w:t>Calls for new methodologies base around race cement domination by inadvertently calling for new “standards of proof”</w:t>
      </w:r>
    </w:p>
    <w:p w:rsidR="00A146D0" w:rsidRDefault="00A146D0" w:rsidP="00A146D0">
      <w:pPr>
        <w:pStyle w:val="Heading4"/>
      </w:pPr>
    </w:p>
    <w:p w:rsidR="00A146D0" w:rsidRDefault="00A146D0" w:rsidP="00A146D0">
      <w:pPr>
        <w:pStyle w:val="boldcite"/>
        <w:ind w:left="720"/>
        <w:rPr>
          <w:rStyle w:val="StyleStyleBold12pt"/>
          <w:b/>
          <w:bCs w:val="0"/>
        </w:rPr>
      </w:pPr>
      <w:r>
        <w:rPr>
          <w:rStyle w:val="StyleStyleBold12pt"/>
        </w:rPr>
        <w:t>Tyson 98</w:t>
      </w:r>
    </w:p>
    <w:p w:rsidR="00A146D0" w:rsidRDefault="00A146D0" w:rsidP="00A146D0">
      <w:pPr>
        <w:pStyle w:val="evidencetext"/>
        <w:ind w:left="720"/>
        <w:rPr>
          <w:lang w:bidi="en-US"/>
        </w:rPr>
      </w:pPr>
      <w:r>
        <w:rPr>
          <w:lang w:bidi="en-US"/>
        </w:rPr>
        <w:t>CYNTHIA A. TYSON is an assistant professor in the School for Integrated Teaching and Learning and Language, Literature and Culture at the Ohio State University – Educational Researcher, Vol. 27, No. 9, pp. 21-22 – 1998 – available at J-</w:t>
      </w:r>
      <w:proofErr w:type="spellStart"/>
      <w:r>
        <w:rPr>
          <w:lang w:bidi="en-US"/>
        </w:rPr>
        <w:t>Stor</w:t>
      </w:r>
      <w:proofErr w:type="spellEnd"/>
    </w:p>
    <w:p w:rsidR="00A146D0" w:rsidRDefault="00A146D0" w:rsidP="00A146D0">
      <w:pPr>
        <w:pStyle w:val="evidencetext"/>
        <w:rPr>
          <w:lang w:bidi="en-US"/>
        </w:rPr>
      </w:pPr>
    </w:p>
    <w:p w:rsidR="00A146D0" w:rsidRDefault="00A146D0" w:rsidP="00A146D0">
      <w:r w:rsidRPr="00A146D0">
        <w:t xml:space="preserve">In their piece, </w:t>
      </w:r>
      <w:proofErr w:type="spellStart"/>
      <w:r w:rsidRPr="00A146D0">
        <w:t>Scheurich</w:t>
      </w:r>
      <w:proofErr w:type="spellEnd"/>
      <w:r w:rsidRPr="00A146D0">
        <w:t xml:space="preserve"> and Young (1997) raise the </w:t>
      </w:r>
      <w:proofErr w:type="spellStart"/>
      <w:r w:rsidRPr="00A146D0">
        <w:t>ques</w:t>
      </w:r>
      <w:proofErr w:type="spellEnd"/>
      <w:r w:rsidRPr="00A146D0">
        <w:t xml:space="preserve">- </w:t>
      </w:r>
      <w:proofErr w:type="spellStart"/>
      <w:r w:rsidRPr="00A146D0">
        <w:t>tion</w:t>
      </w:r>
      <w:proofErr w:type="spellEnd"/>
    </w:p>
    <w:p w:rsidR="00A146D0" w:rsidRDefault="00A146D0" w:rsidP="00A146D0">
      <w:r>
        <w:t>AND</w:t>
      </w:r>
    </w:p>
    <w:p w:rsidR="00A146D0" w:rsidRPr="00A146D0" w:rsidRDefault="00A146D0" w:rsidP="00A146D0">
      <w:r w:rsidRPr="00A146D0">
        <w:t>-based methodologies will be dismantled and dissected while racist epistemologies remain intact.</w:t>
      </w:r>
    </w:p>
    <w:p w:rsidR="00A146D0" w:rsidRDefault="00A146D0" w:rsidP="00A146D0">
      <w:pPr>
        <w:tabs>
          <w:tab w:val="left" w:pos="1376"/>
        </w:tabs>
      </w:pPr>
    </w:p>
    <w:p w:rsidR="00A146D0" w:rsidRDefault="00A146D0" w:rsidP="00A146D0">
      <w:pPr>
        <w:tabs>
          <w:tab w:val="left" w:pos="1376"/>
        </w:tabs>
      </w:pPr>
    </w:p>
    <w:p w:rsidR="00A146D0" w:rsidRDefault="00A146D0" w:rsidP="00A146D0"/>
    <w:p w:rsidR="00A146D0" w:rsidRDefault="00A146D0" w:rsidP="00A146D0"/>
    <w:p w:rsidR="00A146D0" w:rsidRDefault="00A146D0" w:rsidP="00A146D0"/>
    <w:p w:rsidR="00A146D0" w:rsidRDefault="00A146D0" w:rsidP="00A146D0"/>
    <w:p w:rsidR="00A146D0" w:rsidRDefault="00A146D0" w:rsidP="00A146D0"/>
    <w:p w:rsidR="00A146D0" w:rsidRDefault="00A146D0" w:rsidP="00A146D0"/>
    <w:p w:rsidR="00A146D0" w:rsidRDefault="00A146D0" w:rsidP="00A146D0"/>
    <w:p w:rsidR="00A146D0" w:rsidRDefault="00A146D0" w:rsidP="00A146D0"/>
    <w:p w:rsidR="00A146D0" w:rsidRDefault="00A146D0" w:rsidP="00A146D0"/>
    <w:p w:rsidR="00A146D0" w:rsidRPr="00D71D59" w:rsidRDefault="00A146D0" w:rsidP="00A146D0"/>
    <w:p w:rsidR="000022F2" w:rsidRPr="00D17C4E" w:rsidRDefault="000022F2" w:rsidP="00D17C4E"/>
    <w:sectPr w:rsidR="000022F2" w:rsidRPr="00D17C4E">
      <w:headerReference w:type="default" r:id="rId11"/>
      <w:pgSz w:w="12240" w:h="15840"/>
      <w:pgMar w:top="288" w:right="864" w:bottom="1152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13" w:rsidRDefault="00441B13" w:rsidP="005F5576">
      <w:r>
        <w:separator/>
      </w:r>
    </w:p>
  </w:endnote>
  <w:endnote w:type="continuationSeparator" w:id="0">
    <w:p w:rsidR="00441B13" w:rsidRDefault="00441B1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13" w:rsidRDefault="00441B13" w:rsidP="005F5576">
      <w:r>
        <w:separator/>
      </w:r>
    </w:p>
  </w:footnote>
  <w:footnote w:type="continuationSeparator" w:id="0">
    <w:p w:rsidR="00441B13" w:rsidRDefault="00441B13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73F" w:rsidRDefault="00441B13">
    <w:pPr>
      <w:pStyle w:val="Header"/>
      <w:rPr>
        <w:rFonts w:cs="Arial"/>
        <w:sz w:val="18"/>
      </w:rPr>
    </w:pPr>
  </w:p>
  <w:p w:rsidR="0025373F" w:rsidRDefault="00441B13">
    <w:pPr>
      <w:pStyle w:val="Header"/>
      <w:tabs>
        <w:tab w:val="left" w:pos="7920"/>
      </w:tabs>
      <w:rPr>
        <w:rFonts w:cs="Arial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A66EB"/>
    <w:multiLevelType w:val="hybridMultilevel"/>
    <w:tmpl w:val="FD10D858"/>
    <w:lvl w:ilvl="0" w:tplc="8734707E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D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631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30437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41B13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1C80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146D0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31D8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1538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Intense Emphasis1,Intense Emphasis2,HHeading 3 + 12 pt,ci,Intense Emphasis11,Intense Emphasis3,Minimized Char,Intense Emphasis111,Intense Emphasis1111,Bo,Intense Emphasis31,Minimized Cha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aliases w:val=" Char2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evidencetext">
    <w:name w:val="evidence text"/>
    <w:basedOn w:val="Normal"/>
    <w:next w:val="Normal"/>
    <w:link w:val="evidencetextChar1"/>
    <w:qFormat/>
    <w:rsid w:val="00A146D0"/>
    <w:pPr>
      <w:ind w:left="432" w:right="432"/>
    </w:pPr>
    <w:rPr>
      <w:rFonts w:eastAsia="Calibri"/>
      <w:color w:val="000000"/>
      <w:sz w:val="16"/>
    </w:rPr>
  </w:style>
  <w:style w:type="paragraph" w:customStyle="1" w:styleId="BlockTitle1">
    <w:name w:val="Block Title #1"/>
    <w:basedOn w:val="Heading1"/>
    <w:next w:val="Normal"/>
    <w:rsid w:val="00A146D0"/>
    <w:pPr>
      <w:pBdr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Bdr>
      <w:spacing w:before="0"/>
      <w:ind w:left="1728" w:right="1728"/>
    </w:pPr>
    <w:rPr>
      <w:rFonts w:eastAsia="Times New Roman" w:cs="Times New Roman"/>
      <w:color w:val="000000"/>
      <w:sz w:val="24"/>
    </w:rPr>
  </w:style>
  <w:style w:type="paragraph" w:customStyle="1" w:styleId="boldcite">
    <w:name w:val="bold cite"/>
    <w:basedOn w:val="Normal"/>
    <w:link w:val="boldciteChar4"/>
    <w:qFormat/>
    <w:rsid w:val="00A146D0"/>
    <w:rPr>
      <w:rFonts w:eastAsia="Calibri"/>
      <w:b/>
      <w:color w:val="000000"/>
      <w:u w:val="thick" w:color="000000"/>
    </w:rPr>
  </w:style>
  <w:style w:type="character" w:customStyle="1" w:styleId="underline">
    <w:name w:val="underline"/>
    <w:rsid w:val="00A146D0"/>
    <w:rPr>
      <w:u w:val="single"/>
    </w:rPr>
  </w:style>
  <w:style w:type="character" w:customStyle="1" w:styleId="highlight2">
    <w:name w:val="highlight2"/>
    <w:rsid w:val="00A146D0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paragraph" w:customStyle="1" w:styleId="card">
    <w:name w:val="card"/>
    <w:basedOn w:val="Normal"/>
    <w:rsid w:val="00A146D0"/>
    <w:pPr>
      <w:ind w:left="288" w:right="288"/>
    </w:pPr>
    <w:rPr>
      <w:rFonts w:ascii="Times New Roman" w:eastAsia="Calibri" w:hAnsi="Times New Roman"/>
      <w:szCs w:val="20"/>
    </w:rPr>
  </w:style>
  <w:style w:type="character" w:customStyle="1" w:styleId="cite">
    <w:name w:val="cite"/>
    <w:aliases w:val="Heading 3 Char Char Char,cites Char Char,Heading 3 Char1 Char,Citation Char Char1 Char Char Char Char Char, Char Char Char1,Citation Char Char Char1,Heading 3 Char Char1,Read Char Char1,Heading 3 Char1 Char Char Char,Read Char Char1 Char Char Char"/>
    <w:qFormat/>
    <w:rsid w:val="00A146D0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qFormat/>
    <w:rsid w:val="00A146D0"/>
    <w:pPr>
      <w:widowControl w:val="0"/>
      <w:autoSpaceDE w:val="0"/>
      <w:autoSpaceDN w:val="0"/>
      <w:adjustRightInd w:val="0"/>
    </w:pPr>
    <w:rPr>
      <w:rFonts w:ascii="Times New Roman" w:eastAsia="Calibri" w:hAnsi="Times New Roman"/>
      <w:b/>
      <w:color w:val="000000"/>
      <w:sz w:val="24"/>
      <w:szCs w:val="20"/>
    </w:rPr>
  </w:style>
  <w:style w:type="character" w:customStyle="1" w:styleId="evidencetextChar1">
    <w:name w:val="evidence text Char1"/>
    <w:link w:val="evidencetext"/>
    <w:rsid w:val="00A146D0"/>
    <w:rPr>
      <w:rFonts w:ascii="Calibri" w:eastAsia="Calibri" w:hAnsi="Calibri" w:cs="Calibri"/>
      <w:color w:val="000000"/>
      <w:sz w:val="16"/>
    </w:rPr>
  </w:style>
  <w:style w:type="character" w:customStyle="1" w:styleId="TagChar1">
    <w:name w:val="Tag Char1"/>
    <w:aliases w:val="Heading 2 Cha Char,TagStyle Char1,Heading 2 Char Char Char Char Char Char Char Char Char Char Char Char Char Char Char,Heading 2 Char Char Char Char Char Char Char Char Char Char Char Char,TAG Char1 Char1,Tag&amp;Ci Char,Heading 2 Char Char Char1"/>
    <w:qFormat/>
    <w:locked/>
    <w:rsid w:val="00A146D0"/>
    <w:rPr>
      <w:rFonts w:ascii="Arial" w:hAnsi="Arial"/>
      <w:b/>
      <w:sz w:val="22"/>
      <w:szCs w:val="24"/>
    </w:rPr>
  </w:style>
  <w:style w:type="character" w:customStyle="1" w:styleId="boldciteChar4">
    <w:name w:val="bold cite Char4"/>
    <w:basedOn w:val="DefaultParagraphFont"/>
    <w:link w:val="boldcite"/>
    <w:locked/>
    <w:rsid w:val="00A146D0"/>
    <w:rPr>
      <w:rFonts w:ascii="Calibri" w:eastAsia="Calibri" w:hAnsi="Calibri" w:cs="Calibri"/>
      <w:b/>
      <w:color w:val="000000"/>
      <w:u w:val="thick" w:color="000000"/>
    </w:rPr>
  </w:style>
  <w:style w:type="character" w:customStyle="1" w:styleId="BoldUnderlineChar">
    <w:name w:val="Bold Underline Char"/>
    <w:locked/>
    <w:rsid w:val="00A146D0"/>
    <w:rPr>
      <w:rFonts w:ascii="Arial Narrow" w:hAnsi="Arial Narrow"/>
      <w:b/>
      <w:szCs w:val="22"/>
      <w:u w:val="thick"/>
    </w:rPr>
  </w:style>
  <w:style w:type="character" w:customStyle="1" w:styleId="EmphasizeThis">
    <w:name w:val="EmphasizeThis"/>
    <w:rsid w:val="00A146D0"/>
    <w:rPr>
      <w:rFonts w:ascii="Georgia" w:hAnsi="Georgia"/>
      <w:b/>
      <w:iCs/>
      <w:sz w:val="24"/>
      <w:u w:val="thi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Intense Emphasis1,Intense Emphasis2,HHeading 3 + 12 pt,ci,Intense Emphasis11,Intense Emphasis3,Minimized Char,Intense Emphasis111,Intense Emphasis1111,Bo,Intense Emphasis31,Minimized Cha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aliases w:val=" Char2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evidencetext">
    <w:name w:val="evidence text"/>
    <w:basedOn w:val="Normal"/>
    <w:next w:val="Normal"/>
    <w:link w:val="evidencetextChar1"/>
    <w:qFormat/>
    <w:rsid w:val="00A146D0"/>
    <w:pPr>
      <w:ind w:left="432" w:right="432"/>
    </w:pPr>
    <w:rPr>
      <w:rFonts w:eastAsia="Calibri"/>
      <w:color w:val="000000"/>
      <w:sz w:val="16"/>
    </w:rPr>
  </w:style>
  <w:style w:type="paragraph" w:customStyle="1" w:styleId="BlockTitle1">
    <w:name w:val="Block Title #1"/>
    <w:basedOn w:val="Heading1"/>
    <w:next w:val="Normal"/>
    <w:rsid w:val="00A146D0"/>
    <w:pPr>
      <w:pBdr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Bdr>
      <w:spacing w:before="0"/>
      <w:ind w:left="1728" w:right="1728"/>
    </w:pPr>
    <w:rPr>
      <w:rFonts w:eastAsia="Times New Roman" w:cs="Times New Roman"/>
      <w:color w:val="000000"/>
      <w:sz w:val="24"/>
    </w:rPr>
  </w:style>
  <w:style w:type="paragraph" w:customStyle="1" w:styleId="boldcite">
    <w:name w:val="bold cite"/>
    <w:basedOn w:val="Normal"/>
    <w:link w:val="boldciteChar4"/>
    <w:qFormat/>
    <w:rsid w:val="00A146D0"/>
    <w:rPr>
      <w:rFonts w:eastAsia="Calibri"/>
      <w:b/>
      <w:color w:val="000000"/>
      <w:u w:val="thick" w:color="000000"/>
    </w:rPr>
  </w:style>
  <w:style w:type="character" w:customStyle="1" w:styleId="underline">
    <w:name w:val="underline"/>
    <w:rsid w:val="00A146D0"/>
    <w:rPr>
      <w:u w:val="single"/>
    </w:rPr>
  </w:style>
  <w:style w:type="character" w:customStyle="1" w:styleId="highlight2">
    <w:name w:val="highlight2"/>
    <w:rsid w:val="00A146D0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paragraph" w:customStyle="1" w:styleId="card">
    <w:name w:val="card"/>
    <w:basedOn w:val="Normal"/>
    <w:rsid w:val="00A146D0"/>
    <w:pPr>
      <w:ind w:left="288" w:right="288"/>
    </w:pPr>
    <w:rPr>
      <w:rFonts w:ascii="Times New Roman" w:eastAsia="Calibri" w:hAnsi="Times New Roman"/>
      <w:szCs w:val="20"/>
    </w:rPr>
  </w:style>
  <w:style w:type="character" w:customStyle="1" w:styleId="cite">
    <w:name w:val="cite"/>
    <w:aliases w:val="Heading 3 Char Char Char,cites Char Char,Heading 3 Char1 Char,Citation Char Char1 Char Char Char Char Char, Char Char Char1,Citation Char Char Char1,Heading 3 Char Char1,Read Char Char1,Heading 3 Char1 Char Char Char,Read Char Char1 Char Char Char"/>
    <w:qFormat/>
    <w:rsid w:val="00A146D0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qFormat/>
    <w:rsid w:val="00A146D0"/>
    <w:pPr>
      <w:widowControl w:val="0"/>
      <w:autoSpaceDE w:val="0"/>
      <w:autoSpaceDN w:val="0"/>
      <w:adjustRightInd w:val="0"/>
    </w:pPr>
    <w:rPr>
      <w:rFonts w:ascii="Times New Roman" w:eastAsia="Calibri" w:hAnsi="Times New Roman"/>
      <w:b/>
      <w:color w:val="000000"/>
      <w:sz w:val="24"/>
      <w:szCs w:val="20"/>
    </w:rPr>
  </w:style>
  <w:style w:type="character" w:customStyle="1" w:styleId="evidencetextChar1">
    <w:name w:val="evidence text Char1"/>
    <w:link w:val="evidencetext"/>
    <w:rsid w:val="00A146D0"/>
    <w:rPr>
      <w:rFonts w:ascii="Calibri" w:eastAsia="Calibri" w:hAnsi="Calibri" w:cs="Calibri"/>
      <w:color w:val="000000"/>
      <w:sz w:val="16"/>
    </w:rPr>
  </w:style>
  <w:style w:type="character" w:customStyle="1" w:styleId="TagChar1">
    <w:name w:val="Tag Char1"/>
    <w:aliases w:val="Heading 2 Cha Char,TagStyle Char1,Heading 2 Char Char Char Char Char Char Char Char Char Char Char Char Char Char Char,Heading 2 Char Char Char Char Char Char Char Char Char Char Char Char,TAG Char1 Char1,Tag&amp;Ci Char,Heading 2 Char Char Char1"/>
    <w:qFormat/>
    <w:locked/>
    <w:rsid w:val="00A146D0"/>
    <w:rPr>
      <w:rFonts w:ascii="Arial" w:hAnsi="Arial"/>
      <w:b/>
      <w:sz w:val="22"/>
      <w:szCs w:val="24"/>
    </w:rPr>
  </w:style>
  <w:style w:type="character" w:customStyle="1" w:styleId="boldciteChar4">
    <w:name w:val="bold cite Char4"/>
    <w:basedOn w:val="DefaultParagraphFont"/>
    <w:link w:val="boldcite"/>
    <w:locked/>
    <w:rsid w:val="00A146D0"/>
    <w:rPr>
      <w:rFonts w:ascii="Calibri" w:eastAsia="Calibri" w:hAnsi="Calibri" w:cs="Calibri"/>
      <w:b/>
      <w:color w:val="000000"/>
      <w:u w:val="thick" w:color="000000"/>
    </w:rPr>
  </w:style>
  <w:style w:type="character" w:customStyle="1" w:styleId="BoldUnderlineChar">
    <w:name w:val="Bold Underline Char"/>
    <w:locked/>
    <w:rsid w:val="00A146D0"/>
    <w:rPr>
      <w:rFonts w:ascii="Arial Narrow" w:hAnsi="Arial Narrow"/>
      <w:b/>
      <w:szCs w:val="22"/>
      <w:u w:val="thick"/>
    </w:rPr>
  </w:style>
  <w:style w:type="character" w:customStyle="1" w:styleId="EmphasizeThis">
    <w:name w:val="EmphasizeThis"/>
    <w:rsid w:val="00A146D0"/>
    <w:rPr>
      <w:rFonts w:ascii="Georgia" w:hAnsi="Georgia"/>
      <w:b/>
      <w:iCs/>
      <w:sz w:val="24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7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10869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Rohan Sadagopal</dc:creator>
  <cp:keywords>Verbatim</cp:keywords>
  <dc:description>Verbatim 4.6</dc:description>
  <cp:lastModifiedBy>Rohan Sadagopal</cp:lastModifiedBy>
  <cp:revision>1</cp:revision>
  <dcterms:created xsi:type="dcterms:W3CDTF">2013-10-09T21:08:00Z</dcterms:created>
  <dcterms:modified xsi:type="dcterms:W3CDTF">2013-10-09T21:09:00Z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