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7F4" w:rsidRDefault="006617F4" w:rsidP="006617F4">
      <w:pPr>
        <w:pStyle w:val="Heading2"/>
      </w:pPr>
      <w:r>
        <w:t>1</w:t>
      </w:r>
    </w:p>
    <w:p w:rsidR="006617F4" w:rsidRDefault="006617F4" w:rsidP="006617F4">
      <w:pPr>
        <w:pStyle w:val="Heading4"/>
        <w:numPr>
          <w:ilvl w:val="0"/>
          <w:numId w:val="1"/>
        </w:numPr>
        <w:rPr>
          <w:rFonts w:ascii="Garamond" w:hAnsi="Garamond"/>
          <w:b w:val="0"/>
          <w:bCs w:val="0"/>
        </w:rPr>
      </w:pPr>
      <w:bookmarkStart w:id="0" w:name="_GoBack"/>
      <w:bookmarkEnd w:id="0"/>
      <w:r>
        <w:rPr>
          <w:rFonts w:ascii="Garamond" w:hAnsi="Garamond"/>
          <w:b w:val="0"/>
          <w:bCs w:val="0"/>
        </w:rPr>
        <w:t xml:space="preserve">Interpretation - “Engagement” requires the provision of </w:t>
      </w:r>
      <w:r>
        <w:rPr>
          <w:rFonts w:ascii="Garamond" w:hAnsi="Garamond"/>
          <w:b w:val="0"/>
          <w:bCs w:val="0"/>
          <w:u w:val="single"/>
        </w:rPr>
        <w:t>positive</w:t>
      </w:r>
      <w:r>
        <w:rPr>
          <w:rFonts w:ascii="Garamond" w:hAnsi="Garamond"/>
          <w:b w:val="0"/>
          <w:bCs w:val="0"/>
        </w:rPr>
        <w:t xml:space="preserve"> incentives</w:t>
      </w:r>
    </w:p>
    <w:p w:rsidR="006617F4" w:rsidRDefault="006617F4" w:rsidP="006617F4">
      <w:pPr>
        <w:rPr>
          <w:rFonts w:ascii="Garamond" w:hAnsi="Garamond"/>
          <w:sz w:val="16"/>
          <w:szCs w:val="16"/>
        </w:rPr>
      </w:pPr>
      <w:r>
        <w:rPr>
          <w:rStyle w:val="StyleStyleBold12pt"/>
          <w:rFonts w:ascii="Garamond" w:hAnsi="Garamond"/>
        </w:rPr>
        <w:t>Haass 00</w:t>
      </w:r>
      <w:r>
        <w:rPr>
          <w:rFonts w:ascii="Garamond" w:hAnsi="Garamond"/>
        </w:rPr>
        <w:t xml:space="preserve"> </w:t>
      </w:r>
      <w:r>
        <w:rPr>
          <w:rFonts w:ascii="Garamond" w:hAnsi="Garamond"/>
          <w:sz w:val="16"/>
          <w:szCs w:val="16"/>
        </w:rPr>
        <w:t>– Richard Haass &amp; Meghan O’Sullivan, Brookings Institution Foreign Policy Studies Program, Honey and Vinegar: Incentives, Sanctions, and Foreign Policy, p. 1-2</w:t>
      </w:r>
    </w:p>
    <w:p w:rsidR="006617F4" w:rsidRDefault="006617F4" w:rsidP="006617F4">
      <w:r w:rsidRPr="006617F4">
        <w:t xml:space="preserve">The term engagement was popularized amid the controversial policy of constructive engagement pursued by the </w:t>
      </w:r>
    </w:p>
    <w:p w:rsidR="006617F4" w:rsidRDefault="006617F4" w:rsidP="006617F4">
      <w:r>
        <w:t>AND</w:t>
      </w:r>
    </w:p>
    <w:p w:rsidR="006617F4" w:rsidRPr="006617F4" w:rsidRDefault="006617F4" w:rsidP="006617F4">
      <w:r w:rsidRPr="006617F4">
        <w:t>shape the behavior of countries with which the United States has important disagreements.</w:t>
      </w:r>
    </w:p>
    <w:p w:rsidR="006617F4" w:rsidRDefault="006617F4" w:rsidP="006617F4">
      <w:pPr>
        <w:pStyle w:val="Heading4"/>
        <w:rPr>
          <w:rFonts w:ascii="Garamond" w:hAnsi="Garamond"/>
        </w:rPr>
      </w:pPr>
      <w:r>
        <w:rPr>
          <w:rFonts w:ascii="Garamond" w:hAnsi="Garamond"/>
          <w:b w:val="0"/>
          <w:bCs w:val="0"/>
        </w:rPr>
        <w:t>That means the plan must be a quid-pro-quo</w:t>
      </w:r>
    </w:p>
    <w:p w:rsidR="006617F4" w:rsidRDefault="006617F4" w:rsidP="006617F4">
      <w:pPr>
        <w:rPr>
          <w:rFonts w:ascii="Garamond" w:hAnsi="Garamond"/>
        </w:rPr>
      </w:pPr>
      <w:r>
        <w:rPr>
          <w:rStyle w:val="StyleStyleBold12pt"/>
          <w:rFonts w:ascii="Garamond" w:hAnsi="Garamond"/>
        </w:rPr>
        <w:t>De LaHunt 6</w:t>
      </w:r>
      <w:r>
        <w:rPr>
          <w:rFonts w:ascii="Garamond" w:hAnsi="Garamond"/>
        </w:rPr>
        <w:t xml:space="preserve"> </w:t>
      </w:r>
      <w:r>
        <w:rPr>
          <w:rFonts w:ascii="Garamond" w:hAnsi="Garamond"/>
          <w:sz w:val="16"/>
          <w:szCs w:val="16"/>
        </w:rPr>
        <w:t>- Assistant Director for Environmental Health &amp; Safety Services in Colorado College's Facilities Services department (John, “Perverse and unintended” Journal of Chemical Health and Safety, July-August, Science direct)</w:t>
      </w:r>
    </w:p>
    <w:p w:rsidR="006617F4" w:rsidRDefault="006617F4" w:rsidP="006617F4">
      <w:r w:rsidRPr="006617F4">
        <w:t xml:space="preserve">Incentives work on a quid pro quo basis – this for that. If you </w:t>
      </w:r>
    </w:p>
    <w:p w:rsidR="006617F4" w:rsidRDefault="006617F4" w:rsidP="006617F4">
      <w:r>
        <w:t>AND</w:t>
      </w:r>
    </w:p>
    <w:p w:rsidR="006617F4" w:rsidRPr="006617F4" w:rsidRDefault="006617F4" w:rsidP="006617F4">
      <w:r w:rsidRPr="006617F4">
        <w:t>run, for at least two reasons – unintended consequences and perverse incentives.</w:t>
      </w:r>
    </w:p>
    <w:p w:rsidR="006617F4" w:rsidRDefault="006617F4" w:rsidP="006617F4">
      <w:pPr>
        <w:pStyle w:val="Heading4"/>
        <w:numPr>
          <w:ilvl w:val="0"/>
          <w:numId w:val="1"/>
        </w:numPr>
        <w:rPr>
          <w:rFonts w:ascii="Garamond" w:hAnsi="Garamond"/>
        </w:rPr>
      </w:pPr>
      <w:r>
        <w:rPr>
          <w:rFonts w:ascii="Garamond" w:hAnsi="Garamond"/>
          <w:b w:val="0"/>
          <w:bCs w:val="0"/>
        </w:rPr>
        <w:t xml:space="preserve">Violation – the plan isn’t </w:t>
      </w:r>
    </w:p>
    <w:p w:rsidR="006617F4" w:rsidRDefault="006617F4" w:rsidP="006617F4">
      <w:pPr>
        <w:pStyle w:val="Heading4"/>
        <w:numPr>
          <w:ilvl w:val="0"/>
          <w:numId w:val="1"/>
        </w:numPr>
        <w:rPr>
          <w:rFonts w:ascii="Garamond" w:hAnsi="Garamond"/>
          <w:b w:val="0"/>
          <w:bCs w:val="0"/>
        </w:rPr>
      </w:pPr>
      <w:r>
        <w:rPr>
          <w:rFonts w:ascii="Garamond" w:hAnsi="Garamond"/>
          <w:b w:val="0"/>
          <w:bCs w:val="0"/>
        </w:rPr>
        <w:t>Voting issue:</w:t>
      </w:r>
    </w:p>
    <w:p w:rsidR="006617F4" w:rsidRDefault="006617F4" w:rsidP="006617F4">
      <w:pPr>
        <w:pStyle w:val="Heading4"/>
        <w:numPr>
          <w:ilvl w:val="0"/>
          <w:numId w:val="2"/>
        </w:numPr>
        <w:rPr>
          <w:rFonts w:ascii="Garamond" w:hAnsi="Garamond"/>
          <w:b w:val="0"/>
          <w:bCs w:val="0"/>
        </w:rPr>
      </w:pPr>
      <w:r>
        <w:rPr>
          <w:rFonts w:ascii="Garamond" w:hAnsi="Garamond"/>
          <w:b w:val="0"/>
          <w:bCs w:val="0"/>
        </w:rPr>
        <w:t xml:space="preserve">Limits --- it </w:t>
      </w:r>
      <w:r>
        <w:rPr>
          <w:rFonts w:ascii="Garamond" w:hAnsi="Garamond"/>
          <w:b w:val="0"/>
          <w:bCs w:val="0"/>
          <w:u w:val="single"/>
        </w:rPr>
        <w:t>functionally</w:t>
      </w:r>
      <w:r>
        <w:rPr>
          <w:rFonts w:ascii="Garamond" w:hAnsi="Garamond"/>
          <w:b w:val="0"/>
          <w:bCs w:val="0"/>
        </w:rPr>
        <w:t xml:space="preserve"> narrows the topic because few cases can defend conditioning --- the alternative is hundreds of single import or export cases that explode the Neg’s research burden</w:t>
      </w:r>
    </w:p>
    <w:p w:rsidR="006617F4" w:rsidRDefault="006617F4" w:rsidP="006617F4">
      <w:pPr>
        <w:pStyle w:val="Heading4"/>
        <w:numPr>
          <w:ilvl w:val="0"/>
          <w:numId w:val="2"/>
        </w:numPr>
        <w:rPr>
          <w:rFonts w:ascii="Garamond" w:hAnsi="Garamond"/>
          <w:b w:val="0"/>
          <w:bCs w:val="0"/>
        </w:rPr>
      </w:pPr>
      <w:r>
        <w:rPr>
          <w:rFonts w:ascii="Garamond" w:hAnsi="Garamond"/>
          <w:b w:val="0"/>
          <w:bCs w:val="0"/>
        </w:rPr>
        <w:t>Ground --- QPQ locks in core generics like soft power and foreign politics DAs, counterplans to add or remove a condition, and critiques of diplomacy</w:t>
      </w:r>
    </w:p>
    <w:p w:rsidR="006617F4" w:rsidRDefault="006617F4" w:rsidP="006617F4"/>
    <w:p w:rsidR="006617F4" w:rsidRDefault="006617F4" w:rsidP="006617F4">
      <w:pPr>
        <w:pStyle w:val="Heading2"/>
      </w:pPr>
      <w:r>
        <w:lastRenderedPageBreak/>
        <w:t>2</w:t>
      </w:r>
    </w:p>
    <w:p w:rsidR="006617F4" w:rsidRDefault="006617F4" w:rsidP="006617F4">
      <w:pPr>
        <w:pStyle w:val="Heading4"/>
      </w:pPr>
      <w:r>
        <w:t>Farm bill will pass – EPA decision gives it momentum</w:t>
      </w:r>
    </w:p>
    <w:p w:rsidR="006617F4" w:rsidRPr="002A2CB7" w:rsidRDefault="006617F4" w:rsidP="006617F4">
      <w:r w:rsidRPr="00C97C18">
        <w:rPr>
          <w:rStyle w:val="StyleStyleBold12pt"/>
        </w:rPr>
        <w:t>Wasson 11-19</w:t>
      </w:r>
      <w:r>
        <w:t xml:space="preserve"> – Staff writer at The Hill (Erik, “EPA ethanol decision pushes farm bill toward finish line”, November 19 of 2013, </w:t>
      </w:r>
      <w:hyperlink r:id="rId10" w:history="1">
        <w:r>
          <w:rPr>
            <w:rStyle w:val="Hyperlink"/>
          </w:rPr>
          <w:t>http://thehill.com/blogs/on-the-money/agriculture/190777-epa-ethanol-decision-pushes-farm-bill-toward-finish-line</w:t>
        </w:r>
      </w:hyperlink>
      <w:r>
        <w:t>)</w:t>
      </w:r>
    </w:p>
    <w:p w:rsidR="006617F4" w:rsidRDefault="006617F4" w:rsidP="006617F4">
      <w:r w:rsidRPr="006617F4">
        <w:t xml:space="preserve">The Environmental Protection Agency’s preliminary decision to reduce renewable fuels blending requirements has increased momentum </w:t>
      </w:r>
    </w:p>
    <w:p w:rsidR="006617F4" w:rsidRDefault="006617F4" w:rsidP="006617F4">
      <w:r>
        <w:t>AND</w:t>
      </w:r>
    </w:p>
    <w:p w:rsidR="006617F4" w:rsidRPr="006617F4" w:rsidRDefault="006617F4" w:rsidP="006617F4">
      <w:r w:rsidRPr="006617F4">
        <w:t>the first time the agency has lowered the target from the prior year.</w:t>
      </w:r>
    </w:p>
    <w:p w:rsidR="006617F4" w:rsidRDefault="006617F4" w:rsidP="006617F4">
      <w:pPr>
        <w:rPr>
          <w:sz w:val="16"/>
        </w:rPr>
      </w:pPr>
    </w:p>
    <w:p w:rsidR="006617F4" w:rsidRPr="00C97C18" w:rsidRDefault="006617F4" w:rsidP="006617F4">
      <w:pPr>
        <w:rPr>
          <w:rStyle w:val="StyleStyleBold12pt"/>
        </w:rPr>
      </w:pPr>
      <w:r>
        <w:rPr>
          <w:rStyle w:val="StyleStyleBold12pt"/>
        </w:rPr>
        <w:t>Plan trades off</w:t>
      </w:r>
    </w:p>
    <w:p w:rsidR="006617F4" w:rsidRDefault="006617F4" w:rsidP="006617F4">
      <w:pPr>
        <w:rPr>
          <w:sz w:val="16"/>
        </w:rPr>
      </w:pPr>
      <w:r>
        <w:rPr>
          <w:sz w:val="16"/>
        </w:rPr>
        <w:t xml:space="preserve">Susan </w:t>
      </w:r>
      <w:r>
        <w:rPr>
          <w:rStyle w:val="Heading4Char"/>
        </w:rPr>
        <w:t>Page 13</w:t>
      </w:r>
      <w:r>
        <w:rPr>
          <w:sz w:val="16"/>
        </w:rPr>
        <w:t>, USA Today, “How Obama can avoid the second-term curse,” 1-15-13, http://www.usatoday.com/story/news/politics/2013/01/14/obama-second-term-curse/1834765/</w:t>
      </w:r>
    </w:p>
    <w:p w:rsidR="006617F4" w:rsidRDefault="006617F4" w:rsidP="006617F4">
      <w:r w:rsidRPr="006617F4">
        <w:t xml:space="preserve">"By the time a second term rolls around, the illusions about a president </w:t>
      </w:r>
    </w:p>
    <w:p w:rsidR="006617F4" w:rsidRDefault="006617F4" w:rsidP="006617F4">
      <w:r>
        <w:t>AND</w:t>
      </w:r>
    </w:p>
    <w:p w:rsidR="006617F4" w:rsidRPr="006617F4" w:rsidRDefault="006617F4" w:rsidP="006617F4">
      <w:r w:rsidRPr="006617F4">
        <w:t>, but not everything. Fighting too many battles could mean winning none.</w:t>
      </w:r>
    </w:p>
    <w:p w:rsidR="006617F4" w:rsidRPr="00C97C18" w:rsidRDefault="006617F4" w:rsidP="006617F4">
      <w:pPr>
        <w:pStyle w:val="Heading4"/>
      </w:pPr>
      <w:r w:rsidRPr="00C97C18">
        <w:t>New farm bill key to prevent a food price spike</w:t>
      </w:r>
    </w:p>
    <w:p w:rsidR="006617F4" w:rsidRDefault="006617F4" w:rsidP="006617F4">
      <w:r>
        <w:rPr>
          <w:rStyle w:val="StyleStyleBold12pt"/>
        </w:rPr>
        <w:t>Nelson 10/17</w:t>
      </w:r>
      <w:r>
        <w:t>/13 [Joe Nelson, writer for WEAU news, “Obama, ag industry waiting for new Farm bill,” http://www.weau.com/home/headlines/Obama-ag-industry-waiting-for-new-Farm-Bill-228259521.html]</w:t>
      </w:r>
    </w:p>
    <w:p w:rsidR="006617F4" w:rsidRDefault="006617F4" w:rsidP="006617F4">
      <w:r w:rsidRPr="006617F4">
        <w:t xml:space="preserve">With the government shutdown over, farmers are still waiting for a deal to be </w:t>
      </w:r>
    </w:p>
    <w:p w:rsidR="006617F4" w:rsidRDefault="006617F4" w:rsidP="006617F4">
      <w:r>
        <w:t>AND</w:t>
      </w:r>
    </w:p>
    <w:p w:rsidR="006617F4" w:rsidRPr="006617F4" w:rsidRDefault="006617F4" w:rsidP="006617F4">
      <w:r w:rsidRPr="006617F4">
        <w:t>could cut down profits or even force some farmers to quit or retire.</w:t>
      </w:r>
    </w:p>
    <w:p w:rsidR="006617F4" w:rsidRPr="00C97C18" w:rsidRDefault="006617F4" w:rsidP="006617F4">
      <w:pPr>
        <w:pStyle w:val="Heading4"/>
      </w:pPr>
      <w:r w:rsidRPr="00C97C18">
        <w:t>Extinction</w:t>
      </w:r>
    </w:p>
    <w:p w:rsidR="006617F4" w:rsidRDefault="006617F4" w:rsidP="006617F4">
      <w:pPr>
        <w:rPr>
          <w:rStyle w:val="UnderlineBold"/>
        </w:rPr>
      </w:pPr>
      <w:r>
        <w:rPr>
          <w:rStyle w:val="StyleStyleBold12pt"/>
        </w:rPr>
        <w:t>Brown 9</w:t>
      </w:r>
      <w:r>
        <w:t xml:space="preserve"> (Lester R, Founder of the Worldwatch Institute and the Earth Policy Institute “Can Food Shortages Bring Down Civilization?” Scientific American, May, http://www.scientificamerican.com/article.cfm?id=civilization-food-shortages)</w:t>
      </w:r>
    </w:p>
    <w:p w:rsidR="006617F4" w:rsidRDefault="006617F4" w:rsidP="006617F4">
      <w:r w:rsidRPr="006617F4">
        <w:t xml:space="preserve">The biggest threat to global stability is the potential for food crises in poor countries </w:t>
      </w:r>
    </w:p>
    <w:p w:rsidR="006617F4" w:rsidRDefault="006617F4" w:rsidP="006617F4">
      <w:r>
        <w:t>AND</w:t>
      </w:r>
    </w:p>
    <w:p w:rsidR="006617F4" w:rsidRPr="006617F4" w:rsidRDefault="006617F4" w:rsidP="006617F4">
      <w:r w:rsidRPr="006617F4">
        <w:t>states disintegrate, their fall will threaten the stability of global civilization itself.</w:t>
      </w:r>
    </w:p>
    <w:p w:rsidR="006617F4" w:rsidRPr="00D17C4E" w:rsidRDefault="006617F4" w:rsidP="006617F4"/>
    <w:p w:rsidR="006617F4" w:rsidRPr="00877752" w:rsidRDefault="006617F4" w:rsidP="006617F4">
      <w:pPr>
        <w:pStyle w:val="Heading2"/>
      </w:pPr>
      <w:r>
        <w:lastRenderedPageBreak/>
        <w:t>3</w:t>
      </w:r>
    </w:p>
    <w:p w:rsidR="006617F4" w:rsidRPr="00877752" w:rsidRDefault="006617F4" w:rsidP="006617F4"/>
    <w:p w:rsidR="006617F4" w:rsidRPr="00877752" w:rsidRDefault="006617F4" w:rsidP="006617F4">
      <w:pPr>
        <w:pStyle w:val="Heading4"/>
        <w:rPr>
          <w:rFonts w:cs="Times New Roman"/>
        </w:rPr>
      </w:pPr>
      <w:r w:rsidRPr="00877752">
        <w:rPr>
          <w:rFonts w:cs="Times New Roman"/>
        </w:rPr>
        <w:t>The aff</w:t>
      </w:r>
      <w:r>
        <w:rPr>
          <w:rFonts w:cs="Times New Roman"/>
        </w:rPr>
        <w:t>irmative</w:t>
      </w:r>
      <w:r w:rsidRPr="00877752">
        <w:rPr>
          <w:rFonts w:cs="Times New Roman"/>
        </w:rPr>
        <w:t xml:space="preserve"> is controlled by walking dildos and approaches the public sphere with male privilege by assuming a gender - neutral political subject. This renders the female body invisible</w:t>
      </w:r>
    </w:p>
    <w:p w:rsidR="006617F4" w:rsidRPr="00877752" w:rsidRDefault="006617F4" w:rsidP="006617F4">
      <w:pPr>
        <w:rPr>
          <w:b/>
          <w:bCs/>
          <w:sz w:val="26"/>
        </w:rPr>
      </w:pPr>
      <w:r w:rsidRPr="00877752">
        <w:rPr>
          <w:rStyle w:val="StyleStyleBold12pt"/>
        </w:rPr>
        <w:t>Fraser 90 (</w:t>
      </w:r>
      <w:r w:rsidRPr="00877752">
        <w:rPr>
          <w:rFonts w:eastAsia="Calibri"/>
        </w:rPr>
        <w:t>Nancy Fraser, “Rethinking the Public Sphere: A Contribution to the Critique of Actually Existing Democracy”, Social Text, No 25/26 (1990), pp. 60-61, Duke University Press, jstor.org/stable/466240 // candle)</w:t>
      </w:r>
    </w:p>
    <w:p w:rsidR="006617F4" w:rsidRDefault="006617F4" w:rsidP="006617F4">
      <w:r w:rsidRPr="006617F4">
        <w:t xml:space="preserve">Now, let me juxtapose to this sketch of Habermas's account an alternative account that </w:t>
      </w:r>
    </w:p>
    <w:p w:rsidR="006617F4" w:rsidRDefault="006617F4" w:rsidP="006617F4">
      <w:r>
        <w:t>AND</w:t>
      </w:r>
    </w:p>
    <w:p w:rsidR="006617F4" w:rsidRPr="006617F4" w:rsidRDefault="006617F4" w:rsidP="006617F4">
      <w:r w:rsidRPr="006617F4">
        <w:t>status distinctions are bracketed and neutralized is not sufficient to make it so.</w:t>
      </w:r>
    </w:p>
    <w:p w:rsidR="006617F4" w:rsidRPr="00877752" w:rsidRDefault="006617F4" w:rsidP="006617F4">
      <w:pPr>
        <w:pStyle w:val="Heading4"/>
        <w:rPr>
          <w:sz w:val="24"/>
        </w:rPr>
      </w:pPr>
      <w:r w:rsidRPr="00877752">
        <w:t>Violence should be understand as a continuum that affects all women – it has been constructed as the norm in relationships between men and women. It is the expectation that there will be violence. There no longer remains a distinction between abused and non-abused.  Violence against women represents sexual terrorism, a war on women where bodies are the physical territory upon which war is fought. This turns all impacts.</w:t>
      </w:r>
    </w:p>
    <w:p w:rsidR="006617F4" w:rsidRPr="00877752" w:rsidRDefault="006617F4" w:rsidP="006617F4">
      <w:r w:rsidRPr="00877752">
        <w:rPr>
          <w:rStyle w:val="StyleStyleBold12pt"/>
        </w:rPr>
        <w:t>Ray 97</w:t>
      </w:r>
      <w:r w:rsidRPr="00877752">
        <w:t xml:space="preserve"> (Amy E. Ray, “The Shame Of It: Gender-Based Terrorism In The Former Yugoslavia And The Failure of International Human Rights Law To Comprehend The Injuries,” The American University Law Review. Vol 46. , pp. 835-838, http://digitalcommons.wcl.american.edu/cgi/viewcontent.cgi?article=1380&amp;context=aulr, // candle)</w:t>
      </w:r>
    </w:p>
    <w:p w:rsidR="006617F4" w:rsidRDefault="006617F4" w:rsidP="006617F4">
      <w:r w:rsidRPr="006617F4">
        <w:t xml:space="preserve">Transforming the human rights concept from a feminist perspective. . . relates women's rights </w:t>
      </w:r>
    </w:p>
    <w:p w:rsidR="006617F4" w:rsidRDefault="006617F4" w:rsidP="006617F4">
      <w:r>
        <w:t>AND</w:t>
      </w:r>
    </w:p>
    <w:p w:rsidR="006617F4" w:rsidRPr="006617F4" w:rsidRDefault="006617F4" w:rsidP="006617F4">
      <w:r w:rsidRPr="006617F4">
        <w:t xml:space="preserve">the] political struggle [over female subordination] is women's bodies."272 </w:t>
      </w:r>
    </w:p>
    <w:p w:rsidR="006617F4" w:rsidRPr="00877752" w:rsidRDefault="006617F4" w:rsidP="006617F4"/>
    <w:p w:rsidR="006617F4" w:rsidRPr="00877752" w:rsidRDefault="006617F4" w:rsidP="006617F4">
      <w:pPr>
        <w:pStyle w:val="Heading4"/>
        <w:rPr>
          <w:rFonts w:cs="Times New Roman"/>
        </w:rPr>
      </w:pPr>
      <w:r w:rsidRPr="00877752">
        <w:rPr>
          <w:rFonts w:cs="Times New Roman"/>
        </w:rPr>
        <w:t xml:space="preserve">Our Alternative is a castration of the system – separating us from the phallocentric logic of the polis. A method of radical female revolution through a lesbian separatist society refuses male presence. </w:t>
      </w:r>
    </w:p>
    <w:p w:rsidR="006617F4" w:rsidRPr="00877752" w:rsidRDefault="006617F4" w:rsidP="006617F4">
      <w:pPr>
        <w:pStyle w:val="Heading4"/>
        <w:rPr>
          <w:rFonts w:cs="Times New Roman"/>
        </w:rPr>
      </w:pPr>
      <w:r w:rsidRPr="00877752">
        <w:rPr>
          <w:rFonts w:cs="Times New Roman"/>
        </w:rPr>
        <w:t>Only reclaiming the notion of lesbianism beyond mere sexual classification breaks from the norms imposed by male hegemony and exposes the dehumanizing understanding of woman as an object to be fucked by man. To reclaim lesbianism is to reject the demands of the male cultural system and to create and celebrate the bonds of the female world.</w:t>
      </w:r>
    </w:p>
    <w:p w:rsidR="006617F4" w:rsidRPr="00877752" w:rsidRDefault="006617F4" w:rsidP="006617F4">
      <w:pPr>
        <w:rPr>
          <w:rFonts w:eastAsia="Calibri" w:cs="Times New Roman"/>
        </w:rPr>
      </w:pPr>
      <w:r w:rsidRPr="00877752">
        <w:rPr>
          <w:rFonts w:eastAsia="Calibri"/>
          <w:b/>
          <w:sz w:val="24"/>
          <w:szCs w:val="24"/>
        </w:rPr>
        <w:t>Radicalesbians 1970</w:t>
      </w:r>
      <w:r w:rsidRPr="00877752">
        <w:rPr>
          <w:rFonts w:eastAsia="Calibri"/>
          <w:b/>
        </w:rPr>
        <w:t xml:space="preserve"> </w:t>
      </w:r>
      <w:r w:rsidRPr="00877752">
        <w:rPr>
          <w:rFonts w:eastAsia="Calibri"/>
        </w:rPr>
        <w:t xml:space="preserve">[Radicalesbians, 1970, “The Woman Identified Woman,” </w:t>
      </w:r>
      <w:hyperlink r:id="rId11" w:history="1">
        <w:r w:rsidRPr="00877752">
          <w:rPr>
            <w:rStyle w:val="Hyperlink"/>
            <w:rFonts w:eastAsia="Calibri"/>
          </w:rPr>
          <w:t>http://scriptorium.lib.duke.edu/wlm/womid //</w:t>
        </w:r>
      </w:hyperlink>
      <w:r w:rsidRPr="00877752">
        <w:rPr>
          <w:rFonts w:eastAsia="Calibri"/>
        </w:rPr>
        <w:t xml:space="preserve"> candle]</w:t>
      </w:r>
    </w:p>
    <w:p w:rsidR="006617F4" w:rsidRDefault="006617F4" w:rsidP="006617F4">
      <w:r w:rsidRPr="006617F4">
        <w:t xml:space="preserve">What is a lesbian? A lesbian is the rage of all women condensed to </w:t>
      </w:r>
    </w:p>
    <w:p w:rsidR="006617F4" w:rsidRDefault="006617F4" w:rsidP="006617F4">
      <w:r>
        <w:t>AND</w:t>
      </w:r>
    </w:p>
    <w:p w:rsidR="006617F4" w:rsidRPr="006617F4" w:rsidRDefault="006617F4" w:rsidP="006617F4">
      <w:r w:rsidRPr="006617F4">
        <w:t>women from forming any primary attachments, groups, or associations among ourselves.</w:t>
      </w:r>
    </w:p>
    <w:p w:rsidR="006617F4" w:rsidRDefault="006617F4" w:rsidP="006617F4"/>
    <w:p w:rsidR="006617F4" w:rsidRPr="00877752" w:rsidRDefault="006617F4" w:rsidP="006617F4">
      <w:pPr>
        <w:pStyle w:val="Heading4"/>
      </w:pPr>
      <w:r w:rsidRPr="00877752">
        <w:t>Lesbian anger comes from a woman’s experiences of violence and oppression by the hands of men. It unleashes a frightening rage capable of changing the world around her. Women will no longer be a walking apology, and lesbian rage demands attention and even without it tears at the walls of male supremacy for new female-driven world-making.</w:t>
      </w:r>
    </w:p>
    <w:p w:rsidR="006617F4" w:rsidRPr="00877752" w:rsidRDefault="006617F4" w:rsidP="006617F4">
      <w:r w:rsidRPr="00877752">
        <w:rPr>
          <w:rStyle w:val="StyleStyleBold12pt"/>
        </w:rPr>
        <w:t>Kaplow 73</w:t>
      </w:r>
      <w:r w:rsidRPr="00877752">
        <w:rPr>
          <w:b/>
        </w:rPr>
        <w:t xml:space="preserve"> </w:t>
      </w:r>
      <w:r w:rsidRPr="00877752">
        <w:t>(Susi was part of the nucleus of the now expanded women's liberation group in Paris in 1970, later joining the New York Radical Feminists and organizing four consciousnes-raising groups in addition to being on the organizing committee for the Speak-out on Rape in NYC in 1971, "Getting Angry", published in Radical Feminism, 1973, Quadrangle, www.feminist-reprise.org/docs/kaplow.htm // candle)</w:t>
      </w:r>
    </w:p>
    <w:p w:rsidR="006617F4" w:rsidRDefault="006617F4" w:rsidP="006617F4">
      <w:r w:rsidRPr="006617F4">
        <w:t xml:space="preserve">Two scenarios: An angry man: someone has infringed on his rights, gone </w:t>
      </w:r>
    </w:p>
    <w:p w:rsidR="006617F4" w:rsidRDefault="006617F4" w:rsidP="006617F4">
      <w:r>
        <w:t>AND</w:t>
      </w:r>
    </w:p>
    <w:p w:rsidR="006617F4" w:rsidRPr="006617F4" w:rsidRDefault="006617F4" w:rsidP="006617F4">
      <w:r w:rsidRPr="006617F4">
        <w:t>personal to the political and becomes a force for shaping our new destiny.</w:t>
      </w:r>
    </w:p>
    <w:p w:rsidR="006617F4" w:rsidRDefault="006617F4" w:rsidP="006617F4"/>
    <w:p w:rsidR="006617F4" w:rsidRDefault="006617F4" w:rsidP="006617F4"/>
    <w:p w:rsidR="006617F4" w:rsidRDefault="006617F4" w:rsidP="006617F4">
      <w:pPr>
        <w:pStyle w:val="Heading2"/>
      </w:pPr>
      <w:r>
        <w:lastRenderedPageBreak/>
        <w:t>4</w:t>
      </w:r>
    </w:p>
    <w:p w:rsidR="006617F4" w:rsidRDefault="006617F4" w:rsidP="006617F4">
      <w:pPr>
        <w:pStyle w:val="Heading4"/>
      </w:pPr>
      <w:r>
        <w:t>Nieto’s PEMEX reform will pass, but Nieto’s political capital is key</w:t>
      </w:r>
    </w:p>
    <w:p w:rsidR="006617F4" w:rsidRPr="00AC396F" w:rsidRDefault="006617F4" w:rsidP="006617F4">
      <w:r w:rsidRPr="00AC396F">
        <w:rPr>
          <w:rStyle w:val="StyleStyleBold12pt"/>
        </w:rPr>
        <w:t>Pickrell 9/20</w:t>
      </w:r>
      <w:r>
        <w:t xml:space="preserve"> – (Emily, energy reporter, has been a policy analyst for the Government Accountability Office, “Former Mexico president expects lawmakers to pass energy reforms,” Fuelfix.com, 9/20/13, http://fuelfix.com/blog/2013/09/20/former-mexican-president-expects-lawmakers-to-pass-energy-reforms/D)</w:t>
      </w:r>
    </w:p>
    <w:p w:rsidR="006617F4" w:rsidRDefault="006617F4" w:rsidP="006617F4">
      <w:r w:rsidRPr="006617F4">
        <w:t xml:space="preserve">Because of a changed political environment, Mexican lawmakers probably will approve proposals to open </w:t>
      </w:r>
    </w:p>
    <w:p w:rsidR="006617F4" w:rsidRDefault="006617F4" w:rsidP="006617F4">
      <w:r>
        <w:t>AND</w:t>
      </w:r>
    </w:p>
    <w:p w:rsidR="006617F4" w:rsidRPr="006617F4" w:rsidRDefault="006617F4" w:rsidP="006617F4">
      <w:r w:rsidRPr="006617F4">
        <w:t>future it will probably be irrelevant to have those reserves,” Calderón said.</w:t>
      </w:r>
    </w:p>
    <w:p w:rsidR="006617F4" w:rsidRDefault="006617F4" w:rsidP="006617F4">
      <w:pPr>
        <w:pStyle w:val="Heading4"/>
      </w:pPr>
      <w:r>
        <w:t>Plan unpopular—unwanted US intervention in internal affairs drains Nieto’s political capital</w:t>
      </w:r>
    </w:p>
    <w:p w:rsidR="006617F4" w:rsidRPr="00810144" w:rsidRDefault="006617F4" w:rsidP="006617F4">
      <w:pPr>
        <w:rPr>
          <w:rStyle w:val="StyleStyleBold12pt"/>
          <w:b w:val="0"/>
        </w:rPr>
      </w:pPr>
      <w:r w:rsidRPr="00810144">
        <w:rPr>
          <w:b/>
        </w:rPr>
        <w:t>Starr 12</w:t>
      </w:r>
      <w:r w:rsidRPr="00810144">
        <w:t xml:space="preserve"> </w:t>
      </w:r>
      <w:r w:rsidRPr="00810144">
        <w:rPr>
          <w:rStyle w:val="StyleStyleBold12pt"/>
        </w:rPr>
        <w:t xml:space="preserve">(Pamela K. Starr, Director, U.S.-Mexico Network, Associate Professor (NTT), University Fellow, Center on Public Diplomacy at the University of Southern California, “U.S.-Mexico Relations and Mexican Domestic Politics,” October 2012, </w:t>
      </w:r>
      <w:hyperlink r:id="rId12" w:history="1">
        <w:r w:rsidRPr="00810144">
          <w:rPr>
            <w:rStyle w:val="StyleStyleBold12pt"/>
          </w:rPr>
          <w:t>https://www.google.com/url?sa=t&amp;rct=j&amp;q=&amp;esrc=s&amp;source=web&amp;cd=3&amp;cad=rja&amp;ved=0CD4QFjAC&amp;url=http%</w:t>
        </w:r>
      </w:hyperlink>
      <w:r w:rsidRPr="00810144">
        <w:rPr>
          <w:rStyle w:val="StyleStyleBold12pt"/>
        </w:rPr>
        <w:t xml:space="preserve"> 3A%2F%2Fcollege.usc.edu%2Fusmexnet%2Fwp-content%2Fuploads%2F2010%2F10%2FCamp-Oxford-paper-final.doc&amp;ei=mTLYUZTDMbOLyQGT14GwCQ&amp;usg=AFQjCNH_cqiYTQRo7SFmpfWugH9ABshhCg&amp;sig2=_M2KmLNnt3e8v4vVshc_fQ</w:t>
      </w:r>
      <w:r>
        <w:rPr>
          <w:rStyle w:val="StyleStyleBold12pt"/>
        </w:rPr>
        <w:t>//MRG</w:t>
      </w:r>
      <w:r w:rsidRPr="00810144">
        <w:rPr>
          <w:rStyle w:val="StyleStyleBold12pt"/>
        </w:rPr>
        <w:t xml:space="preserve">) </w:t>
      </w:r>
    </w:p>
    <w:p w:rsidR="006617F4" w:rsidRDefault="006617F4" w:rsidP="006617F4">
      <w:r w:rsidRPr="006617F4">
        <w:t xml:space="preserve">The nature, depth, and anti-American undertones of Mexican nationalism have operated </w:t>
      </w:r>
    </w:p>
    <w:p w:rsidR="006617F4" w:rsidRDefault="006617F4" w:rsidP="006617F4">
      <w:r>
        <w:t>AND</w:t>
      </w:r>
    </w:p>
    <w:p w:rsidR="006617F4" w:rsidRPr="006617F4" w:rsidRDefault="006617F4" w:rsidP="006617F4">
      <w:r w:rsidRPr="006617F4">
        <w:t xml:space="preserve">has repeatedly found its policy autonomy constrained in situations where Congress has interests. </w:t>
      </w:r>
    </w:p>
    <w:p w:rsidR="006617F4" w:rsidRDefault="006617F4" w:rsidP="006617F4"/>
    <w:p w:rsidR="006617F4" w:rsidRDefault="006617F4" w:rsidP="006617F4">
      <w:pPr>
        <w:pStyle w:val="Heading4"/>
      </w:pPr>
      <w:r>
        <w:t>PEMEX reform staves off energy sector, Mexican economy collapse</w:t>
      </w:r>
    </w:p>
    <w:p w:rsidR="006617F4" w:rsidRPr="007D30BE" w:rsidRDefault="006617F4" w:rsidP="006617F4">
      <w:r w:rsidRPr="00B506B9">
        <w:rPr>
          <w:rStyle w:val="StyleStyleBold12pt"/>
        </w:rPr>
        <w:t>Helman 10/1</w:t>
      </w:r>
      <w:r>
        <w:t xml:space="preserve"> – (Christopher, Forbes energy reporter, How Oil Reforms Could Trigger Mexico's Biggest Economic Boom In A Century,” Forbes, 10/1/13, http://www.forbes.com/sites/christopherhelman/2013/10/01/mexicos-oil-reforms-set-to-trigger-biggest-economic-boom-in-100-years/2/D)</w:t>
      </w:r>
    </w:p>
    <w:p w:rsidR="006617F4" w:rsidRDefault="006617F4" w:rsidP="006617F4">
      <w:r w:rsidRPr="006617F4">
        <w:t xml:space="preserve">Mexico has one of the world’s most notoriously closed-off oil industries. The </w:t>
      </w:r>
    </w:p>
    <w:p w:rsidR="006617F4" w:rsidRDefault="006617F4" w:rsidP="006617F4">
      <w:r>
        <w:t>AND</w:t>
      </w:r>
    </w:p>
    <w:p w:rsidR="006617F4" w:rsidRPr="006617F4" w:rsidRDefault="006617F4" w:rsidP="006617F4">
      <w:r w:rsidRPr="006617F4">
        <w:t>Now in office, the PRI is in favor of all these reforms.”</w:t>
      </w:r>
    </w:p>
    <w:p w:rsidR="006617F4" w:rsidRPr="00874B74" w:rsidRDefault="006617F4" w:rsidP="006617F4">
      <w:pPr>
        <w:pStyle w:val="Heading4"/>
      </w:pPr>
      <w:r w:rsidRPr="00874B74">
        <w:t>Economic decline causes Mexican collapse</w:t>
      </w:r>
    </w:p>
    <w:p w:rsidR="006617F4" w:rsidRPr="00874B74" w:rsidRDefault="006617F4" w:rsidP="006617F4">
      <w:pPr>
        <w:rPr>
          <w:rFonts w:asciiTheme="minorHAnsi" w:hAnsiTheme="minorHAnsi"/>
          <w:b/>
          <w:bCs/>
          <w:sz w:val="24"/>
        </w:rPr>
      </w:pPr>
      <w:r w:rsidRPr="00874B74">
        <w:rPr>
          <w:rStyle w:val="StyleStyleBold12pt"/>
          <w:rFonts w:asciiTheme="minorHAnsi" w:hAnsiTheme="minorHAnsi"/>
        </w:rPr>
        <w:t xml:space="preserve">Barnes 11 </w:t>
      </w:r>
      <w:r w:rsidRPr="00874B74">
        <w:rPr>
          <w:rFonts w:asciiTheme="minorHAnsi" w:hAnsiTheme="minorHAnsi"/>
        </w:rPr>
        <w:t xml:space="preserve">Joe Barnes, the Bonner Means Baker Fellow at the James A. Baker III Institute for Public Policy, written extensively on international economics, with a focus on the geopolitics of energy, April 29, 2011, “The Future of Oil in Mexico”, </w:t>
      </w:r>
      <w:hyperlink r:id="rId13" w:history="1">
        <w:r w:rsidRPr="00874B74">
          <w:rPr>
            <w:rFonts w:asciiTheme="minorHAnsi" w:hAnsiTheme="minorHAnsi"/>
          </w:rPr>
          <w:t>http://bakerinstitute.org/publications/EF-pub-BarnesBilateral-04292011.pdf</w:t>
        </w:r>
      </w:hyperlink>
      <w:r w:rsidRPr="00874B74">
        <w:rPr>
          <w:rFonts w:asciiTheme="minorHAnsi" w:hAnsiTheme="minorHAnsi"/>
        </w:rPr>
        <w:t>.</w:t>
      </w:r>
    </w:p>
    <w:p w:rsidR="006617F4" w:rsidRDefault="006617F4" w:rsidP="006617F4">
      <w:r w:rsidRPr="006617F4">
        <w:t>In summary. the slow decline of Mexican oil production, in and of itself</w:t>
      </w:r>
    </w:p>
    <w:p w:rsidR="006617F4" w:rsidRDefault="006617F4" w:rsidP="006617F4">
      <w:r>
        <w:t>AND</w:t>
      </w:r>
    </w:p>
    <w:p w:rsidR="006617F4" w:rsidRPr="006617F4" w:rsidRDefault="006617F4" w:rsidP="006617F4">
      <w:r w:rsidRPr="006617F4">
        <w:lastRenderedPageBreak/>
        <w:t>Pemex's development into something like Norway's Statol would mark an important improvement.36</w:t>
      </w:r>
    </w:p>
    <w:p w:rsidR="006617F4" w:rsidRPr="002C3A55" w:rsidRDefault="006617F4" w:rsidP="006617F4">
      <w:pPr>
        <w:pStyle w:val="Heading4"/>
      </w:pPr>
      <w:r>
        <w:t>Mexican instability spills over and goes nuclear</w:t>
      </w:r>
    </w:p>
    <w:p w:rsidR="006617F4" w:rsidRPr="002C3A55" w:rsidRDefault="006617F4" w:rsidP="006617F4">
      <w:r w:rsidRPr="00CB6EB2">
        <w:rPr>
          <w:rStyle w:val="StyleStyleBold12pt"/>
        </w:rPr>
        <w:t>Rochlin, Okanagan political science professor, 94</w:t>
      </w:r>
      <w:r>
        <w:t>, (James Rochlin, “</w:t>
      </w:r>
      <w:r w:rsidRPr="004B7461">
        <w:t>“Discovering the Americas: the evolution of Canadian foreign policy towards Latin America,” p. 130-131)</w:t>
      </w:r>
    </w:p>
    <w:p w:rsidR="006617F4" w:rsidRDefault="006617F4" w:rsidP="006617F4">
      <w:r w:rsidRPr="006617F4">
        <w:t xml:space="preserve">While there were economic motivations for Canadian policy in Central America, security considerations were </w:t>
      </w:r>
    </w:p>
    <w:p w:rsidR="006617F4" w:rsidRDefault="006617F4" w:rsidP="006617F4">
      <w:r>
        <w:t>AND</w:t>
      </w:r>
    </w:p>
    <w:p w:rsidR="006617F4" w:rsidRPr="006617F4" w:rsidRDefault="006617F4" w:rsidP="006617F4">
      <w:r w:rsidRPr="006617F4">
        <w:t>, such as Contadora, as will be discussed in the next chapter.</w:t>
      </w:r>
    </w:p>
    <w:p w:rsidR="006617F4" w:rsidRDefault="006617F4" w:rsidP="006617F4"/>
    <w:p w:rsidR="006617F4" w:rsidRDefault="006617F4" w:rsidP="006617F4">
      <w:pPr>
        <w:pStyle w:val="Heading2"/>
      </w:pPr>
      <w:r>
        <w:lastRenderedPageBreak/>
        <w:t>Adv 1</w:t>
      </w:r>
    </w:p>
    <w:p w:rsidR="006617F4" w:rsidRPr="00CA3696" w:rsidRDefault="006617F4" w:rsidP="006617F4">
      <w:pPr>
        <w:pStyle w:val="Heading4"/>
        <w:rPr>
          <w:rFonts w:asciiTheme="minorHAnsi" w:hAnsiTheme="minorHAnsi"/>
        </w:rPr>
      </w:pPr>
      <w:r w:rsidRPr="00CA3696">
        <w:rPr>
          <w:rFonts w:asciiTheme="minorHAnsi" w:hAnsiTheme="minorHAnsi"/>
        </w:rPr>
        <w:t>No Taiwan escalation</w:t>
      </w:r>
    </w:p>
    <w:p w:rsidR="006617F4" w:rsidRPr="00CA3696" w:rsidRDefault="006617F4" w:rsidP="006617F4">
      <w:pPr>
        <w:rPr>
          <w:rFonts w:asciiTheme="minorHAnsi" w:hAnsiTheme="minorHAnsi"/>
        </w:rPr>
      </w:pPr>
      <w:r w:rsidRPr="00CA3696">
        <w:rPr>
          <w:rStyle w:val="StyleStyleBold12pt"/>
          <w:rFonts w:asciiTheme="minorHAnsi" w:hAnsiTheme="minorHAnsi"/>
        </w:rPr>
        <w:t>Shor 12</w:t>
      </w:r>
      <w:r w:rsidRPr="00CA3696">
        <w:rPr>
          <w:rFonts w:asciiTheme="minorHAnsi" w:hAnsiTheme="minorHAnsi"/>
        </w:rPr>
        <w:t xml:space="preserve"> (Francis, Professor of History – Wayne State, “Declining US Hegemony and Rising Chinese Power: A Formula for Conflict?”, Perspectives on Global Development and Technology, 11(1), pp. 157-167)</w:t>
      </w:r>
    </w:p>
    <w:p w:rsidR="006617F4" w:rsidRDefault="006617F4" w:rsidP="006617F4">
      <w:r w:rsidRPr="006617F4">
        <w:t xml:space="preserve">While the United States no longer dominates the global economy as it did during the </w:t>
      </w:r>
    </w:p>
    <w:p w:rsidR="006617F4" w:rsidRDefault="006617F4" w:rsidP="006617F4">
      <w:r>
        <w:t>AND</w:t>
      </w:r>
    </w:p>
    <w:p w:rsidR="006617F4" w:rsidRPr="006617F4" w:rsidRDefault="006617F4" w:rsidP="006617F4">
      <w:r w:rsidRPr="006617F4">
        <w:t>of the U.S. governing elite's ideological commitment to national security.</w:t>
      </w:r>
    </w:p>
    <w:p w:rsidR="006617F4" w:rsidRDefault="006617F4" w:rsidP="006617F4"/>
    <w:p w:rsidR="006617F4" w:rsidRPr="00CA3696" w:rsidRDefault="006617F4" w:rsidP="006617F4">
      <w:pPr>
        <w:pStyle w:val="Heading4"/>
        <w:rPr>
          <w:rFonts w:asciiTheme="minorHAnsi" w:hAnsiTheme="minorHAnsi"/>
        </w:rPr>
      </w:pPr>
      <w:r w:rsidRPr="00CA3696">
        <w:rPr>
          <w:rFonts w:asciiTheme="minorHAnsi" w:hAnsiTheme="minorHAnsi"/>
        </w:rPr>
        <w:t xml:space="preserve">Taiwan-China relations are high </w:t>
      </w:r>
    </w:p>
    <w:p w:rsidR="006617F4" w:rsidRPr="00CA3696" w:rsidRDefault="006617F4" w:rsidP="006617F4">
      <w:pPr>
        <w:rPr>
          <w:rFonts w:asciiTheme="minorHAnsi" w:hAnsiTheme="minorHAnsi"/>
        </w:rPr>
      </w:pPr>
      <w:r w:rsidRPr="00CA3696">
        <w:rPr>
          <w:rStyle w:val="StyleStyleBold12pt"/>
          <w:rFonts w:asciiTheme="minorHAnsi" w:hAnsiTheme="minorHAnsi"/>
        </w:rPr>
        <w:t>Cole 12</w:t>
      </w:r>
      <w:r w:rsidRPr="00CA3696">
        <w:rPr>
          <w:rFonts w:asciiTheme="minorHAnsi" w:hAnsiTheme="minorHAnsi"/>
        </w:rPr>
        <w:t xml:space="preserve"> -- Taipei-based journalist who focuses on military issues in Northeast Asia and in the Taiwan Strait (J. Michael, 9/3, "Taiwan Hedges its Bets on China," http://thediplomat.com/flashpoints-blog/2012/09/03/taiwan-hedges-its-bets-against-china/)</w:t>
      </w:r>
    </w:p>
    <w:p w:rsidR="006617F4" w:rsidRDefault="006617F4" w:rsidP="006617F4">
      <w:r w:rsidRPr="006617F4">
        <w:t xml:space="preserve">By a number of yardsticks, relations in the Taiwan Strait today are the best </w:t>
      </w:r>
    </w:p>
    <w:p w:rsidR="006617F4" w:rsidRDefault="006617F4" w:rsidP="006617F4">
      <w:r>
        <w:t>AND</w:t>
      </w:r>
    </w:p>
    <w:p w:rsidR="006617F4" w:rsidRPr="006617F4" w:rsidRDefault="006617F4" w:rsidP="006617F4">
      <w:r w:rsidRPr="006617F4">
        <w:t>sea-rescue operations in the waters off Taiwan’s Kinmen and China’s Xiamen.</w:t>
      </w:r>
    </w:p>
    <w:p w:rsidR="006617F4" w:rsidRDefault="006617F4" w:rsidP="006617F4"/>
    <w:p w:rsidR="006617F4" w:rsidRDefault="006617F4" w:rsidP="006617F4">
      <w:pPr>
        <w:pStyle w:val="Heading4"/>
      </w:pPr>
      <w:r>
        <w:t>M</w:t>
      </w:r>
      <w:r>
        <w:t>iscalc won’t escalate</w:t>
      </w:r>
    </w:p>
    <w:p w:rsidR="006617F4" w:rsidRDefault="006617F4" w:rsidP="006617F4">
      <w:r w:rsidRPr="004C0047">
        <w:t xml:space="preserve">Trefor </w:t>
      </w:r>
      <w:r w:rsidRPr="004C0047">
        <w:rPr>
          <w:rStyle w:val="StyleStyleBold12pt"/>
        </w:rPr>
        <w:t>Moss</w:t>
      </w:r>
      <w:r w:rsidRPr="004C0047">
        <w:t>, The Diplomat, 2/10/</w:t>
      </w:r>
      <w:r w:rsidRPr="004C0047">
        <w:rPr>
          <w:rStyle w:val="StyleStyleBold12pt"/>
        </w:rPr>
        <w:t>13</w:t>
      </w:r>
      <w:r>
        <w:t xml:space="preserve">, </w:t>
      </w:r>
      <w:r w:rsidRPr="004C0047">
        <w:t>7 Reasons China and Japan Won’t Go To War, thediplomat.com/2013/02/10/7-reasons-china-and-japan-wont-go-to-war/?all=true</w:t>
      </w:r>
    </w:p>
    <w:p w:rsidR="006617F4" w:rsidRPr="00541831" w:rsidRDefault="006617F4" w:rsidP="006617F4"/>
    <w:p w:rsidR="006617F4" w:rsidRDefault="006617F4" w:rsidP="006617F4">
      <w:r w:rsidRPr="006617F4">
        <w:t xml:space="preserve">But if Shinzo Abe is gambling with the region’s security, he is at least </w:t>
      </w:r>
    </w:p>
    <w:p w:rsidR="006617F4" w:rsidRDefault="006617F4" w:rsidP="006617F4">
      <w:r>
        <w:t>AND</w:t>
      </w:r>
    </w:p>
    <w:p w:rsidR="006617F4" w:rsidRPr="006617F4" w:rsidRDefault="006617F4" w:rsidP="006617F4">
      <w:r w:rsidRPr="006617F4">
        <w:t>in Kashmir, or along the Thai-Cambodian border – have demonstrated.</w:t>
      </w:r>
    </w:p>
    <w:p w:rsidR="006617F4" w:rsidRDefault="006617F4" w:rsidP="006617F4">
      <w:pPr>
        <w:rPr>
          <w:rFonts w:asciiTheme="minorHAnsi" w:hAnsiTheme="minorHAnsi"/>
          <w:b/>
        </w:rPr>
      </w:pPr>
    </w:p>
    <w:p w:rsidR="006617F4" w:rsidRPr="00B9528E" w:rsidRDefault="006617F4" w:rsidP="006617F4">
      <w:pPr>
        <w:rPr>
          <w:rFonts w:asciiTheme="minorHAnsi" w:hAnsiTheme="minorHAnsi"/>
          <w:b/>
        </w:rPr>
      </w:pPr>
      <w:r w:rsidRPr="00B9528E">
        <w:rPr>
          <w:rFonts w:asciiTheme="minorHAnsi" w:hAnsiTheme="minorHAnsi"/>
          <w:b/>
        </w:rPr>
        <w:t>China would not voluntarily start a war, they want to maintain prosperity</w:t>
      </w:r>
    </w:p>
    <w:p w:rsidR="006617F4" w:rsidRPr="00C94973" w:rsidRDefault="006617F4" w:rsidP="006617F4">
      <w:pPr>
        <w:rPr>
          <w:rFonts w:asciiTheme="minorHAnsi" w:hAnsiTheme="minorHAnsi"/>
        </w:rPr>
      </w:pPr>
      <w:r w:rsidRPr="00C94973">
        <w:rPr>
          <w:rFonts w:asciiTheme="minorHAnsi" w:hAnsiTheme="minorHAnsi"/>
          <w:b/>
        </w:rPr>
        <w:t>Zakaria 11</w:t>
      </w:r>
      <w:r w:rsidRPr="00C94973">
        <w:rPr>
          <w:rFonts w:asciiTheme="minorHAnsi" w:hAnsiTheme="minorHAnsi"/>
        </w:rPr>
        <w:t xml:space="preserve"> – Doctorate in political science from Harvard, columnists on American foreign policy (Fareed, Book: “The Post American World 2.0”, Chapter: The Challenger, Page 117)</w:t>
      </w:r>
    </w:p>
    <w:p w:rsidR="006617F4" w:rsidRPr="00C94973" w:rsidRDefault="006617F4" w:rsidP="006617F4">
      <w:pPr>
        <w:rPr>
          <w:rFonts w:asciiTheme="minorHAnsi" w:hAnsiTheme="minorHAnsi"/>
          <w:u w:val="single"/>
        </w:rPr>
      </w:pPr>
    </w:p>
    <w:p w:rsidR="006617F4" w:rsidRDefault="006617F4" w:rsidP="006617F4">
      <w:r w:rsidRPr="006617F4">
        <w:t xml:space="preserve">China is hungry for success and this might well be a key reason for its </w:t>
      </w:r>
    </w:p>
    <w:p w:rsidR="006617F4" w:rsidRDefault="006617F4" w:rsidP="006617F4">
      <w:r>
        <w:t>AND</w:t>
      </w:r>
    </w:p>
    <w:p w:rsidR="006617F4" w:rsidRPr="006617F4" w:rsidRDefault="006617F4" w:rsidP="006617F4">
      <w:r w:rsidRPr="006617F4">
        <w:t>. They are unlikely to cast aside casually three decades of relative prosperity.</w:t>
      </w:r>
    </w:p>
    <w:p w:rsidR="006617F4" w:rsidRPr="00C94973" w:rsidRDefault="006617F4" w:rsidP="006617F4">
      <w:pPr>
        <w:rPr>
          <w:rFonts w:asciiTheme="minorHAnsi" w:hAnsiTheme="minorHAnsi"/>
        </w:rPr>
      </w:pPr>
    </w:p>
    <w:p w:rsidR="006617F4" w:rsidRPr="00C94973" w:rsidRDefault="006617F4" w:rsidP="006617F4">
      <w:pPr>
        <w:rPr>
          <w:rFonts w:asciiTheme="minorHAnsi" w:hAnsiTheme="minorHAnsi"/>
        </w:rPr>
      </w:pPr>
    </w:p>
    <w:p w:rsidR="006617F4" w:rsidRPr="00C94973" w:rsidRDefault="006617F4" w:rsidP="006617F4">
      <w:pPr>
        <w:pStyle w:val="Heading4"/>
        <w:rPr>
          <w:rFonts w:asciiTheme="minorHAnsi" w:hAnsiTheme="minorHAnsi"/>
        </w:rPr>
      </w:pPr>
      <w:r w:rsidRPr="00C94973">
        <w:rPr>
          <w:rFonts w:asciiTheme="minorHAnsi" w:hAnsiTheme="minorHAnsi"/>
        </w:rPr>
        <w:t xml:space="preserve">No war – China </w:t>
      </w:r>
      <w:r w:rsidRPr="00C94973">
        <w:rPr>
          <w:rFonts w:asciiTheme="minorHAnsi" w:hAnsiTheme="minorHAnsi"/>
          <w:u w:val="single"/>
        </w:rPr>
        <w:t>abides by international law</w:t>
      </w:r>
      <w:r w:rsidRPr="00C94973">
        <w:rPr>
          <w:rFonts w:asciiTheme="minorHAnsi" w:hAnsiTheme="minorHAnsi"/>
        </w:rPr>
        <w:t xml:space="preserve"> and keeps a </w:t>
      </w:r>
      <w:r w:rsidRPr="00C94973">
        <w:rPr>
          <w:rFonts w:asciiTheme="minorHAnsi" w:hAnsiTheme="minorHAnsi"/>
          <w:u w:val="single"/>
        </w:rPr>
        <w:t>low profile</w:t>
      </w:r>
    </w:p>
    <w:p w:rsidR="006617F4" w:rsidRPr="00C94973" w:rsidRDefault="006617F4" w:rsidP="006617F4">
      <w:pPr>
        <w:rPr>
          <w:rFonts w:asciiTheme="minorHAnsi" w:hAnsiTheme="minorHAnsi"/>
        </w:rPr>
      </w:pPr>
      <w:r w:rsidRPr="00C94973">
        <w:rPr>
          <w:rStyle w:val="StyleStyleBold12pt"/>
          <w:rFonts w:asciiTheme="minorHAnsi" w:hAnsiTheme="minorHAnsi"/>
        </w:rPr>
        <w:t>Haixia 12</w:t>
      </w:r>
      <w:r w:rsidRPr="00C94973">
        <w:rPr>
          <w:rFonts w:asciiTheme="minorHAnsi" w:hAnsiTheme="minorHAnsi"/>
        </w:rP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6617F4" w:rsidRDefault="006617F4" w:rsidP="006617F4">
      <w:r w:rsidRPr="006617F4">
        <w:t xml:space="preserve">Keeping Low Profile China's strategy of keeping low profile constitutes the political foundation of the </w:t>
      </w:r>
    </w:p>
    <w:p w:rsidR="006617F4" w:rsidRDefault="006617F4" w:rsidP="006617F4">
      <w:r>
        <w:t>AND</w:t>
      </w:r>
    </w:p>
    <w:p w:rsidR="006617F4" w:rsidRPr="006617F4" w:rsidRDefault="006617F4" w:rsidP="006617F4">
      <w:r w:rsidRPr="006617F4">
        <w:lastRenderedPageBreak/>
        <w:t>other developing countries, and works to safeguard world peace and stability.’51</w:t>
      </w:r>
    </w:p>
    <w:p w:rsidR="006617F4" w:rsidRPr="00C94973" w:rsidRDefault="006617F4" w:rsidP="006617F4">
      <w:pPr>
        <w:ind w:right="360"/>
        <w:rPr>
          <w:rFonts w:asciiTheme="minorHAnsi" w:hAnsiTheme="minorHAnsi"/>
          <w:sz w:val="16"/>
        </w:rPr>
      </w:pPr>
    </w:p>
    <w:p w:rsidR="006617F4" w:rsidRPr="00C94973" w:rsidRDefault="006617F4" w:rsidP="006617F4">
      <w:pPr>
        <w:ind w:right="360"/>
        <w:rPr>
          <w:rFonts w:asciiTheme="minorHAnsi" w:hAnsiTheme="minorHAnsi"/>
          <w:sz w:val="16"/>
        </w:rPr>
      </w:pPr>
    </w:p>
    <w:p w:rsidR="006617F4" w:rsidRPr="00C94973" w:rsidRDefault="006617F4" w:rsidP="006617F4">
      <w:pPr>
        <w:rPr>
          <w:rFonts w:asciiTheme="minorHAnsi" w:hAnsiTheme="minorHAnsi"/>
        </w:rPr>
      </w:pPr>
    </w:p>
    <w:p w:rsidR="006617F4" w:rsidRDefault="006617F4" w:rsidP="006617F4">
      <w:pPr>
        <w:pStyle w:val="Heading2"/>
      </w:pPr>
      <w:r>
        <w:lastRenderedPageBreak/>
        <w:t>Adv 2</w:t>
      </w:r>
    </w:p>
    <w:p w:rsidR="006617F4" w:rsidRPr="00C94973" w:rsidRDefault="006617F4" w:rsidP="006617F4">
      <w:pPr>
        <w:rPr>
          <w:rFonts w:asciiTheme="minorHAnsi" w:hAnsiTheme="minorHAnsi"/>
          <w:b/>
        </w:rPr>
      </w:pPr>
    </w:p>
    <w:p w:rsidR="006617F4" w:rsidRPr="00C94973" w:rsidRDefault="006617F4" w:rsidP="006617F4">
      <w:pPr>
        <w:rPr>
          <w:rFonts w:asciiTheme="minorHAnsi" w:hAnsiTheme="minorHAnsi"/>
          <w:b/>
        </w:rPr>
      </w:pPr>
      <w:r w:rsidRPr="00C94973">
        <w:rPr>
          <w:rFonts w:asciiTheme="minorHAnsi" w:hAnsiTheme="minorHAnsi"/>
          <w:b/>
        </w:rPr>
        <w:t xml:space="preserve">No disease can kill us all – it would have to be everything at once </w:t>
      </w:r>
    </w:p>
    <w:p w:rsidR="006617F4" w:rsidRPr="00C94973" w:rsidRDefault="006617F4" w:rsidP="006617F4">
      <w:pPr>
        <w:rPr>
          <w:rFonts w:asciiTheme="minorHAnsi" w:hAnsiTheme="minorHAnsi"/>
          <w:sz w:val="18"/>
        </w:rPr>
      </w:pPr>
      <w:r w:rsidRPr="00C94973">
        <w:rPr>
          <w:rStyle w:val="Heading2Char"/>
          <w:rFonts w:asciiTheme="minorHAnsi" w:hAnsiTheme="minorHAnsi"/>
          <w:sz w:val="22"/>
          <w:szCs w:val="22"/>
          <w:u w:val="none"/>
        </w:rPr>
        <w:t>Gladwell, 95</w:t>
      </w:r>
      <w:r w:rsidRPr="00C94973">
        <w:rPr>
          <w:rStyle w:val="Heading3Char"/>
          <w:rFonts w:asciiTheme="minorHAnsi" w:hAnsiTheme="minorHAnsi"/>
          <w:b w:val="0"/>
          <w:sz w:val="20"/>
          <w:szCs w:val="20"/>
          <w:u w:val="none"/>
        </w:rPr>
        <w:t xml:space="preserve"> (Malcolm, The New Republic, 7/17/95 and 7/24/95, “The Plague Year”, Lexis)</w:t>
      </w:r>
    </w:p>
    <w:p w:rsidR="006617F4" w:rsidRPr="00C94973" w:rsidRDefault="006617F4" w:rsidP="006617F4">
      <w:pPr>
        <w:rPr>
          <w:rFonts w:asciiTheme="minorHAnsi" w:hAnsiTheme="minorHAnsi"/>
        </w:rPr>
      </w:pPr>
    </w:p>
    <w:p w:rsidR="006617F4" w:rsidRDefault="006617F4" w:rsidP="006617F4">
      <w:r w:rsidRPr="006617F4">
        <w:t xml:space="preserve">What would a real Andromeda Strain look like? It would be highly infectious like </w:t>
      </w:r>
    </w:p>
    <w:p w:rsidR="006617F4" w:rsidRDefault="006617F4" w:rsidP="006617F4">
      <w:r>
        <w:t>AND</w:t>
      </w:r>
    </w:p>
    <w:p w:rsidR="006617F4" w:rsidRPr="006617F4" w:rsidRDefault="006617F4" w:rsidP="006617F4">
      <w:r w:rsidRPr="006617F4">
        <w:t>, but they neglect to point out the limitations of microscopic life forms.</w:t>
      </w:r>
    </w:p>
    <w:p w:rsidR="006617F4" w:rsidRPr="00C94973" w:rsidRDefault="006617F4" w:rsidP="006617F4">
      <w:pPr>
        <w:rPr>
          <w:rFonts w:asciiTheme="minorHAnsi" w:hAnsiTheme="minorHAnsi"/>
        </w:rPr>
      </w:pPr>
    </w:p>
    <w:p w:rsidR="006617F4" w:rsidRPr="00C94973" w:rsidRDefault="006617F4" w:rsidP="006617F4">
      <w:pPr>
        <w:rPr>
          <w:rFonts w:asciiTheme="minorHAnsi" w:hAnsiTheme="minorHAnsi"/>
          <w:b/>
        </w:rPr>
      </w:pPr>
      <w:r w:rsidRPr="00C94973">
        <w:rPr>
          <w:rFonts w:asciiTheme="minorHAnsi" w:hAnsiTheme="minorHAnsi"/>
          <w:b/>
        </w:rPr>
        <w:t>Multiple alternate causalities to disease</w:t>
      </w:r>
    </w:p>
    <w:p w:rsidR="006617F4" w:rsidRPr="00C94973" w:rsidRDefault="006617F4" w:rsidP="006617F4">
      <w:pPr>
        <w:rPr>
          <w:rFonts w:asciiTheme="minorHAnsi" w:hAnsiTheme="minorHAnsi"/>
          <w:sz w:val="18"/>
        </w:rPr>
      </w:pPr>
      <w:r w:rsidRPr="00C94973">
        <w:rPr>
          <w:rStyle w:val="Heading2Char"/>
          <w:rFonts w:asciiTheme="minorHAnsi" w:hAnsiTheme="minorHAnsi"/>
          <w:sz w:val="22"/>
          <w:szCs w:val="22"/>
          <w:u w:val="none"/>
        </w:rPr>
        <w:t>Brower, 03</w:t>
      </w:r>
      <w:r w:rsidRPr="00C94973">
        <w:rPr>
          <w:rFonts w:asciiTheme="minorHAnsi" w:hAnsiTheme="minorHAnsi"/>
          <w:sz w:val="18"/>
        </w:rPr>
        <w:t xml:space="preserve"> </w:t>
      </w:r>
      <w:r w:rsidRPr="00C94973">
        <w:rPr>
          <w:rStyle w:val="Heading3Char"/>
          <w:rFonts w:asciiTheme="minorHAnsi" w:hAnsiTheme="minorHAnsi"/>
          <w:b w:val="0"/>
          <w:sz w:val="20"/>
          <w:szCs w:val="20"/>
          <w:u w:val="none"/>
        </w:rPr>
        <w:t xml:space="preserve">(Jennifer, science/technology policy analyst, and Peter Chalk, political scientist, Summer 2003, Rand Review, Vol. 27, No. 2, “Vectors Without Borders,”  </w:t>
      </w:r>
      <w:hyperlink r:id="rId14" w:history="1">
        <w:r w:rsidRPr="006617F4">
          <w:rPr>
            <w:rStyle w:val="Hyperlink"/>
          </w:rPr>
          <w:t>http://www.rand.org/publications/randreview/issues/summer2003/vectors.html</w:t>
        </w:r>
      </w:hyperlink>
      <w:r w:rsidRPr="00C94973">
        <w:rPr>
          <w:rStyle w:val="Heading3Char"/>
          <w:rFonts w:asciiTheme="minorHAnsi" w:hAnsiTheme="minorHAnsi"/>
          <w:b w:val="0"/>
          <w:sz w:val="20"/>
          <w:szCs w:val="20"/>
          <w:u w:val="none"/>
        </w:rPr>
        <w:t>)</w:t>
      </w:r>
    </w:p>
    <w:p w:rsidR="006617F4" w:rsidRDefault="006617F4" w:rsidP="006617F4">
      <w:r w:rsidRPr="006617F4">
        <w:t xml:space="preserve">This year's outbreak of severe acute respiratory syndrome (SARS) in Beijing, Hong </w:t>
      </w:r>
    </w:p>
    <w:p w:rsidR="006617F4" w:rsidRDefault="006617F4" w:rsidP="006617F4">
      <w:r>
        <w:t>AND</w:t>
      </w:r>
    </w:p>
    <w:p w:rsidR="006617F4" w:rsidRPr="006617F4" w:rsidRDefault="006617F4" w:rsidP="006617F4">
      <w:r w:rsidRPr="006617F4">
        <w:t>increase the likelihood that people will come into contact with potentially fatal diseases.</w:t>
      </w:r>
    </w:p>
    <w:p w:rsidR="006617F4" w:rsidRPr="00C94973" w:rsidRDefault="006617F4" w:rsidP="006617F4">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193" w:rsidRDefault="005C5193" w:rsidP="005F5576">
      <w:r>
        <w:separator/>
      </w:r>
    </w:p>
  </w:endnote>
  <w:endnote w:type="continuationSeparator" w:id="0">
    <w:p w:rsidR="005C5193" w:rsidRDefault="005C51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193" w:rsidRDefault="005C5193" w:rsidP="005F5576">
      <w:r>
        <w:separator/>
      </w:r>
    </w:p>
  </w:footnote>
  <w:footnote w:type="continuationSeparator" w:id="0">
    <w:p w:rsidR="005C5193" w:rsidRDefault="005C519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6B20F7B"/>
    <w:multiLevelType w:val="hybridMultilevel"/>
    <w:tmpl w:val="561E3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F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5193"/>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17F4"/>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37597"/>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99F3234-FFA2-4A59-83C5-B6506644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Heading 3 Char1,No Underline,Text 7,3: Cite,Index Headers,Bold Cite,Heading 3 Char1 Char Char,Citation Char Char Char Char,Tags v 2,Cites,Citation,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heading 2,Heading 2 Char2 Char,Heading 2 Char1 Char Char, Ch,no read,No Spacing211,No Spacing12,No Spacing2111,No Spacing11111,No Spacing21,TAG,Ch,small space,Tags,No Spacing4,No Spacing5,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1,Char Char Char Char1,Char Char1,Char Char Char Char Char 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Heading 3 Char1 Char,No Underline Char,Text 7 Char,3: Cite Char,Index Headers Char,Bold Cite Char1,Heading 3 Char1 Char Char Char,Tags v 2 Char,Cit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Bo,B,cite,Minimized Char,Intense Emphasis3,9.5 pt,8.5"/>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heading 2 Char,Heading 2 Char2 Char Char,Heading 2 Char1 Char Char Char, 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Title Char,Bold Cite Char,Citation Char Char Char,ci,Underline Char,c"/>
    <w:basedOn w:val="DefaultParagraphFont"/>
    <w:uiPriority w:val="6"/>
    <w:qFormat/>
    <w:rsid w:val="006617F4"/>
    <w:rPr>
      <w:b/>
      <w:bCs/>
      <w:sz w:val="22"/>
      <w:u w:val="single"/>
    </w:rPr>
  </w:style>
  <w:style w:type="character" w:customStyle="1" w:styleId="Box">
    <w:name w:val="Box"/>
    <w:basedOn w:val="DefaultParagraphFont"/>
    <w:uiPriority w:val="1"/>
    <w:qFormat/>
    <w:rsid w:val="006617F4"/>
    <w:rPr>
      <w:b/>
      <w:bCs w:val="0"/>
      <w:u w:val="single"/>
      <w:bdr w:val="single" w:sz="4" w:space="0" w:color="auto" w:frame="1"/>
    </w:rPr>
  </w:style>
  <w:style w:type="character" w:customStyle="1" w:styleId="cardtextChar">
    <w:name w:val="card text Char"/>
    <w:basedOn w:val="DefaultParagraphFont"/>
    <w:link w:val="cardtext"/>
    <w:locked/>
    <w:rsid w:val="006617F4"/>
    <w:rPr>
      <w:rFonts w:ascii="Georgia" w:hAnsi="Georgia"/>
    </w:rPr>
  </w:style>
  <w:style w:type="paragraph" w:customStyle="1" w:styleId="cardtext">
    <w:name w:val="card text"/>
    <w:basedOn w:val="Normal"/>
    <w:link w:val="cardtextChar"/>
    <w:qFormat/>
    <w:rsid w:val="006617F4"/>
    <w:pPr>
      <w:ind w:left="288" w:right="288"/>
    </w:pPr>
    <w:rPr>
      <w:rFonts w:ascii="Georgia" w:hAnsi="Georgia" w:cstheme="minorBidi"/>
    </w:rPr>
  </w:style>
  <w:style w:type="character" w:customStyle="1" w:styleId="UnderlineBold">
    <w:name w:val="Underline + Bold"/>
    <w:uiPriority w:val="1"/>
    <w:qFormat/>
    <w:rsid w:val="006617F4"/>
    <w:rPr>
      <w:b/>
      <w:bCs w:val="0"/>
      <w:sz w:val="20"/>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autoRedefine/>
    <w:uiPriority w:val="6"/>
    <w:rsid w:val="006617F4"/>
    <w:pPr>
      <w:autoSpaceDE w:val="0"/>
      <w:autoSpaceDN w:val="0"/>
      <w:adjustRightInd w:val="0"/>
      <w:ind w:left="432" w:right="432"/>
      <w:jc w:val="both"/>
    </w:pPr>
    <w:rPr>
      <w:rFonts w:ascii="Times New Roman" w:eastAsia="SimSun" w:hAnsi="Times New Roman"/>
      <w:sz w:val="24"/>
      <w:szCs w:val="24"/>
      <w:u w:val="thick"/>
      <w:lang w:val="x-none"/>
    </w:rPr>
  </w:style>
  <w:style w:type="paragraph" w:customStyle="1" w:styleId="Underlining">
    <w:name w:val="Underlining"/>
    <w:basedOn w:val="Normal"/>
    <w:next w:val="Normal"/>
    <w:link w:val="UnderliningChar"/>
    <w:rsid w:val="006617F4"/>
    <w:rPr>
      <w:rFonts w:ascii="Arial Narrow" w:eastAsia="Times New Roman" w:hAnsi="Arial Narrow"/>
      <w:sz w:val="20"/>
      <w:szCs w:val="24"/>
      <w:u w:val="thick"/>
      <w:lang w:val="x-none" w:eastAsia="x-none"/>
    </w:rPr>
  </w:style>
  <w:style w:type="character" w:customStyle="1" w:styleId="UnderliningChar">
    <w:name w:val="Underlining Char"/>
    <w:link w:val="Underlining"/>
    <w:rsid w:val="006617F4"/>
    <w:rPr>
      <w:rFonts w:ascii="Arial Narrow" w:eastAsia="Times New Roman" w:hAnsi="Arial Narrow" w:cs="Calibri"/>
      <w:sz w:val="20"/>
      <w:szCs w:val="24"/>
      <w:u w:val="thick"/>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akerinstitute.org/publications/EF-pub-BarnesBilateral-0429201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ogle.com/url?sa=t&amp;rct=j&amp;q=&amp;esrc=s&amp;source=web&amp;cd=3&amp;cad=rja&amp;ved=0CD4QFjAC&amp;url=http%2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iptorium.lib.duke.edu/wlm/womid%2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thehill.com/blogs/on-the-money/agriculture/190777-epa-ethanol-decision-pushes-farm-bill-toward-finish-li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and.org/publications/randreview/issues/summer2003/vecto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Kendall Witaszek</dc:creator>
  <cp:keywords>Verbatim</cp:keywords>
  <dc:description>Verbatim 4.6</dc:description>
  <cp:lastModifiedBy>Kendall Witaszek</cp:lastModifiedBy>
  <cp:revision>1</cp:revision>
  <dcterms:created xsi:type="dcterms:W3CDTF">2013-12-03T14:44:00Z</dcterms:created>
  <dcterms:modified xsi:type="dcterms:W3CDTF">2013-12-03T14:47:00Z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