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1D" w:rsidRDefault="00E4381D" w:rsidP="00E4381D">
      <w:pPr>
        <w:pStyle w:val="Heading3"/>
      </w:pPr>
      <w:r>
        <w:t>t</w:t>
      </w:r>
    </w:p>
    <w:p w:rsidR="00E4381D" w:rsidRDefault="00E4381D" w:rsidP="00E4381D">
      <w:pPr>
        <w:pStyle w:val="Heading4"/>
        <w:rPr>
          <w:rFonts w:asciiTheme="minorHAnsi" w:hAnsiTheme="minorHAnsi"/>
          <w:b w:val="0"/>
          <w:bCs w:val="0"/>
          <w:sz w:val="22"/>
        </w:rPr>
      </w:pPr>
      <w:r>
        <w:rPr>
          <w:rFonts w:asciiTheme="minorHAnsi" w:hAnsiTheme="minorHAnsi"/>
          <w:b w:val="0"/>
          <w:bCs w:val="0"/>
          <w:sz w:val="22"/>
        </w:rPr>
        <w:t xml:space="preserve">Interpretation – “Economic engagement” is limited to trade of goods and services -energy is a non-economic partnership </w:t>
      </w:r>
    </w:p>
    <w:p w:rsidR="00E4381D" w:rsidRDefault="00E4381D" w:rsidP="00E4381D">
      <w:pPr>
        <w:rPr>
          <w:rFonts w:asciiTheme="minorHAnsi" w:hAnsiTheme="minorHAnsi"/>
        </w:rPr>
      </w:pPr>
      <w:r>
        <w:rPr>
          <w:rStyle w:val="StyleStyleBold12pt"/>
          <w:rFonts w:asciiTheme="minorHAnsi" w:hAnsiTheme="minorHAnsi"/>
        </w:rPr>
        <w:t>Rose, 8</w:t>
      </w:r>
      <w:r>
        <w:rPr>
          <w:rFonts w:asciiTheme="minorHAnsi" w:hAnsiTheme="minorHAnsi"/>
        </w:rPr>
        <w:t xml:space="preserve"> -- UC Berkeley Haas School of Business Administration [Andrew, and Mark Spiegel, "Non-Economic Engagement and International Exchange: The Case of Environmental Treaties," April 2008, </w:t>
      </w:r>
      <w:hyperlink r:id="rId10" w:history="1">
        <w:r>
          <w:rPr>
            <w:rStyle w:val="Hyperlink"/>
            <w:rFonts w:asciiTheme="minorHAnsi" w:hAnsiTheme="minorHAnsi"/>
          </w:rPr>
          <w:t>www.nber.org/papers/w13988.pdf?new_window=1</w:t>
        </w:r>
      </w:hyperlink>
      <w:r>
        <w:rPr>
          <w:rFonts w:asciiTheme="minorHAnsi" w:hAnsiTheme="minorHAnsi"/>
        </w:rPr>
        <w:t>]</w:t>
      </w:r>
    </w:p>
    <w:p w:rsidR="00E4381D" w:rsidRDefault="00E4381D" w:rsidP="00E4381D">
      <w:r w:rsidRPr="00E4381D">
        <w:t xml:space="preserve">Non-Economic Engagement and International Exchange: The Case of Environmental Treaties We examine </w:t>
      </w:r>
    </w:p>
    <w:p w:rsidR="00E4381D" w:rsidRDefault="00E4381D" w:rsidP="00E4381D">
      <w:r>
        <w:t>AND</w:t>
      </w:r>
    </w:p>
    <w:p w:rsidR="00E4381D" w:rsidRPr="00E4381D" w:rsidRDefault="00E4381D" w:rsidP="00E4381D">
      <w:r w:rsidRPr="00E4381D">
        <w:t>relations. The answer, in both theory and practice, is positive.</w:t>
      </w:r>
    </w:p>
    <w:p w:rsidR="00E4381D" w:rsidRDefault="00E4381D" w:rsidP="00E4381D">
      <w:pPr>
        <w:rPr>
          <w:rFonts w:asciiTheme="minorHAnsi" w:hAnsiTheme="minorHAnsi"/>
        </w:rPr>
      </w:pPr>
    </w:p>
    <w:p w:rsidR="00E4381D" w:rsidRDefault="00E4381D" w:rsidP="00E4381D">
      <w:pPr>
        <w:pStyle w:val="Heading4"/>
        <w:rPr>
          <w:rFonts w:asciiTheme="minorHAnsi" w:hAnsiTheme="minorHAnsi"/>
          <w:sz w:val="22"/>
        </w:rPr>
      </w:pPr>
      <w:r>
        <w:rPr>
          <w:rFonts w:asciiTheme="minorHAnsi" w:hAnsiTheme="minorHAnsi"/>
          <w:b w:val="0"/>
          <w:bCs w:val="0"/>
          <w:sz w:val="22"/>
        </w:rPr>
        <w:t>Violation – the AFF is an energy partnership</w:t>
      </w:r>
    </w:p>
    <w:p w:rsidR="00E4381D" w:rsidRDefault="00E4381D" w:rsidP="00E4381D">
      <w:pPr>
        <w:rPr>
          <w:rFonts w:asciiTheme="minorHAnsi" w:hAnsiTheme="minorHAnsi"/>
          <w:b/>
        </w:rPr>
      </w:pPr>
    </w:p>
    <w:p w:rsidR="00E4381D" w:rsidRDefault="00E4381D" w:rsidP="00E4381D">
      <w:pPr>
        <w:rPr>
          <w:rFonts w:asciiTheme="minorHAnsi" w:hAnsiTheme="minorHAnsi"/>
          <w:b/>
        </w:rPr>
      </w:pPr>
      <w:r>
        <w:rPr>
          <w:rFonts w:asciiTheme="minorHAnsi" w:hAnsiTheme="minorHAnsi"/>
          <w:b/>
        </w:rPr>
        <w:t xml:space="preserve">Voting issue – </w:t>
      </w:r>
    </w:p>
    <w:p w:rsidR="00E4381D" w:rsidRDefault="00E4381D" w:rsidP="00E4381D">
      <w:pPr>
        <w:rPr>
          <w:rFonts w:asciiTheme="minorHAnsi" w:hAnsiTheme="minorHAnsi"/>
          <w:b/>
        </w:rPr>
      </w:pPr>
    </w:p>
    <w:p w:rsidR="00E4381D" w:rsidRDefault="00E4381D" w:rsidP="00E4381D">
      <w:pPr>
        <w:pStyle w:val="ListParagraph"/>
        <w:numPr>
          <w:ilvl w:val="0"/>
          <w:numId w:val="1"/>
        </w:numPr>
        <w:rPr>
          <w:rFonts w:asciiTheme="minorHAnsi" w:hAnsiTheme="minorHAnsi"/>
          <w:b/>
        </w:rPr>
      </w:pPr>
      <w:r>
        <w:rPr>
          <w:rFonts w:asciiTheme="minorHAnsi" w:hAnsiTheme="minorHAnsi"/>
          <w:b/>
        </w:rPr>
        <w:t>Limits – opening the floodgates to other types of engagement make the topic massive and unpredictable – this hurts NEG preparation, which is key to competitiveness and clash</w:t>
      </w:r>
    </w:p>
    <w:p w:rsidR="00E4381D" w:rsidRDefault="00E4381D" w:rsidP="00E4381D">
      <w:pPr>
        <w:pStyle w:val="ListParagraph"/>
        <w:rPr>
          <w:rFonts w:asciiTheme="minorHAnsi" w:hAnsiTheme="minorHAnsi"/>
          <w:b/>
        </w:rPr>
      </w:pPr>
    </w:p>
    <w:p w:rsidR="00E4381D" w:rsidRDefault="00E4381D" w:rsidP="00E4381D">
      <w:pPr>
        <w:pStyle w:val="ListParagraph"/>
        <w:numPr>
          <w:ilvl w:val="0"/>
          <w:numId w:val="1"/>
        </w:numPr>
        <w:rPr>
          <w:rFonts w:asciiTheme="minorHAnsi" w:hAnsiTheme="minorHAnsi"/>
          <w:b/>
        </w:rPr>
      </w:pPr>
      <w:r>
        <w:rPr>
          <w:rFonts w:asciiTheme="minorHAnsi" w:hAnsiTheme="minorHAnsi"/>
          <w:b/>
        </w:rPr>
        <w:t xml:space="preserve">Ground – gives them unique advantage areas and guts generics like the politics DA and Neolib K that are key to negative strategy on a topic with few common linkages </w:t>
      </w:r>
    </w:p>
    <w:p w:rsidR="00E4381D" w:rsidRDefault="00E4381D" w:rsidP="00E4381D">
      <w:pPr>
        <w:rPr>
          <w:rFonts w:asciiTheme="minorHAnsi" w:hAnsiTheme="minorHAnsi"/>
          <w:b/>
        </w:rPr>
      </w:pPr>
    </w:p>
    <w:p w:rsidR="00E4381D" w:rsidRPr="00BF59A1" w:rsidRDefault="00E4381D" w:rsidP="00E4381D"/>
    <w:p w:rsidR="00E4381D" w:rsidRPr="00864A4C" w:rsidRDefault="00E4381D" w:rsidP="00E4381D">
      <w:pPr>
        <w:pStyle w:val="Heading3"/>
      </w:pPr>
      <w:r>
        <w:lastRenderedPageBreak/>
        <w:t>cp</w:t>
      </w:r>
    </w:p>
    <w:p w:rsidR="00E4381D" w:rsidRDefault="00E4381D" w:rsidP="00E4381D">
      <w:pPr>
        <w:pStyle w:val="Heading4"/>
        <w:rPr>
          <w:rFonts w:asciiTheme="minorHAnsi" w:hAnsiTheme="minorHAnsi"/>
        </w:rPr>
      </w:pPr>
      <w:r w:rsidRPr="00E2286B">
        <w:rPr>
          <w:rFonts w:asciiTheme="minorHAnsi" w:hAnsiTheme="minorHAnsi"/>
        </w:rPr>
        <w:t xml:space="preserve">The United States federal government should condition </w:t>
      </w:r>
      <w:r>
        <w:rPr>
          <w:rFonts w:asciiTheme="minorHAnsi" w:hAnsiTheme="minorHAnsi"/>
        </w:rPr>
        <w:t>a substantial</w:t>
      </w:r>
      <w:r w:rsidRPr="006623ED">
        <w:rPr>
          <w:rFonts w:asciiTheme="minorHAnsi" w:hAnsiTheme="minorHAnsi"/>
        </w:rPr>
        <w:t xml:space="preserve"> increase </w:t>
      </w:r>
      <w:r>
        <w:rPr>
          <w:rFonts w:asciiTheme="minorHAnsi" w:hAnsiTheme="minorHAnsi"/>
        </w:rPr>
        <w:t xml:space="preserve">in </w:t>
      </w:r>
      <w:r w:rsidRPr="006623ED">
        <w:rPr>
          <w:rFonts w:asciiTheme="minorHAnsi" w:hAnsiTheme="minorHAnsi"/>
        </w:rPr>
        <w:t>its necessary equitable nanotechnology ec</w:t>
      </w:r>
      <w:r>
        <w:rPr>
          <w:rFonts w:asciiTheme="minorHAnsi" w:hAnsiTheme="minorHAnsi"/>
        </w:rPr>
        <w:t>onomic engagement toward Mexico</w:t>
      </w:r>
      <w:r w:rsidRPr="00E2286B">
        <w:rPr>
          <w:rFonts w:asciiTheme="minorHAnsi" w:hAnsiTheme="minorHAnsi"/>
        </w:rPr>
        <w:t xml:space="preserve"> </w:t>
      </w:r>
      <w:r>
        <w:rPr>
          <w:rFonts w:asciiTheme="minorHAnsi" w:hAnsiTheme="minorHAnsi"/>
        </w:rPr>
        <w:t>on the federal government of Mexico meeting the human rights requirements of the Mérida Initiative.</w:t>
      </w:r>
    </w:p>
    <w:p w:rsidR="00E4381D" w:rsidRPr="00E2286B" w:rsidRDefault="00E4381D" w:rsidP="00E4381D">
      <w:pPr>
        <w:pStyle w:val="Heading4"/>
        <w:rPr>
          <w:rFonts w:asciiTheme="minorHAnsi" w:hAnsiTheme="minorHAnsi"/>
        </w:rPr>
      </w:pPr>
      <w:r>
        <w:rPr>
          <w:rFonts w:asciiTheme="minorHAnsi" w:hAnsiTheme="minorHAnsi"/>
        </w:rPr>
        <w:t xml:space="preserve">US Human Rights credibility is low now because we give Merida funds to Mexico even though they haven’t met the human rights requirements for them - it </w:t>
      </w:r>
      <w:r w:rsidRPr="00E2286B">
        <w:rPr>
          <w:rFonts w:asciiTheme="minorHAnsi" w:hAnsiTheme="minorHAnsi"/>
        </w:rPr>
        <w:t>send</w:t>
      </w:r>
      <w:r>
        <w:rPr>
          <w:rFonts w:asciiTheme="minorHAnsi" w:hAnsiTheme="minorHAnsi"/>
        </w:rPr>
        <w:t>s</w:t>
      </w:r>
      <w:r w:rsidRPr="00E2286B">
        <w:rPr>
          <w:rFonts w:asciiTheme="minorHAnsi" w:hAnsiTheme="minorHAnsi"/>
        </w:rPr>
        <w:t xml:space="preserve"> the message that US condones torture, rape, and disappearances – reinforces organized crime</w:t>
      </w:r>
      <w:r>
        <w:rPr>
          <w:rFonts w:asciiTheme="minorHAnsi" w:hAnsiTheme="minorHAnsi"/>
        </w:rPr>
        <w:t xml:space="preserve"> – credibly conditioning the plan is key to reverse this</w:t>
      </w:r>
    </w:p>
    <w:p w:rsidR="00E4381D" w:rsidRPr="0029779C" w:rsidRDefault="00E4381D" w:rsidP="00E4381D">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latin america and quotes the state department's report "Congress: Withhold Funds for Mexico Tied to Human Rights Performance" 9/14/10, </w:t>
      </w:r>
      <w:hyperlink r:id="rId11"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E4381D" w:rsidRDefault="00E4381D" w:rsidP="00E4381D">
      <w:r w:rsidRPr="00E4381D">
        <w:t xml:space="preserve">The US government significantly strengthened its partnership with Mexico in combating organized crime in 2007 </w:t>
      </w:r>
    </w:p>
    <w:p w:rsidR="00E4381D" w:rsidRDefault="00E4381D" w:rsidP="00E4381D">
      <w:r>
        <w:t>AND</w:t>
      </w:r>
    </w:p>
    <w:p w:rsidR="00E4381D" w:rsidRPr="00E4381D" w:rsidRDefault="00E4381D" w:rsidP="00E4381D">
      <w:r w:rsidRPr="00E4381D">
        <w:t xml:space="preserve">established by Congress, particularly those dealing with prosecuting military abuses and torture: </w:t>
      </w:r>
    </w:p>
    <w:p w:rsidR="00E4381D" w:rsidRDefault="00E4381D" w:rsidP="00E4381D">
      <w:pPr>
        <w:rPr>
          <w:rFonts w:asciiTheme="minorHAnsi" w:hAnsiTheme="minorHAnsi"/>
          <w:sz w:val="16"/>
        </w:rPr>
      </w:pPr>
    </w:p>
    <w:p w:rsidR="00E4381D" w:rsidRPr="006623ED" w:rsidRDefault="00E4381D" w:rsidP="00E4381D"/>
    <w:p w:rsidR="00E4381D" w:rsidRDefault="00E4381D" w:rsidP="00E4381D"/>
    <w:p w:rsidR="00E4381D" w:rsidRPr="00BF59A1" w:rsidRDefault="00E4381D" w:rsidP="00E4381D"/>
    <w:p w:rsidR="00E4381D" w:rsidRDefault="00E4381D" w:rsidP="00E4381D">
      <w:pPr>
        <w:pStyle w:val="Heading4"/>
      </w:pPr>
    </w:p>
    <w:p w:rsidR="00E4381D" w:rsidRDefault="00E4381D" w:rsidP="00E4381D">
      <w:pPr>
        <w:pStyle w:val="Heading3"/>
      </w:pPr>
      <w:r>
        <w:lastRenderedPageBreak/>
        <w:t>k</w:t>
      </w:r>
    </w:p>
    <w:p w:rsidR="00E4381D" w:rsidRPr="00877752" w:rsidRDefault="00E4381D" w:rsidP="00E4381D"/>
    <w:p w:rsidR="00E4381D" w:rsidRPr="00877752" w:rsidRDefault="00E4381D" w:rsidP="00E4381D">
      <w:pPr>
        <w:pStyle w:val="Heading4"/>
        <w:rPr>
          <w:rFonts w:cs="Times New Roman"/>
        </w:rPr>
      </w:pPr>
      <w:r w:rsidRPr="00877752">
        <w:rPr>
          <w:rFonts w:cs="Times New Roman"/>
        </w:rPr>
        <w:t>The aff</w:t>
      </w:r>
      <w:r>
        <w:rPr>
          <w:rFonts w:cs="Times New Roman"/>
        </w:rPr>
        <w:t>irmative</w:t>
      </w:r>
      <w:r w:rsidRPr="00877752">
        <w:rPr>
          <w:rFonts w:cs="Times New Roman"/>
        </w:rPr>
        <w:t xml:space="preserve"> is controlled by walking dildos and approaches the public sphere with male privilege by assuming a gender - neutral political subject. This renders the female body invisible</w:t>
      </w:r>
    </w:p>
    <w:p w:rsidR="00E4381D" w:rsidRPr="00877752" w:rsidRDefault="00E4381D" w:rsidP="00E4381D">
      <w:pPr>
        <w:rPr>
          <w:b/>
          <w:bCs/>
          <w:sz w:val="26"/>
        </w:rPr>
      </w:pPr>
      <w:r w:rsidRPr="00877752">
        <w:rPr>
          <w:rStyle w:val="StyleStyleBold12pt"/>
        </w:rPr>
        <w:t>Fraser 90 (</w:t>
      </w:r>
      <w:r w:rsidRPr="00877752">
        <w:rPr>
          <w:rFonts w:eastAsia="Calibri"/>
        </w:rPr>
        <w:t>Nancy Fraser, “Rethinking the Public Sphere: A Contribution to the Critique of Actually Existing Democracy”, Social Text, No 25/26 (1990), pp. 60-61, Duke University Press, jstor.org/stable/466240 // candle)</w:t>
      </w:r>
    </w:p>
    <w:p w:rsidR="00E4381D" w:rsidRDefault="00E4381D" w:rsidP="00E4381D">
      <w:r w:rsidRPr="00E4381D">
        <w:t xml:space="preserve">Now, let me juxtapose to this sketch of Habermas's account an alternative account that </w:t>
      </w:r>
    </w:p>
    <w:p w:rsidR="00E4381D" w:rsidRDefault="00E4381D" w:rsidP="00E4381D">
      <w:r>
        <w:t>AND</w:t>
      </w:r>
    </w:p>
    <w:p w:rsidR="00E4381D" w:rsidRPr="00E4381D" w:rsidRDefault="00E4381D" w:rsidP="00E4381D">
      <w:r w:rsidRPr="00E4381D">
        <w:t>status distinctions are bracketed and neutralized is not sufficient to make it so.</w:t>
      </w:r>
    </w:p>
    <w:p w:rsidR="00E4381D" w:rsidRDefault="00E4381D" w:rsidP="00E4381D">
      <w:pPr>
        <w:rPr>
          <w:rStyle w:val="StyleBoldUnderline"/>
        </w:rPr>
      </w:pPr>
    </w:p>
    <w:p w:rsidR="00E4381D" w:rsidRPr="00877752" w:rsidRDefault="00E4381D" w:rsidP="00E4381D">
      <w:pPr>
        <w:pStyle w:val="Heading4"/>
      </w:pPr>
      <w:r w:rsidRPr="00877752">
        <w:t>Violence should be understand as a continuum that affects all women – it has been constructed as the norm in relationships between men and women. It is the expectation that there will be violence. There no longer remains a distinction between abused and non-abused.  Violence against women represents sexual terrorism, a war on women where bodies are the physical territory upon which war is fought. This turns all impacts.</w:t>
      </w:r>
    </w:p>
    <w:p w:rsidR="00E4381D" w:rsidRPr="00877752" w:rsidRDefault="00E4381D" w:rsidP="00E4381D">
      <w:r w:rsidRPr="00877752">
        <w:rPr>
          <w:rStyle w:val="StyleStyleBold12pt"/>
        </w:rPr>
        <w:t>Ray 97</w:t>
      </w:r>
      <w:r w:rsidRPr="00877752">
        <w:t xml:space="preserve"> (Amy E. Ray, “The Shame Of It: Gender-Based Terrorism In The Former Yugoslavia And The Failure of International Human Rights Law To Comprehend The Injuries,” The American University Law Review. Vol 46. , pp. 835-838, http://digitalcommons.wcl.american.edu/cgi/viewcontent.cgi?article=1380&amp;context=aulr, // candle)</w:t>
      </w:r>
    </w:p>
    <w:p w:rsidR="00E4381D" w:rsidRDefault="00E4381D" w:rsidP="00E4381D">
      <w:r w:rsidRPr="00E4381D">
        <w:t xml:space="preserve">Transforming the human rights concept from a feminist perspective. . . relates women's rights </w:t>
      </w:r>
    </w:p>
    <w:p w:rsidR="00E4381D" w:rsidRDefault="00E4381D" w:rsidP="00E4381D">
      <w:r>
        <w:t>AND</w:t>
      </w:r>
    </w:p>
    <w:p w:rsidR="00E4381D" w:rsidRPr="00E4381D" w:rsidRDefault="00E4381D" w:rsidP="00E4381D">
      <w:r w:rsidRPr="00E4381D">
        <w:t xml:space="preserve">the] political struggle [over female subordination] is women's bodies."272 </w:t>
      </w:r>
    </w:p>
    <w:p w:rsidR="00E4381D" w:rsidRPr="00877752" w:rsidRDefault="00E4381D" w:rsidP="00E4381D"/>
    <w:p w:rsidR="00E4381D" w:rsidRPr="00877752" w:rsidRDefault="00E4381D" w:rsidP="00E4381D">
      <w:pPr>
        <w:pStyle w:val="Heading4"/>
        <w:rPr>
          <w:rFonts w:cs="Times New Roman"/>
        </w:rPr>
      </w:pPr>
      <w:r w:rsidRPr="00877752">
        <w:rPr>
          <w:rFonts w:cs="Times New Roman"/>
        </w:rPr>
        <w:t xml:space="preserve">Our Alternative is a castration of the system – separating us from the phallocentric logic of the polis. A method of radical female revolution through a lesbian separatist society refuses male presence. </w:t>
      </w:r>
    </w:p>
    <w:p w:rsidR="00E4381D" w:rsidRPr="00877752" w:rsidRDefault="00E4381D" w:rsidP="00E4381D">
      <w:pPr>
        <w:pStyle w:val="Heading4"/>
        <w:rPr>
          <w:rFonts w:cs="Times New Roman"/>
        </w:rPr>
      </w:pPr>
      <w:r w:rsidRPr="00877752">
        <w:rPr>
          <w:rFonts w:cs="Times New Roman"/>
        </w:rPr>
        <w:t>Only reclaiming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E4381D" w:rsidRPr="00877752" w:rsidRDefault="00E4381D" w:rsidP="00E4381D">
      <w:pPr>
        <w:rPr>
          <w:rFonts w:eastAsia="Calibri" w:cs="Times New Roman"/>
        </w:rPr>
      </w:pPr>
      <w:r w:rsidRPr="00877752">
        <w:rPr>
          <w:rFonts w:eastAsia="Calibri"/>
          <w:b/>
          <w:sz w:val="24"/>
          <w:szCs w:val="24"/>
        </w:rPr>
        <w:t>Radicalesbians 1970</w:t>
      </w:r>
      <w:r w:rsidRPr="00877752">
        <w:rPr>
          <w:rFonts w:eastAsia="Calibri"/>
          <w:b/>
        </w:rPr>
        <w:t xml:space="preserve"> </w:t>
      </w:r>
      <w:r w:rsidRPr="00877752">
        <w:rPr>
          <w:rFonts w:eastAsia="Calibri"/>
        </w:rPr>
        <w:t xml:space="preserve">[Radicalesbians, 1970, “The Woman Identified Woman,” </w:t>
      </w:r>
      <w:hyperlink r:id="rId12" w:history="1">
        <w:r w:rsidRPr="00877752">
          <w:rPr>
            <w:rStyle w:val="Hyperlink"/>
            <w:rFonts w:eastAsia="Calibri"/>
          </w:rPr>
          <w:t>http://scriptorium.lib.duke.edu/wlm/womid //</w:t>
        </w:r>
      </w:hyperlink>
      <w:r w:rsidRPr="00877752">
        <w:rPr>
          <w:rFonts w:eastAsia="Calibri"/>
        </w:rPr>
        <w:t xml:space="preserve"> candle]</w:t>
      </w:r>
    </w:p>
    <w:p w:rsidR="00E4381D" w:rsidRDefault="00E4381D" w:rsidP="00E4381D">
      <w:r w:rsidRPr="00E4381D">
        <w:t xml:space="preserve">What is a lesbian? A lesbian is the rage of all women condensed to </w:t>
      </w:r>
    </w:p>
    <w:p w:rsidR="00E4381D" w:rsidRDefault="00E4381D" w:rsidP="00E4381D">
      <w:r>
        <w:t>AND</w:t>
      </w:r>
    </w:p>
    <w:p w:rsidR="00E4381D" w:rsidRPr="00E4381D" w:rsidRDefault="00E4381D" w:rsidP="00E4381D">
      <w:r w:rsidRPr="00E4381D">
        <w:t>women from forming any primary attachments, groups, or associations among ourselves.</w:t>
      </w:r>
    </w:p>
    <w:p w:rsidR="00E4381D" w:rsidRDefault="00E4381D" w:rsidP="00E4381D">
      <w:pPr>
        <w:rPr>
          <w:rStyle w:val="StyleBoldUnderline"/>
        </w:rPr>
      </w:pPr>
    </w:p>
    <w:p w:rsidR="00E4381D" w:rsidRPr="00877752" w:rsidRDefault="00E4381D" w:rsidP="00E4381D">
      <w:pPr>
        <w:pStyle w:val="Heading4"/>
        <w:rPr>
          <w:rStyle w:val="StyleBoldUnderline"/>
        </w:rPr>
      </w:pPr>
      <w:r>
        <w:rPr>
          <w:rStyle w:val="StyleBoldUnderline"/>
        </w:rPr>
        <w:lastRenderedPageBreak/>
        <w:t xml:space="preserve">Extend their 1NC Campbell evidence from the solvency flow – it says that </w:t>
      </w:r>
      <w:r w:rsidRPr="000445E7">
        <w:rPr>
          <w:rFonts w:ascii="Times New Roman" w:hAnsi="Times New Roman" w:cs="Times New Roman"/>
          <w:highlight w:val="magenta"/>
          <w:u w:val="single"/>
        </w:rPr>
        <w:t>Feminist activists</w:t>
      </w:r>
      <w:r w:rsidRPr="00C81F37">
        <w:rPr>
          <w:rFonts w:ascii="Times New Roman" w:hAnsi="Times New Roman" w:cs="Times New Roman"/>
          <w:u w:val="single"/>
        </w:rPr>
        <w:t xml:space="preserve"> and scholars have much to </w:t>
      </w:r>
      <w:r w:rsidRPr="000445E7">
        <w:rPr>
          <w:rFonts w:ascii="Times New Roman" w:hAnsi="Times New Roman" w:cs="Times New Roman"/>
          <w:highlight w:val="magenta"/>
          <w:u w:val="single"/>
        </w:rPr>
        <w:t>contribute to</w:t>
      </w:r>
      <w:r w:rsidRPr="00C81F37">
        <w:rPr>
          <w:rFonts w:ascii="Times New Roman" w:hAnsi="Times New Roman" w:cs="Times New Roman"/>
        </w:rPr>
        <w:t xml:space="preserve"> the analysis of phenomena on which </w:t>
      </w:r>
      <w:r w:rsidRPr="000445E7">
        <w:rPr>
          <w:rFonts w:ascii="Times New Roman" w:hAnsi="Times New Roman" w:cs="Times New Roman"/>
          <w:highlight w:val="magenta"/>
          <w:u w:val="single"/>
        </w:rPr>
        <w:t>reconstructivists</w:t>
      </w:r>
      <w:r w:rsidRPr="00C81F37">
        <w:rPr>
          <w:rFonts w:ascii="Times New Roman" w:hAnsi="Times New Roman" w:cs="Times New Roman"/>
          <w:u w:val="single"/>
        </w:rPr>
        <w:t xml:space="preserve"> </w:t>
      </w:r>
      <w:r w:rsidRPr="000445E7">
        <w:rPr>
          <w:rFonts w:ascii="Times New Roman" w:hAnsi="Times New Roman" w:cs="Times New Roman"/>
          <w:highlight w:val="magenta"/>
          <w:u w:val="single"/>
        </w:rPr>
        <w:t>work: trade liberalization, nano</w:t>
      </w:r>
      <w:r w:rsidRPr="00C81F37">
        <w:rPr>
          <w:rFonts w:ascii="Times New Roman" w:hAnsi="Times New Roman" w:cs="Times New Roman"/>
          <w:u w:val="single"/>
        </w:rPr>
        <w:t>- technology</w:t>
      </w:r>
      <w:r>
        <w:rPr>
          <w:rFonts w:ascii="Times New Roman" w:hAnsi="Times New Roman" w:cs="Times New Roman"/>
          <w:u w:val="single"/>
        </w:rPr>
        <w:t xml:space="preserve">  </w:t>
      </w:r>
      <w:r w:rsidRPr="00D169A0">
        <w:t>and that</w:t>
      </w:r>
      <w:r>
        <w:rPr>
          <w:rStyle w:val="StyleBoldUnderline"/>
        </w:rPr>
        <w:t xml:space="preserve">  </w:t>
      </w:r>
      <w:r w:rsidRPr="000445E7">
        <w:rPr>
          <w:rFonts w:ascii="Times New Roman" w:hAnsi="Times New Roman" w:cs="Times New Roman"/>
          <w:highlight w:val="magenta"/>
          <w:u w:val="single"/>
        </w:rPr>
        <w:t>Inequality is structured into</w:t>
      </w:r>
      <w:r w:rsidRPr="00C81F37">
        <w:rPr>
          <w:rFonts w:ascii="Times New Roman" w:hAnsi="Times New Roman" w:cs="Times New Roman"/>
          <w:u w:val="single"/>
        </w:rPr>
        <w:t xml:space="preserve"> who does science; </w:t>
      </w:r>
      <w:r w:rsidRPr="000445E7">
        <w:rPr>
          <w:rFonts w:ascii="Times New Roman" w:hAnsi="Times New Roman" w:cs="Times New Roman"/>
          <w:highlight w:val="magenta"/>
          <w:u w:val="single"/>
        </w:rPr>
        <w:t>what science is supported by government</w:t>
      </w:r>
      <w:r w:rsidRPr="00C81F37">
        <w:rPr>
          <w:rFonts w:ascii="Times New Roman" w:hAnsi="Times New Roman" w:cs="Times New Roman"/>
          <w:u w:val="single"/>
        </w:rPr>
        <w:t>,</w:t>
      </w:r>
      <w:r w:rsidRPr="00C81F37">
        <w:rPr>
          <w:rFonts w:ascii="Times New Roman" w:hAnsi="Times New Roman" w:cs="Times New Roman"/>
        </w:rPr>
        <w:t xml:space="preserve"> academia, and industry; </w:t>
      </w:r>
      <w:r w:rsidRPr="000445E7">
        <w:rPr>
          <w:rFonts w:ascii="Times New Roman" w:hAnsi="Times New Roman" w:cs="Times New Roman"/>
          <w:highlight w:val="magenta"/>
          <w:u w:val="single"/>
        </w:rPr>
        <w:t>for whom</w:t>
      </w:r>
      <w:r w:rsidRPr="00C81F37">
        <w:rPr>
          <w:rFonts w:ascii="Times New Roman" w:hAnsi="Times New Roman" w:cs="Times New Roman"/>
          <w:u w:val="single"/>
        </w:rPr>
        <w:t xml:space="preserve"> scientific </w:t>
      </w:r>
      <w:r w:rsidRPr="000445E7">
        <w:rPr>
          <w:rFonts w:ascii="Times New Roman" w:hAnsi="Times New Roman" w:cs="Times New Roman"/>
          <w:highlight w:val="magenta"/>
          <w:u w:val="single"/>
        </w:rPr>
        <w:t>knowledge</w:t>
      </w:r>
      <w:r w:rsidRPr="00C81F37">
        <w:rPr>
          <w:rFonts w:ascii="Times New Roman" w:hAnsi="Times New Roman" w:cs="Times New Roman"/>
          <w:u w:val="single"/>
        </w:rPr>
        <w:t xml:space="preserve"> </w:t>
      </w:r>
      <w:r w:rsidRPr="000445E7">
        <w:rPr>
          <w:rFonts w:ascii="Times New Roman" w:hAnsi="Times New Roman" w:cs="Times New Roman"/>
          <w:highlight w:val="magenta"/>
          <w:u w:val="single"/>
        </w:rPr>
        <w:t>is produced</w:t>
      </w:r>
      <w:r>
        <w:rPr>
          <w:rStyle w:val="StyleBoldUnderline"/>
        </w:rPr>
        <w:t xml:space="preserve"> – the K is an alt cause to the aff and means that our alternative is  a key starting point</w:t>
      </w:r>
    </w:p>
    <w:p w:rsidR="00E4381D" w:rsidRDefault="00E4381D" w:rsidP="00E4381D"/>
    <w:p w:rsidR="00E4381D" w:rsidRPr="00877752" w:rsidRDefault="00E4381D" w:rsidP="00E4381D">
      <w:pPr>
        <w:pStyle w:val="Heading4"/>
      </w:pPr>
      <w:r w:rsidRPr="00877752">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E4381D" w:rsidRPr="00877752" w:rsidRDefault="00E4381D" w:rsidP="00E4381D">
      <w:r w:rsidRPr="00877752">
        <w:rPr>
          <w:rStyle w:val="StyleStyleBold12pt"/>
        </w:rPr>
        <w:t>Kaplow 73</w:t>
      </w:r>
      <w:r w:rsidRPr="00877752">
        <w:rPr>
          <w:b/>
        </w:rPr>
        <w:t xml:space="preserve"> </w:t>
      </w:r>
      <w:r w:rsidRPr="00877752">
        <w:t>(Susi was part of the nucleus of the now expanded women's liberation group in Paris in 1970, later joining the New York Radical Feminists and organizing four consciousnes-raising groups in addition to being on the organizing committee for the Speak-out on Rape in NYC in 1971, "Getting Angry", published in Radical Feminism, 1973, Quadrangle, www.feminist-reprise.org/docs/kaplow.htm // candle)</w:t>
      </w:r>
    </w:p>
    <w:p w:rsidR="00E4381D" w:rsidRDefault="00E4381D" w:rsidP="00E4381D">
      <w:r w:rsidRPr="00E4381D">
        <w:t xml:space="preserve">Two scenarios: An angry man: someone has infringed on his rights, gone </w:t>
      </w:r>
    </w:p>
    <w:p w:rsidR="00E4381D" w:rsidRDefault="00E4381D" w:rsidP="00E4381D">
      <w:r>
        <w:t>AND</w:t>
      </w:r>
    </w:p>
    <w:p w:rsidR="00E4381D" w:rsidRPr="00E4381D" w:rsidRDefault="00E4381D" w:rsidP="00E4381D">
      <w:r w:rsidRPr="00E4381D">
        <w:t>personal to the political and becomes a force for shaping our new destiny.</w:t>
      </w:r>
    </w:p>
    <w:p w:rsidR="00E4381D" w:rsidRDefault="00E4381D" w:rsidP="00E4381D"/>
    <w:p w:rsidR="00E4381D" w:rsidRDefault="00E4381D" w:rsidP="00E4381D">
      <w:pPr>
        <w:pStyle w:val="Heading3"/>
      </w:pPr>
      <w:r>
        <w:lastRenderedPageBreak/>
        <w:t>da</w:t>
      </w:r>
    </w:p>
    <w:p w:rsidR="00E4381D" w:rsidRDefault="00E4381D" w:rsidP="00E4381D">
      <w:pPr>
        <w:pStyle w:val="Heading4"/>
      </w:pPr>
      <w:r>
        <w:t>Farm bill will pass – EPA decision gives it momentum</w:t>
      </w:r>
    </w:p>
    <w:p w:rsidR="00E4381D" w:rsidRPr="002A2CB7" w:rsidRDefault="00E4381D" w:rsidP="00E4381D">
      <w:r w:rsidRPr="00C97C18">
        <w:rPr>
          <w:rStyle w:val="StyleStyleBold12pt"/>
        </w:rPr>
        <w:t>Wasson 11-19</w:t>
      </w:r>
      <w:r>
        <w:t xml:space="preserve"> – Staff writer at The Hill (Erik, “EPA ethanol decision pushes farm bill toward finish line”, November 19 of 2013, </w:t>
      </w:r>
      <w:hyperlink r:id="rId13" w:history="1">
        <w:r>
          <w:rPr>
            <w:rStyle w:val="Hyperlink"/>
          </w:rPr>
          <w:t>http://thehill.com/blogs/on-the-money/agriculture/190777-epa-ethanol-decision-pushes-farm-bill-toward-finish-line</w:t>
        </w:r>
      </w:hyperlink>
      <w:r>
        <w:t>)</w:t>
      </w:r>
    </w:p>
    <w:p w:rsidR="00E4381D" w:rsidRDefault="00E4381D" w:rsidP="00E4381D">
      <w:r w:rsidRPr="00E4381D">
        <w:t xml:space="preserve">The Environmental Protection Agency’s preliminary decision to reduce renewable fuels blending requirements has increased momentum </w:t>
      </w:r>
    </w:p>
    <w:p w:rsidR="00E4381D" w:rsidRDefault="00E4381D" w:rsidP="00E4381D">
      <w:r>
        <w:t>AND</w:t>
      </w:r>
    </w:p>
    <w:p w:rsidR="00E4381D" w:rsidRPr="00E4381D" w:rsidRDefault="00E4381D" w:rsidP="00E4381D">
      <w:r w:rsidRPr="00E4381D">
        <w:t>the first time the agency has lowered the target from the prior year.</w:t>
      </w:r>
    </w:p>
    <w:p w:rsidR="00E4381D" w:rsidRDefault="00E4381D" w:rsidP="00E4381D">
      <w:pPr>
        <w:rPr>
          <w:sz w:val="16"/>
        </w:rPr>
      </w:pPr>
    </w:p>
    <w:p w:rsidR="00E4381D" w:rsidRPr="00996A58" w:rsidRDefault="00E4381D" w:rsidP="00E4381D">
      <w:pPr>
        <w:pStyle w:val="Heading4"/>
      </w:pPr>
      <w:r w:rsidRPr="00996A58">
        <w:t>Plan trades off</w:t>
      </w:r>
    </w:p>
    <w:p w:rsidR="00E4381D" w:rsidRDefault="00E4381D" w:rsidP="00E4381D">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E4381D" w:rsidRDefault="00E4381D" w:rsidP="00E4381D">
      <w:r w:rsidRPr="00E4381D">
        <w:t xml:space="preserve">"By the time a second term rolls around, the illusions about a president </w:t>
      </w:r>
    </w:p>
    <w:p w:rsidR="00E4381D" w:rsidRDefault="00E4381D" w:rsidP="00E4381D">
      <w:r>
        <w:t>AND</w:t>
      </w:r>
    </w:p>
    <w:p w:rsidR="00E4381D" w:rsidRPr="00E4381D" w:rsidRDefault="00E4381D" w:rsidP="00E4381D">
      <w:r w:rsidRPr="00E4381D">
        <w:t>, but not everything. Fighting too many battles could mean winning none.</w:t>
      </w:r>
    </w:p>
    <w:p w:rsidR="00E4381D" w:rsidRDefault="00E4381D" w:rsidP="00E4381D">
      <w:pPr>
        <w:ind w:left="288"/>
        <w:rPr>
          <w:rStyle w:val="Emphasis"/>
          <w:sz w:val="24"/>
          <w:szCs w:val="24"/>
        </w:rPr>
      </w:pPr>
    </w:p>
    <w:p w:rsidR="00E4381D" w:rsidRDefault="00E4381D" w:rsidP="00E4381D"/>
    <w:p w:rsidR="00E4381D" w:rsidRPr="00C97C18" w:rsidRDefault="00E4381D" w:rsidP="00E4381D">
      <w:pPr>
        <w:pStyle w:val="Heading4"/>
      </w:pPr>
      <w:r w:rsidRPr="00C97C18">
        <w:t>New farm bill key to prevent a food price spike</w:t>
      </w:r>
    </w:p>
    <w:p w:rsidR="00E4381D" w:rsidRDefault="00E4381D" w:rsidP="00E4381D">
      <w:r>
        <w:rPr>
          <w:rStyle w:val="StyleStyleBold12pt"/>
        </w:rPr>
        <w:t>Nelson 10/17</w:t>
      </w:r>
      <w:r>
        <w:t>/13 [Joe Nelson, writer for WEAU news, “Obama, ag industry waiting for new Farm bill,” http://www.weau.com/home/headlines/Obama-ag-industry-waiting-for-new-Farm-Bill-228259521.html]</w:t>
      </w:r>
    </w:p>
    <w:p w:rsidR="00E4381D" w:rsidRDefault="00E4381D" w:rsidP="00E4381D">
      <w:r w:rsidRPr="00E4381D">
        <w:t xml:space="preserve">With the government shutdown over, farmers are still waiting for a deal to be </w:t>
      </w:r>
    </w:p>
    <w:p w:rsidR="00E4381D" w:rsidRDefault="00E4381D" w:rsidP="00E4381D">
      <w:r>
        <w:t>AND</w:t>
      </w:r>
    </w:p>
    <w:p w:rsidR="00E4381D" w:rsidRPr="00E4381D" w:rsidRDefault="00E4381D" w:rsidP="00E4381D">
      <w:r w:rsidRPr="00E4381D">
        <w:t>could cut down profits or even force some farmers to quit or retire.</w:t>
      </w:r>
    </w:p>
    <w:p w:rsidR="00E4381D" w:rsidRPr="00C97C18" w:rsidRDefault="00E4381D" w:rsidP="00E4381D">
      <w:pPr>
        <w:pStyle w:val="Heading4"/>
      </w:pPr>
      <w:r w:rsidRPr="00C97C18">
        <w:t>Extinction</w:t>
      </w:r>
    </w:p>
    <w:p w:rsidR="00E4381D" w:rsidRDefault="00E4381D" w:rsidP="00E4381D">
      <w:pPr>
        <w:rPr>
          <w:rStyle w:val="UnderlineBold"/>
        </w:rPr>
      </w:pPr>
      <w:r>
        <w:rPr>
          <w:rStyle w:val="StyleStyleBold12pt"/>
        </w:rPr>
        <w:t>Brown 9</w:t>
      </w:r>
      <w:r>
        <w:t xml:space="preserve"> (Lester R, Founder of the Worldwatch Institute and the Earth Policy Institute “Can Food Shortages Bring Down Civilization?” Scientific American, May, http://www.scientificamerican.com/article.cfm?id=civilization-food-shortages)</w:t>
      </w:r>
    </w:p>
    <w:p w:rsidR="00E4381D" w:rsidRDefault="00E4381D" w:rsidP="00E4381D">
      <w:r w:rsidRPr="00E4381D">
        <w:t xml:space="preserve">The biggest threat to global stability is the potential for food crises in poor countries </w:t>
      </w:r>
    </w:p>
    <w:p w:rsidR="00E4381D" w:rsidRDefault="00E4381D" w:rsidP="00E4381D">
      <w:r>
        <w:t>AND</w:t>
      </w:r>
    </w:p>
    <w:p w:rsidR="00E4381D" w:rsidRPr="00E4381D" w:rsidRDefault="00E4381D" w:rsidP="00E4381D">
      <w:r w:rsidRPr="00E4381D">
        <w:t>states disintegrate, their fall will threaten the stability of global civilization itself.</w:t>
      </w:r>
    </w:p>
    <w:p w:rsidR="00E4381D" w:rsidRDefault="00E4381D" w:rsidP="00E4381D">
      <w:pPr>
        <w:pStyle w:val="Heading3"/>
      </w:pPr>
      <w:r>
        <w:lastRenderedPageBreak/>
        <w:t>case</w:t>
      </w:r>
    </w:p>
    <w:p w:rsidR="00E4381D" w:rsidRPr="00C94973" w:rsidRDefault="00E4381D" w:rsidP="00E4381D">
      <w:pPr>
        <w:pStyle w:val="Heading4"/>
      </w:pPr>
      <w:r w:rsidRPr="00C94973">
        <w:t>Poverty down now</w:t>
      </w:r>
    </w:p>
    <w:p w:rsidR="00E4381D" w:rsidRPr="00C94973" w:rsidRDefault="00E4381D" w:rsidP="00E4381D">
      <w:pPr>
        <w:rPr>
          <w:rFonts w:asciiTheme="minorHAnsi" w:hAnsiTheme="minorHAnsi"/>
          <w:sz w:val="16"/>
        </w:rPr>
      </w:pPr>
      <w:r w:rsidRPr="00CA1805">
        <w:rPr>
          <w:rStyle w:val="StyleStyleBold12pt"/>
        </w:rPr>
        <w:t>Chen and Ravillion, 07</w:t>
      </w:r>
      <w:r w:rsidRPr="00C94973">
        <w:rPr>
          <w:rFonts w:asciiTheme="minorHAnsi" w:hAnsiTheme="minorHAnsi"/>
          <w:sz w:val="16"/>
        </w:rPr>
        <w:t>- *Senior Statistician in Development Economics Research Group at the World Bank, **Director of World Bank’s Development Research Group (Shaohua and Martin, “The Changing Profile of Poverty in the World”, October 2007, http://www.ifpri.org/2020Chinaconference/pdf/beijingbrief_ravallion2.pdf)</w:t>
      </w:r>
    </w:p>
    <w:p w:rsidR="00E4381D" w:rsidRDefault="00E4381D" w:rsidP="00E4381D">
      <w:r w:rsidRPr="00E4381D">
        <w:t xml:space="preserve">In absolute terms, the number of people in the developing world living on less </w:t>
      </w:r>
    </w:p>
    <w:p w:rsidR="00E4381D" w:rsidRDefault="00E4381D" w:rsidP="00E4381D">
      <w:r>
        <w:t>AND</w:t>
      </w:r>
    </w:p>
    <w:p w:rsidR="00E4381D" w:rsidRPr="00E4381D" w:rsidRDefault="00E4381D" w:rsidP="00E4381D">
      <w:r w:rsidRPr="00E4381D">
        <w:t>, in the aggregate, the world is on track to achieve MDG1.</w:t>
      </w:r>
    </w:p>
    <w:p w:rsidR="00E4381D" w:rsidRPr="00C94973" w:rsidRDefault="00E4381D" w:rsidP="00E4381D">
      <w:pPr>
        <w:rPr>
          <w:rFonts w:asciiTheme="minorHAnsi" w:hAnsiTheme="minorHAnsi"/>
        </w:rPr>
      </w:pPr>
    </w:p>
    <w:p w:rsidR="00E4381D" w:rsidRPr="00C94973" w:rsidRDefault="00E4381D" w:rsidP="00E4381D">
      <w:pPr>
        <w:pStyle w:val="Heading4"/>
      </w:pPr>
      <w:r>
        <w:t>We control uniqueness –well-</w:t>
      </w:r>
      <w:r w:rsidRPr="00C94973">
        <w:t>being increasing</w:t>
      </w:r>
    </w:p>
    <w:p w:rsidR="00E4381D" w:rsidRPr="00C94973" w:rsidRDefault="00E4381D" w:rsidP="00E4381D">
      <w:pPr>
        <w:rPr>
          <w:rFonts w:asciiTheme="minorHAnsi" w:hAnsiTheme="minorHAnsi"/>
          <w:sz w:val="18"/>
        </w:rPr>
      </w:pPr>
      <w:r w:rsidRPr="00CA1805">
        <w:rPr>
          <w:rStyle w:val="StyleStyleBold12pt"/>
        </w:rPr>
        <w:t>Goklany, 04</w:t>
      </w:r>
      <w:r>
        <w:rPr>
          <w:rStyle w:val="StyleStyleBold12pt"/>
        </w:rPr>
        <w:t xml:space="preserve"> </w:t>
      </w:r>
      <w:r w:rsidRPr="00C94973">
        <w:rPr>
          <w:rFonts w:asciiTheme="minorHAnsi" w:hAnsiTheme="minorHAnsi"/>
          <w:sz w:val="18"/>
        </w:rPr>
        <w:t xml:space="preserve">Property and Environment Research Center, Julian Simon Fellow, Ph.D. in Electrical Engineering, Former Chief of Technical Assessment Division at National Commission on Air Quality (Indur, “It’s Getting Better”, Ed. Terry Anderson, </w:t>
      </w:r>
      <w:hyperlink r:id="rId14" w:history="1">
        <w:r w:rsidRPr="00C94973">
          <w:rPr>
            <w:rStyle w:val="Hyperlink"/>
            <w:rFonts w:asciiTheme="minorHAnsi" w:hAnsiTheme="minorHAnsi"/>
            <w:sz w:val="18"/>
          </w:rPr>
          <w:t>http://members.cox.net/igoklany/Economic%20Growth%20Tech%20Change%20and%20Human%20Well-being%202004.pdf</w:t>
        </w:r>
      </w:hyperlink>
      <w:r w:rsidRPr="00C94973">
        <w:rPr>
          <w:rFonts w:asciiTheme="minorHAnsi" w:hAnsiTheme="minorHAnsi"/>
          <w:sz w:val="18"/>
        </w:rPr>
        <w:t>, KONTOPOULOS)</w:t>
      </w:r>
    </w:p>
    <w:p w:rsidR="00E4381D" w:rsidRDefault="00E4381D" w:rsidP="00E4381D">
      <w:r w:rsidRPr="00E4381D">
        <w:t xml:space="preserve">With this Neo-Malthusian vision of the future, the Global 2000 Report to </w:t>
      </w:r>
    </w:p>
    <w:p w:rsidR="00E4381D" w:rsidRDefault="00E4381D" w:rsidP="00E4381D">
      <w:r>
        <w:t>AND</w:t>
      </w:r>
    </w:p>
    <w:p w:rsidR="00E4381D" w:rsidRPr="00E4381D" w:rsidRDefault="00E4381D" w:rsidP="00E4381D">
      <w:r w:rsidRPr="00E4381D">
        <w:t>had life expectancies of approximately 69 and 62 years (World Bank 1999).</w:t>
      </w:r>
    </w:p>
    <w:p w:rsidR="00E4381D" w:rsidRPr="00C94973" w:rsidRDefault="00E4381D" w:rsidP="00E4381D">
      <w:pPr>
        <w:pStyle w:val="Heading4"/>
      </w:pPr>
      <w:r w:rsidRPr="00C94973">
        <w:t xml:space="preserve">No disease can kill us all – it would have to be everything at once </w:t>
      </w:r>
    </w:p>
    <w:p w:rsidR="00E4381D" w:rsidRPr="00C94973" w:rsidRDefault="00E4381D" w:rsidP="00E4381D">
      <w:pPr>
        <w:rPr>
          <w:rFonts w:asciiTheme="minorHAnsi" w:hAnsiTheme="minorHAnsi"/>
          <w:sz w:val="18"/>
        </w:rPr>
      </w:pPr>
      <w:r w:rsidRPr="00CA1805">
        <w:rPr>
          <w:rStyle w:val="StyleStyleBold12pt"/>
        </w:rPr>
        <w:t>Gladwell, 95</w:t>
      </w:r>
      <w:r w:rsidRPr="00C94973">
        <w:rPr>
          <w:rStyle w:val="Heading3Char"/>
          <w:rFonts w:asciiTheme="minorHAnsi" w:hAnsiTheme="minorHAnsi"/>
          <w:b w:val="0"/>
          <w:sz w:val="20"/>
          <w:szCs w:val="20"/>
          <w:u w:val="none"/>
        </w:rPr>
        <w:t xml:space="preserve"> (Malcolm, The New Republic, 7/17/95 and 7/24/95, “The Plague Year”, Lexis)</w:t>
      </w:r>
    </w:p>
    <w:p w:rsidR="00E4381D" w:rsidRPr="00C94973" w:rsidRDefault="00E4381D" w:rsidP="00E4381D">
      <w:pPr>
        <w:rPr>
          <w:rFonts w:asciiTheme="minorHAnsi" w:hAnsiTheme="minorHAnsi"/>
        </w:rPr>
      </w:pPr>
    </w:p>
    <w:p w:rsidR="00E4381D" w:rsidRDefault="00E4381D" w:rsidP="00E4381D">
      <w:r w:rsidRPr="00E4381D">
        <w:t xml:space="preserve">What would a real Andromeda Strain look like? It would be highly infectious like </w:t>
      </w:r>
    </w:p>
    <w:p w:rsidR="00E4381D" w:rsidRDefault="00E4381D" w:rsidP="00E4381D">
      <w:r>
        <w:t>AND</w:t>
      </w:r>
    </w:p>
    <w:p w:rsidR="00E4381D" w:rsidRPr="00E4381D" w:rsidRDefault="00E4381D" w:rsidP="00E4381D">
      <w:r w:rsidRPr="00E4381D">
        <w:t>, but they neglect to point out the limitations of microscopic life forms.</w:t>
      </w:r>
    </w:p>
    <w:p w:rsidR="00E4381D" w:rsidRPr="00C94973" w:rsidRDefault="00E4381D" w:rsidP="00E4381D">
      <w:pPr>
        <w:rPr>
          <w:rFonts w:asciiTheme="minorHAnsi" w:hAnsiTheme="minorHAnsi"/>
        </w:rPr>
      </w:pPr>
    </w:p>
    <w:p w:rsidR="00E4381D" w:rsidRPr="00C94973" w:rsidRDefault="00E4381D" w:rsidP="00E4381D">
      <w:pPr>
        <w:pStyle w:val="Heading4"/>
      </w:pPr>
      <w:r w:rsidRPr="00C94973">
        <w:t>Multiple alternate causalities to disease</w:t>
      </w:r>
    </w:p>
    <w:p w:rsidR="00E4381D" w:rsidRPr="00C94973" w:rsidRDefault="00E4381D" w:rsidP="00E4381D">
      <w:pPr>
        <w:rPr>
          <w:rFonts w:asciiTheme="minorHAnsi" w:hAnsiTheme="minorHAnsi"/>
          <w:sz w:val="18"/>
        </w:rPr>
      </w:pPr>
      <w:r w:rsidRPr="00CA1805">
        <w:rPr>
          <w:rStyle w:val="StyleStyleBold12pt"/>
        </w:rPr>
        <w:t>Brower, 03</w:t>
      </w:r>
      <w:r w:rsidRPr="00C94973">
        <w:rPr>
          <w:rFonts w:asciiTheme="minorHAnsi" w:hAnsiTheme="minorHAnsi"/>
          <w:sz w:val="18"/>
        </w:rPr>
        <w:t xml:space="preserve"> </w:t>
      </w:r>
      <w:r w:rsidRPr="00C94973">
        <w:rPr>
          <w:rStyle w:val="Heading3Char"/>
          <w:rFonts w:asciiTheme="minorHAnsi" w:hAnsiTheme="minorHAnsi"/>
          <w:b w:val="0"/>
          <w:sz w:val="20"/>
          <w:szCs w:val="20"/>
          <w:u w:val="none"/>
        </w:rPr>
        <w:t xml:space="preserve">(Jennifer, science/technology policy analyst, and Peter Chalk, political scientist, Summer 2003, Rand Review, Vol. 27, No. 2, “Vectors Without Borders,”  </w:t>
      </w:r>
      <w:hyperlink r:id="rId15" w:history="1">
        <w:r w:rsidRPr="00C94973">
          <w:rPr>
            <w:rStyle w:val="Heading3Char"/>
            <w:rFonts w:asciiTheme="minorHAnsi" w:hAnsiTheme="minorHAnsi"/>
          </w:rPr>
          <w:t>http://www.rand.org/publications/randreview/issues/summer2003/vectors.html</w:t>
        </w:r>
      </w:hyperlink>
      <w:r w:rsidRPr="00C94973">
        <w:rPr>
          <w:rStyle w:val="Heading3Char"/>
          <w:rFonts w:asciiTheme="minorHAnsi" w:hAnsiTheme="minorHAnsi"/>
          <w:b w:val="0"/>
          <w:sz w:val="20"/>
          <w:szCs w:val="20"/>
          <w:u w:val="none"/>
        </w:rPr>
        <w:t>)</w:t>
      </w:r>
    </w:p>
    <w:p w:rsidR="00E4381D" w:rsidRDefault="00E4381D" w:rsidP="00E4381D">
      <w:r w:rsidRPr="00E4381D">
        <w:t xml:space="preserve">This year's outbreak of severe acute respiratory syndrome (SARS) in Beijing, Hong </w:t>
      </w:r>
    </w:p>
    <w:p w:rsidR="00E4381D" w:rsidRDefault="00E4381D" w:rsidP="00E4381D">
      <w:r>
        <w:t>AND</w:t>
      </w:r>
    </w:p>
    <w:p w:rsidR="00E4381D" w:rsidRPr="00E4381D" w:rsidRDefault="00E4381D" w:rsidP="00E4381D">
      <w:r w:rsidRPr="00E4381D">
        <w:t>increase the likelihood that people will come into contact with potentially fatal diseases.</w:t>
      </w:r>
    </w:p>
    <w:p w:rsidR="00E4381D" w:rsidRPr="00C94973" w:rsidRDefault="00E4381D" w:rsidP="00E4381D">
      <w:pPr>
        <w:rPr>
          <w:rFonts w:asciiTheme="minorHAnsi" w:hAnsiTheme="minorHAnsi"/>
        </w:rPr>
      </w:pPr>
    </w:p>
    <w:p w:rsidR="00E4381D" w:rsidRDefault="00E4381D" w:rsidP="00E4381D"/>
    <w:p w:rsidR="00E4381D" w:rsidRPr="008A280C" w:rsidRDefault="00E4381D" w:rsidP="00E4381D">
      <w:pPr>
        <w:pStyle w:val="Heading4"/>
      </w:pPr>
      <w:r w:rsidRPr="008A280C">
        <w:t>Utilitarian</w:t>
      </w:r>
      <w:r>
        <w:t>ism</w:t>
      </w:r>
      <w:r w:rsidRPr="008A280C">
        <w:t xml:space="preserve"> is superior</w:t>
      </w:r>
    </w:p>
    <w:p w:rsidR="00E4381D" w:rsidRPr="00CA1805" w:rsidRDefault="00E4381D" w:rsidP="00E4381D">
      <w:r w:rsidRPr="00CA1805">
        <w:rPr>
          <w:rStyle w:val="StyleStyleBold12pt"/>
        </w:rPr>
        <w:t xml:space="preserve">Isaac 2 </w:t>
      </w:r>
      <w:r w:rsidRPr="00CA1805">
        <w:t>Jeffrey C. Isaac, Professor of Political Science and director of the Center for the Study of Democracy and Public Life at Indiana University, Spring 2002, Dissent, Ends, means, and politics</w:t>
      </w:r>
    </w:p>
    <w:p w:rsidR="00E4381D" w:rsidRPr="008A280C" w:rsidRDefault="00E4381D" w:rsidP="00E4381D">
      <w:pPr>
        <w:rPr>
          <w:rStyle w:val="Highlightedunderline"/>
          <w:rFonts w:ascii="Garamond" w:hAnsi="Garamond"/>
          <w:sz w:val="28"/>
        </w:rPr>
      </w:pPr>
    </w:p>
    <w:p w:rsidR="00E4381D" w:rsidRDefault="00E4381D" w:rsidP="00E4381D">
      <w:r w:rsidRPr="00E4381D">
        <w:t xml:space="preserve">Power is not a dirty word or an unfortunate feature of the world. It </w:t>
      </w:r>
    </w:p>
    <w:p w:rsidR="00E4381D" w:rsidRDefault="00E4381D" w:rsidP="00E4381D">
      <w:r>
        <w:t>AND</w:t>
      </w:r>
    </w:p>
    <w:p w:rsidR="00E4381D" w:rsidRPr="00E4381D" w:rsidRDefault="00E4381D" w:rsidP="00E4381D">
      <w:r w:rsidRPr="00E4381D">
        <w:t>not true believers. It promotes arrogance. And it undermines political effectiveness.</w:t>
      </w:r>
    </w:p>
    <w:p w:rsidR="00E4381D" w:rsidRDefault="00E4381D" w:rsidP="00E4381D">
      <w:pPr>
        <w:pStyle w:val="Heading3"/>
      </w:pPr>
      <w:r>
        <w:lastRenderedPageBreak/>
        <w:t>Impact assessment</w:t>
      </w:r>
    </w:p>
    <w:p w:rsidR="00E4381D" w:rsidRPr="005E7ACF" w:rsidRDefault="00E4381D" w:rsidP="00E4381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outlineLvl w:val="3"/>
        <w:rPr>
          <w:rFonts w:asciiTheme="minorHAnsi" w:eastAsia="Times New Roman" w:hAnsiTheme="minorHAnsi"/>
          <w:b/>
          <w:bCs/>
          <w:iCs/>
          <w:sz w:val="26"/>
        </w:rPr>
      </w:pPr>
      <w:r w:rsidRPr="005E7ACF">
        <w:rPr>
          <w:rFonts w:asciiTheme="minorHAnsi" w:eastAsia="Times New Roman" w:hAnsiTheme="minorHAnsi"/>
          <w:b/>
          <w:bCs/>
          <w:iCs/>
          <w:sz w:val="26"/>
        </w:rPr>
        <w:t>Rejecting strategic predictions of threats makes them inevitable—decision makers will rely on preconceived conceptions of threat rather than the more qualified predictions of analysts</w:t>
      </w:r>
    </w:p>
    <w:p w:rsidR="00E4381D" w:rsidRPr="005E7ACF" w:rsidRDefault="00E4381D" w:rsidP="00E4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rPr>
      </w:pPr>
      <w:r w:rsidRPr="005E7ACF">
        <w:rPr>
          <w:rFonts w:asciiTheme="minorHAnsi" w:eastAsia="Calibri" w:hAnsiTheme="minorHAnsi"/>
          <w:b/>
          <w:bCs/>
          <w:sz w:val="26"/>
        </w:rPr>
        <w:t>Fitzsimmons, 2007</w:t>
      </w:r>
      <w:r w:rsidRPr="005E7ACF">
        <w:rPr>
          <w:rFonts w:asciiTheme="minorHAnsi" w:eastAsia="Calibri" w:hAnsiTheme="minorHAnsi"/>
        </w:rPr>
        <w:t xml:space="preserve"> [Michael, Washington DC defense analyst, “The Problem of Uncertainty in Strategic Planning”, Survival, Winter 06-07, online]</w:t>
      </w:r>
    </w:p>
    <w:p w:rsidR="00E4381D" w:rsidRPr="005E7ACF" w:rsidRDefault="00E4381D" w:rsidP="00E438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Calibri" w:hAnsiTheme="minorHAnsi"/>
        </w:rPr>
      </w:pPr>
    </w:p>
    <w:p w:rsidR="00E4381D" w:rsidRDefault="00E4381D" w:rsidP="00E4381D">
      <w:r w:rsidRPr="00E4381D">
        <w:t xml:space="preserve">But handling even this weaker form of uncertainty is still quite challeng- ing. </w:t>
      </w:r>
    </w:p>
    <w:p w:rsidR="00E4381D" w:rsidRDefault="00E4381D" w:rsidP="00E4381D">
      <w:r>
        <w:t>AND</w:t>
      </w:r>
    </w:p>
    <w:p w:rsidR="00E4381D" w:rsidRPr="00E4381D" w:rsidRDefault="00E4381D" w:rsidP="00E4381D">
      <w:r w:rsidRPr="00E4381D">
        <w:t xml:space="preserve">, such decisions may be poorly understood by the decision-makers themselves. </w:t>
      </w:r>
    </w:p>
    <w:p w:rsidR="00E4381D" w:rsidRPr="005E7ACF" w:rsidRDefault="00E4381D" w:rsidP="00E4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rPr>
      </w:pPr>
    </w:p>
    <w:p w:rsidR="00E4381D" w:rsidRPr="005E7ACF" w:rsidRDefault="00E4381D" w:rsidP="00E4381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outlineLvl w:val="3"/>
        <w:rPr>
          <w:rFonts w:asciiTheme="minorHAnsi" w:eastAsia="Times New Roman" w:hAnsiTheme="minorHAnsi"/>
          <w:b/>
          <w:bCs/>
          <w:iCs/>
          <w:sz w:val="26"/>
        </w:rPr>
      </w:pPr>
      <w:r w:rsidRPr="005E7ACF">
        <w:rPr>
          <w:rFonts w:asciiTheme="minorHAnsi" w:eastAsia="Times New Roman" w:hAnsiTheme="minorHAnsi"/>
          <w:b/>
          <w:bCs/>
          <w:iCs/>
          <w:sz w:val="26"/>
        </w:rPr>
        <w:t>Even if they’re flawed- predictions are necessary</w:t>
      </w:r>
    </w:p>
    <w:p w:rsidR="00E4381D" w:rsidRPr="005E7ACF" w:rsidRDefault="00E4381D" w:rsidP="00E4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rPr>
      </w:pPr>
      <w:r w:rsidRPr="005E7ACF">
        <w:rPr>
          <w:rFonts w:asciiTheme="minorHAnsi" w:eastAsia="Calibri" w:hAnsiTheme="minorHAnsi"/>
          <w:b/>
          <w:bCs/>
          <w:sz w:val="26"/>
        </w:rPr>
        <w:t>Cowen, 2004</w:t>
      </w:r>
      <w:r w:rsidRPr="005E7ACF">
        <w:rPr>
          <w:rFonts w:asciiTheme="minorHAnsi" w:eastAsia="Calibri" w:hAnsiTheme="minorHAnsi"/>
        </w:rPr>
        <w:t xml:space="preserve"> – Professor of Economics at George Mason (Tyler, “The Epistemic Problem does not Refute Consequentialism, accessed through Cambridge Journals Online)//BZ</w:t>
      </w:r>
    </w:p>
    <w:p w:rsidR="00E4381D" w:rsidRPr="005E7ACF" w:rsidRDefault="00E4381D" w:rsidP="00E4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rPr>
      </w:pPr>
    </w:p>
    <w:p w:rsidR="00E4381D" w:rsidRDefault="00E4381D" w:rsidP="00E4381D">
      <w:r w:rsidRPr="00E4381D">
        <w:t>If we know for sure which remedy works, obviously we should apply that remedy</w:t>
      </w:r>
    </w:p>
    <w:p w:rsidR="00E4381D" w:rsidRDefault="00E4381D" w:rsidP="00E4381D">
      <w:r>
        <w:t>AND</w:t>
      </w:r>
    </w:p>
    <w:p w:rsidR="00E4381D" w:rsidRPr="00E4381D" w:rsidRDefault="00E4381D" w:rsidP="00E4381D">
      <w:r w:rsidRPr="00E4381D">
        <w:t>uncertainty should not stop us from pursuing large upfront benefits of obvious importance.</w:t>
      </w:r>
    </w:p>
    <w:p w:rsidR="00E4381D" w:rsidRDefault="00E4381D" w:rsidP="00E4381D"/>
    <w:p w:rsidR="00E4381D" w:rsidRPr="00BF59A1" w:rsidRDefault="00E4381D" w:rsidP="00E4381D">
      <w:pPr>
        <w:pStyle w:val="Heading4"/>
      </w:pPr>
      <w:r>
        <w:t xml:space="preserve">we don’t need to win try or die for our </w:t>
      </w:r>
      <w:r w:rsidR="00560042">
        <w:t>impacts</w:t>
      </w:r>
      <w:bookmarkStart w:id="0" w:name="_GoBack"/>
      <w:bookmarkEnd w:id="0"/>
      <w:r>
        <w:t>—our impacts don’t link to serial policy failure—they need to win that our impacts are not probable, not just that we should ignore it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73" w:rsidRDefault="001D2B73" w:rsidP="005F5576">
      <w:r>
        <w:separator/>
      </w:r>
    </w:p>
  </w:endnote>
  <w:endnote w:type="continuationSeparator" w:id="0">
    <w:p w:rsidR="001D2B73" w:rsidRDefault="001D2B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73" w:rsidRDefault="001D2B73" w:rsidP="005F5576">
      <w:r>
        <w:separator/>
      </w:r>
    </w:p>
  </w:footnote>
  <w:footnote w:type="continuationSeparator" w:id="0">
    <w:p w:rsidR="001D2B73" w:rsidRDefault="001D2B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A69B1"/>
    <w:multiLevelType w:val="hybridMultilevel"/>
    <w:tmpl w:val="E682A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B7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042"/>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81D"/>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D2218A2-9A82-4B9F-BF0B-54E4405A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read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E4381D"/>
    <w:pPr>
      <w:ind w:left="720"/>
      <w:contextualSpacing/>
    </w:pPr>
  </w:style>
  <w:style w:type="character" w:customStyle="1" w:styleId="Box">
    <w:name w:val="Box"/>
    <w:basedOn w:val="DefaultParagraphFont"/>
    <w:uiPriority w:val="1"/>
    <w:qFormat/>
    <w:rsid w:val="00E4381D"/>
    <w:rPr>
      <w:b/>
      <w:bCs w:val="0"/>
      <w:u w:val="single"/>
      <w:bdr w:val="single" w:sz="4" w:space="0" w:color="auto" w:frame="1"/>
    </w:rPr>
  </w:style>
  <w:style w:type="character" w:customStyle="1" w:styleId="cardtextChar">
    <w:name w:val="card text Char"/>
    <w:basedOn w:val="DefaultParagraphFont"/>
    <w:link w:val="cardtext"/>
    <w:locked/>
    <w:rsid w:val="00E4381D"/>
    <w:rPr>
      <w:rFonts w:ascii="Georgia" w:hAnsi="Georgia"/>
    </w:rPr>
  </w:style>
  <w:style w:type="paragraph" w:customStyle="1" w:styleId="cardtext">
    <w:name w:val="card text"/>
    <w:basedOn w:val="Normal"/>
    <w:link w:val="cardtextChar"/>
    <w:qFormat/>
    <w:rsid w:val="00E4381D"/>
    <w:pPr>
      <w:ind w:left="288" w:right="288"/>
    </w:pPr>
    <w:rPr>
      <w:rFonts w:ascii="Georgia" w:hAnsi="Georgia" w:cstheme="minorBidi"/>
    </w:rPr>
  </w:style>
  <w:style w:type="character" w:customStyle="1" w:styleId="UnderlineBold">
    <w:name w:val="Underline + Bold"/>
    <w:uiPriority w:val="1"/>
    <w:qFormat/>
    <w:rsid w:val="00E4381D"/>
    <w:rPr>
      <w:b/>
      <w:bCs w:val="0"/>
      <w:sz w:val="20"/>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link w:val="CardsFont12ptChar"/>
    <w:autoRedefine/>
    <w:uiPriority w:val="6"/>
    <w:rsid w:val="00E4381D"/>
    <w:pPr>
      <w:autoSpaceDE w:val="0"/>
      <w:autoSpaceDN w:val="0"/>
      <w:adjustRightInd w:val="0"/>
      <w:ind w:left="432" w:right="432"/>
      <w:jc w:val="both"/>
    </w:pPr>
    <w:rPr>
      <w:rFonts w:ascii="Times New Roman" w:eastAsia="SimSun" w:hAnsi="Times New Roman"/>
      <w:sz w:val="24"/>
      <w:szCs w:val="24"/>
      <w:u w:val="thick"/>
    </w:rPr>
  </w:style>
  <w:style w:type="character" w:customStyle="1" w:styleId="CardsFont12ptChar">
    <w:name w:val="Cards + Font: 12 pt Char"/>
    <w:aliases w:val="Thick Underline Char"/>
    <w:link w:val="CardsFont12pt"/>
    <w:uiPriority w:val="6"/>
    <w:rsid w:val="00E4381D"/>
    <w:rPr>
      <w:rFonts w:ascii="Times New Roman" w:eastAsia="SimSun" w:hAnsi="Times New Roman" w:cs="Calibri"/>
      <w:sz w:val="24"/>
      <w:szCs w:val="24"/>
      <w:u w:val="thick"/>
    </w:rPr>
  </w:style>
  <w:style w:type="character" w:customStyle="1" w:styleId="underlineChar">
    <w:name w:val="underline Char"/>
    <w:link w:val="underline"/>
    <w:rsid w:val="00E4381D"/>
    <w:rPr>
      <w:u w:val="single"/>
    </w:rPr>
  </w:style>
  <w:style w:type="character" w:customStyle="1" w:styleId="smallChar">
    <w:name w:val="small Char"/>
    <w:rsid w:val="00E4381D"/>
    <w:rPr>
      <w:rFonts w:ascii="Times New Roman" w:hAnsi="Times New Roman"/>
      <w:sz w:val="16"/>
    </w:rPr>
  </w:style>
  <w:style w:type="character" w:customStyle="1" w:styleId="Highlightedunderline">
    <w:name w:val="Highlighted underline"/>
    <w:rsid w:val="00E4381D"/>
    <w:rPr>
      <w:rFonts w:ascii="Times New Roman" w:hAnsi="Times New Roman"/>
      <w:sz w:val="20"/>
      <w:u w:val="single"/>
      <w:bdr w:val="none" w:sz="0" w:space="0" w:color="auto"/>
      <w:shd w:val="clear" w:color="auto" w:fill="C0C0C0"/>
    </w:rPr>
  </w:style>
  <w:style w:type="paragraph" w:customStyle="1" w:styleId="underline">
    <w:name w:val="underline"/>
    <w:basedOn w:val="Normal"/>
    <w:link w:val="underlineChar"/>
    <w:qFormat/>
    <w:rsid w:val="00E4381D"/>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on-the-money/agriculture/190777-epa-ethanol-decision-pushes-farm-bill-toward-finish-li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iptorium.lib.duke.edu/wlm/womid%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la.org/publications/congress_withhold_funds_for_mexico_tied_to_human_rights_performance" TargetMode="External"/><Relationship Id="rId5" Type="http://schemas.openxmlformats.org/officeDocument/2006/relationships/styles" Target="styles.xml"/><Relationship Id="rId15" Type="http://schemas.openxmlformats.org/officeDocument/2006/relationships/hyperlink" Target="http://www.rand.org/publications/randreview/issues/summer2003/vectors.html" TargetMode="External"/><Relationship Id="rId10" Type="http://schemas.openxmlformats.org/officeDocument/2006/relationships/hyperlink" Target="http://www.nber.org/papers/w13988.pdf?new_window=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embers.cox.net/igoklany/Economic%20Growth%20Tech%20Change%20and%20Human%20Well-being%202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2</cp:revision>
  <dcterms:created xsi:type="dcterms:W3CDTF">2013-12-03T14:57:00Z</dcterms:created>
  <dcterms:modified xsi:type="dcterms:W3CDTF">2013-12-03T14:59:00Z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