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97B" w:rsidRDefault="0002397B" w:rsidP="0002397B">
      <w:pPr>
        <w:pStyle w:val="Heading2"/>
      </w:pPr>
      <w:r>
        <w:t>T</w:t>
      </w:r>
    </w:p>
    <w:p w:rsidR="0002397B" w:rsidRPr="00411171" w:rsidRDefault="0002397B" w:rsidP="0002397B">
      <w:pPr>
        <w:rPr>
          <w:b/>
        </w:rPr>
      </w:pPr>
      <w:r w:rsidRPr="00411171">
        <w:rPr>
          <w:b/>
        </w:rPr>
        <w:t xml:space="preserve">A. Interpretation - Economic engagement is </w:t>
      </w:r>
      <w:r w:rsidRPr="00411171">
        <w:rPr>
          <w:b/>
          <w:u w:val="single"/>
        </w:rPr>
        <w:t>long-term strategy</w:t>
      </w:r>
      <w:r w:rsidRPr="00411171">
        <w:rPr>
          <w:b/>
        </w:rPr>
        <w:t xml:space="preserve"> for promoting </w:t>
      </w:r>
      <w:r w:rsidRPr="00411171">
        <w:rPr>
          <w:b/>
          <w:u w:val="single"/>
        </w:rPr>
        <w:t>structural linkage</w:t>
      </w:r>
      <w:r w:rsidRPr="00411171">
        <w:rPr>
          <w:b/>
        </w:rPr>
        <w:t xml:space="preserve"> between two economies</w:t>
      </w:r>
    </w:p>
    <w:p w:rsidR="0002397B" w:rsidRDefault="0002397B" w:rsidP="0002397B">
      <w:r w:rsidRPr="00CB74E4">
        <w:rPr>
          <w:b/>
        </w:rPr>
        <w:t>Mastanduno, 1</w:t>
      </w:r>
      <w:r>
        <w:t xml:space="preserve"> – professor of Government at Dartmouth College (Michael, “Economic Engagement Strategies: Theory and Practice” </w:t>
      </w:r>
      <w:hyperlink r:id="rId9" w:history="1">
        <w:r w:rsidRPr="008A3AB8">
          <w:rPr>
            <w:rStyle w:val="Hyperlink"/>
          </w:rPr>
          <w:t>http://web.archive.org/web/20120906033646/http://polisci.osu.edu/faculty/bpollins/book/Mastanduno.pdf</w:t>
        </w:r>
      </w:hyperlink>
    </w:p>
    <w:p w:rsidR="0002397B" w:rsidRDefault="0002397B" w:rsidP="0002397B"/>
    <w:p w:rsidR="0002397B" w:rsidRDefault="0002397B" w:rsidP="0002397B">
      <w:r w:rsidRPr="0002397B">
        <w:t xml:space="preserve">The basic causal logic of economic engagement, and the emphasis on domestic politics, </w:t>
      </w:r>
    </w:p>
    <w:p w:rsidR="0002397B" w:rsidRDefault="0002397B" w:rsidP="0002397B">
      <w:r>
        <w:t>AND</w:t>
      </w:r>
    </w:p>
    <w:p w:rsidR="0002397B" w:rsidRPr="0002397B" w:rsidRDefault="0002397B" w:rsidP="0002397B">
      <w:r w:rsidRPr="0002397B">
        <w:t>chain runs from economic interdependence through domestic political change to foreign policy accommodation.</w:t>
      </w:r>
    </w:p>
    <w:p w:rsidR="0002397B" w:rsidRPr="008739DF" w:rsidRDefault="0002397B" w:rsidP="0002397B">
      <w:bookmarkStart w:id="0" w:name="_GoBack"/>
      <w:bookmarkEnd w:id="0"/>
    </w:p>
    <w:p w:rsidR="0002397B" w:rsidRPr="00F32DEC" w:rsidRDefault="0002397B" w:rsidP="0002397B">
      <w:pPr>
        <w:pStyle w:val="Heading4"/>
      </w:pPr>
      <w:r>
        <w:t>Violation: Financial assets are intangible and short-term</w:t>
      </w:r>
    </w:p>
    <w:p w:rsidR="0002397B" w:rsidRPr="00D20B88" w:rsidRDefault="0002397B" w:rsidP="0002397B">
      <w:pPr>
        <w:rPr>
          <w:rStyle w:val="StyleStyleBold12pt"/>
          <w:b w:val="0"/>
          <w:sz w:val="16"/>
        </w:rPr>
      </w:pPr>
      <w:r>
        <w:rPr>
          <w:rStyle w:val="StyleStyleBold12pt"/>
        </w:rPr>
        <w:t xml:space="preserve">Kolakowski, n.d. – </w:t>
      </w:r>
      <w:r w:rsidRPr="00D20B88">
        <w:rPr>
          <w:rStyle w:val="StyleStyleBold12pt"/>
          <w:b w:val="0"/>
          <w:sz w:val="16"/>
        </w:rPr>
        <w:t>AB magna cum laude in economics from Harvard College and an MBA in finance at the Wharton School of the University of Pennsylvania. 14 years at Merrill Lynch as a major contributor in areas including profitability analysis, transfer pricing, business forecasting, product pricing, sales compensation, market research, data mining and business strategy (Mark, “Financial Assets,” No Date, http://financecareers.about.com/od/glossary/g/finassets.htm)//HO</w:t>
      </w:r>
    </w:p>
    <w:p w:rsidR="0002397B" w:rsidRDefault="0002397B" w:rsidP="0002397B">
      <w:pPr>
        <w:rPr>
          <w:rStyle w:val="StyleBoldUnderline"/>
        </w:rPr>
      </w:pPr>
      <w:r w:rsidRPr="005E6E73">
        <w:rPr>
          <w:rStyle w:val="StyleBoldUnderline"/>
          <w:highlight w:val="green"/>
        </w:rPr>
        <w:t>Financial Assets include cash and bank accounts plus securities and investment ac</w:t>
      </w:r>
      <w:r w:rsidRPr="0087318D">
        <w:rPr>
          <w:rStyle w:val="StyleBoldUnderline"/>
          <w:highlight w:val="green"/>
        </w:rPr>
        <w:t>counts that can be readily converted into cash. Ex</w:t>
      </w:r>
      <w:r w:rsidRPr="005E6E73">
        <w:rPr>
          <w:rStyle w:val="StyleBoldUnderline"/>
          <w:highlight w:val="green"/>
        </w:rPr>
        <w:t>cluded are</w:t>
      </w:r>
      <w:r>
        <w:rPr>
          <w:rStyle w:val="StyleBoldUnderline"/>
        </w:rPr>
        <w:t xml:space="preserve"> illiquid </w:t>
      </w:r>
      <w:r w:rsidRPr="005E6E73">
        <w:rPr>
          <w:rStyle w:val="StyleBoldUnderline"/>
          <w:highlight w:val="green"/>
        </w:rPr>
        <w:t>physical asse</w:t>
      </w:r>
      <w:r w:rsidRPr="00F32DEC">
        <w:rPr>
          <w:rStyle w:val="StyleBoldUnderline"/>
          <w:highlight w:val="green"/>
        </w:rPr>
        <w:t>ts such as real estate</w:t>
      </w:r>
      <w:r>
        <w:rPr>
          <w:rStyle w:val="StyleBoldUnderline"/>
        </w:rPr>
        <w:t>, automobiles, art, jewelry, furniture, collectibles, etc., which are included in calculations of Net Worth.</w:t>
      </w:r>
    </w:p>
    <w:p w:rsidR="0002397B" w:rsidRDefault="0002397B" w:rsidP="0002397B">
      <w:pPr>
        <w:rPr>
          <w:rStyle w:val="StyleBoldUnderline"/>
        </w:rPr>
      </w:pPr>
    </w:p>
    <w:p w:rsidR="0002397B" w:rsidRPr="00411171" w:rsidRDefault="0002397B" w:rsidP="0002397B">
      <w:pPr>
        <w:rPr>
          <w:b/>
        </w:rPr>
      </w:pPr>
      <w:r w:rsidRPr="00411171">
        <w:rPr>
          <w:b/>
        </w:rPr>
        <w:t>C. Voting issue</w:t>
      </w:r>
      <w:r>
        <w:rPr>
          <w:b/>
        </w:rPr>
        <w:t xml:space="preserve"> for fairness and education</w:t>
      </w:r>
      <w:r w:rsidRPr="00411171">
        <w:rPr>
          <w:b/>
        </w:rPr>
        <w:t xml:space="preserve"> – </w:t>
      </w:r>
    </w:p>
    <w:p w:rsidR="0002397B" w:rsidRPr="00411171" w:rsidRDefault="0002397B" w:rsidP="0002397B">
      <w:pPr>
        <w:rPr>
          <w:b/>
        </w:rPr>
      </w:pPr>
    </w:p>
    <w:p w:rsidR="0002397B" w:rsidRPr="00411171" w:rsidRDefault="0002397B" w:rsidP="0002397B">
      <w:pPr>
        <w:rPr>
          <w:b/>
        </w:rPr>
      </w:pPr>
      <w:r w:rsidRPr="00411171">
        <w:rPr>
          <w:b/>
        </w:rPr>
        <w:t xml:space="preserve">1. </w:t>
      </w:r>
      <w:r>
        <w:rPr>
          <w:b/>
        </w:rPr>
        <w:t xml:space="preserve">predictable </w:t>
      </w:r>
      <w:r w:rsidRPr="00411171">
        <w:rPr>
          <w:b/>
        </w:rPr>
        <w:t>limits – broad interpretations of engagement include anything that effects the economy, which means everything</w:t>
      </w:r>
    </w:p>
    <w:p w:rsidR="0002397B" w:rsidRPr="00411171" w:rsidRDefault="0002397B" w:rsidP="0002397B">
      <w:pPr>
        <w:rPr>
          <w:b/>
        </w:rPr>
      </w:pPr>
    </w:p>
    <w:p w:rsidR="0002397B" w:rsidRPr="00411171" w:rsidRDefault="0002397B" w:rsidP="0002397B">
      <w:pPr>
        <w:rPr>
          <w:b/>
        </w:rPr>
      </w:pPr>
      <w:r w:rsidRPr="00411171">
        <w:rPr>
          <w:b/>
        </w:rPr>
        <w:t xml:space="preserve">2. negative ground – trade promotion is vital for a </w:t>
      </w:r>
      <w:r w:rsidRPr="00411171">
        <w:rPr>
          <w:b/>
          <w:u w:val="single"/>
        </w:rPr>
        <w:t>stable mechanism</w:t>
      </w:r>
      <w:r w:rsidRPr="00411171">
        <w:rPr>
          <w:b/>
        </w:rPr>
        <w:t xml:space="preserve"> for disad links and counterplan ground</w:t>
      </w:r>
    </w:p>
    <w:p w:rsidR="0002397B" w:rsidRPr="0025726F" w:rsidRDefault="0002397B" w:rsidP="0002397B"/>
    <w:p w:rsidR="0002397B" w:rsidRDefault="0002397B" w:rsidP="0002397B">
      <w:pPr>
        <w:pStyle w:val="Heading2"/>
      </w:pPr>
      <w:r>
        <w:lastRenderedPageBreak/>
        <w:t>K</w:t>
      </w:r>
    </w:p>
    <w:p w:rsidR="0002397B" w:rsidRPr="00877752" w:rsidRDefault="0002397B" w:rsidP="0002397B"/>
    <w:p w:rsidR="0002397B" w:rsidRPr="00877752" w:rsidRDefault="0002397B" w:rsidP="0002397B">
      <w:pPr>
        <w:pStyle w:val="Heading4"/>
        <w:rPr>
          <w:rFonts w:cs="Times New Roman"/>
        </w:rPr>
      </w:pPr>
      <w:r w:rsidRPr="00877752">
        <w:rPr>
          <w:rFonts w:cs="Times New Roman"/>
        </w:rPr>
        <w:t>The aff</w:t>
      </w:r>
      <w:r>
        <w:rPr>
          <w:rFonts w:cs="Times New Roman"/>
        </w:rPr>
        <w:t>irmative</w:t>
      </w:r>
      <w:r w:rsidRPr="00877752">
        <w:rPr>
          <w:rFonts w:cs="Times New Roman"/>
        </w:rPr>
        <w:t xml:space="preserve"> is controlled by walking dildos and approaches the public sphere with male privilege by assuming a gender - neutral political subject. This renders the female body invisible</w:t>
      </w:r>
    </w:p>
    <w:p w:rsidR="0002397B" w:rsidRPr="00877752" w:rsidRDefault="0002397B" w:rsidP="0002397B">
      <w:pPr>
        <w:rPr>
          <w:b/>
          <w:bCs/>
          <w:sz w:val="26"/>
        </w:rPr>
      </w:pPr>
      <w:r w:rsidRPr="00877752">
        <w:rPr>
          <w:rStyle w:val="StyleStyleBold12pt"/>
        </w:rPr>
        <w:t>Fraser 90 (</w:t>
      </w:r>
      <w:r w:rsidRPr="00877752">
        <w:rPr>
          <w:rFonts w:eastAsia="Calibri"/>
        </w:rPr>
        <w:t>Nancy Fraser, “Rethinking the Public Sphere: A Contribution to the Critique of Actually Existing Democracy”, Social Text, No 25/26 (1990), pp. 60-61, Duke University Press, jstor.org/stable/466240 // candle)</w:t>
      </w:r>
    </w:p>
    <w:p w:rsidR="0002397B" w:rsidRDefault="0002397B" w:rsidP="0002397B">
      <w:r w:rsidRPr="0002397B">
        <w:t xml:space="preserve">Now, let me juxtapose to this sketch of Habermas's account an alternative account that </w:t>
      </w:r>
    </w:p>
    <w:p w:rsidR="0002397B" w:rsidRDefault="0002397B" w:rsidP="0002397B">
      <w:r>
        <w:t>AND</w:t>
      </w:r>
    </w:p>
    <w:p w:rsidR="0002397B" w:rsidRPr="0002397B" w:rsidRDefault="0002397B" w:rsidP="0002397B">
      <w:r w:rsidRPr="0002397B">
        <w:t>status distinctions are bracketed and neutralized is not sufficient to make it so.</w:t>
      </w:r>
    </w:p>
    <w:p w:rsidR="0002397B" w:rsidRDefault="0002397B" w:rsidP="0002397B">
      <w:pPr>
        <w:rPr>
          <w:rStyle w:val="StyleBoldUnderline"/>
        </w:rPr>
      </w:pPr>
    </w:p>
    <w:p w:rsidR="0002397B" w:rsidRPr="00877752" w:rsidRDefault="0002397B" w:rsidP="0002397B">
      <w:pPr>
        <w:pStyle w:val="Heading4"/>
      </w:pPr>
      <w:r w:rsidRPr="00877752">
        <w:t>Violence should be understand as a continuum that affects all women – it has been constructed as the norm in relationships between men and women. It is the expectation that there will be violence. There no longer remains a distinction between abused and non-abused.  Violence against women represents sexual terrorism, a war on women where bodies are the physical territory upon which war is fought. This turns all impacts.</w:t>
      </w:r>
    </w:p>
    <w:p w:rsidR="0002397B" w:rsidRPr="00877752" w:rsidRDefault="0002397B" w:rsidP="0002397B">
      <w:r w:rsidRPr="00877752">
        <w:rPr>
          <w:rStyle w:val="StyleStyleBold12pt"/>
        </w:rPr>
        <w:t>Ray 97</w:t>
      </w:r>
      <w:r w:rsidRPr="00877752">
        <w:t xml:space="preserve"> (Amy E. Ray, “The Shame Of It: Gender-Based Terrorism In The Former Yugoslavia And The Failure of International Human Rights Law To Comprehend The Injuries,” The American University Law Review. Vol 46. , pp. 835-838, http://digitalcommons.wcl.american.edu/cgi/viewcontent.cgi?article=1380&amp;context=aulr, // candle)</w:t>
      </w:r>
    </w:p>
    <w:p w:rsidR="0002397B" w:rsidRDefault="0002397B" w:rsidP="0002397B">
      <w:r w:rsidRPr="0002397B">
        <w:t xml:space="preserve">Transforming the human rights concept from a feminist perspective. . . relates women's rights </w:t>
      </w:r>
    </w:p>
    <w:p w:rsidR="0002397B" w:rsidRDefault="0002397B" w:rsidP="0002397B">
      <w:r>
        <w:t>AND</w:t>
      </w:r>
    </w:p>
    <w:p w:rsidR="0002397B" w:rsidRPr="0002397B" w:rsidRDefault="0002397B" w:rsidP="0002397B">
      <w:r w:rsidRPr="0002397B">
        <w:t xml:space="preserve">the] political struggle [over female subordination] is women's bodies."272 </w:t>
      </w:r>
    </w:p>
    <w:p w:rsidR="0002397B" w:rsidRPr="00877752" w:rsidRDefault="0002397B" w:rsidP="0002397B"/>
    <w:p w:rsidR="0002397B" w:rsidRPr="00877752" w:rsidRDefault="0002397B" w:rsidP="0002397B">
      <w:pPr>
        <w:pStyle w:val="Heading4"/>
        <w:rPr>
          <w:rFonts w:cs="Times New Roman"/>
        </w:rPr>
      </w:pPr>
      <w:r w:rsidRPr="00877752">
        <w:rPr>
          <w:rFonts w:cs="Times New Roman"/>
        </w:rPr>
        <w:t xml:space="preserve">Our Alternative is a castration of the system – separating us from the phallocentric logic of the polis. A method of radical female revolution through a lesbian separatist society refuses male presence. </w:t>
      </w:r>
    </w:p>
    <w:p w:rsidR="0002397B" w:rsidRPr="00877752" w:rsidRDefault="0002397B" w:rsidP="0002397B">
      <w:pPr>
        <w:pStyle w:val="Heading4"/>
        <w:rPr>
          <w:rFonts w:cs="Times New Roman"/>
        </w:rPr>
      </w:pPr>
      <w:r w:rsidRPr="00877752">
        <w:rPr>
          <w:rFonts w:cs="Times New Roman"/>
        </w:rPr>
        <w:t>Only reclaiming the notion of lesbianism beyond mere sexual classification breaks from the norms imposed by male hegemony and exposes the dehumanizing understanding of woman as an object to be fucked by man. To reclaim lesbianism is to reject the demands of the male cultural system and to create and celebrate the bonds of the female world.</w:t>
      </w:r>
    </w:p>
    <w:p w:rsidR="0002397B" w:rsidRPr="00877752" w:rsidRDefault="0002397B" w:rsidP="0002397B">
      <w:pPr>
        <w:rPr>
          <w:rFonts w:eastAsia="Calibri" w:cs="Times New Roman"/>
        </w:rPr>
      </w:pPr>
      <w:r w:rsidRPr="00877752">
        <w:rPr>
          <w:rFonts w:eastAsia="Calibri"/>
          <w:b/>
          <w:sz w:val="24"/>
          <w:szCs w:val="24"/>
        </w:rPr>
        <w:t>Radicalesbians 1970</w:t>
      </w:r>
      <w:r w:rsidRPr="00877752">
        <w:rPr>
          <w:rFonts w:eastAsia="Calibri"/>
          <w:b/>
        </w:rPr>
        <w:t xml:space="preserve"> </w:t>
      </w:r>
      <w:r w:rsidRPr="00877752">
        <w:rPr>
          <w:rFonts w:eastAsia="Calibri"/>
        </w:rPr>
        <w:t xml:space="preserve">[Radicalesbians, 1970, “The Woman Identified Woman,” </w:t>
      </w:r>
      <w:hyperlink r:id="rId10" w:history="1">
        <w:r w:rsidRPr="00877752">
          <w:rPr>
            <w:rStyle w:val="Hyperlink"/>
            <w:rFonts w:eastAsia="Calibri"/>
          </w:rPr>
          <w:t>http://scriptorium.lib.duke.edu/wlm/womid //</w:t>
        </w:r>
      </w:hyperlink>
      <w:r w:rsidRPr="00877752">
        <w:rPr>
          <w:rFonts w:eastAsia="Calibri"/>
        </w:rPr>
        <w:t xml:space="preserve"> candle]</w:t>
      </w:r>
    </w:p>
    <w:p w:rsidR="0002397B" w:rsidRDefault="0002397B" w:rsidP="0002397B">
      <w:r w:rsidRPr="0002397B">
        <w:t xml:space="preserve">What is a lesbian? A lesbian is the rage of all women condensed to </w:t>
      </w:r>
    </w:p>
    <w:p w:rsidR="0002397B" w:rsidRDefault="0002397B" w:rsidP="0002397B">
      <w:r>
        <w:t>AND</w:t>
      </w:r>
    </w:p>
    <w:p w:rsidR="0002397B" w:rsidRPr="0002397B" w:rsidRDefault="0002397B" w:rsidP="0002397B">
      <w:r w:rsidRPr="0002397B">
        <w:lastRenderedPageBreak/>
        <w:t>women from forming any primary attachments, groups, or associations among ourselves.</w:t>
      </w:r>
    </w:p>
    <w:p w:rsidR="0002397B" w:rsidRDefault="0002397B" w:rsidP="0002397B">
      <w:pPr>
        <w:rPr>
          <w:rStyle w:val="StyleBoldUnderline"/>
        </w:rPr>
      </w:pPr>
    </w:p>
    <w:p w:rsidR="0002397B" w:rsidRPr="00877752" w:rsidRDefault="0002397B" w:rsidP="0002397B">
      <w:pPr>
        <w:pStyle w:val="Heading4"/>
      </w:pPr>
      <w:r w:rsidRPr="00877752">
        <w:t>Lesbian anger comes from a woman’s experiences of violence and oppression by the hands of men. It unleashes a frightening rage capable of changing the world around her. Women will no longer be a walking apology, and lesbian rage demands attention and even without it tears at the walls of male supremacy for new female-driven world-making.</w:t>
      </w:r>
    </w:p>
    <w:p w:rsidR="0002397B" w:rsidRPr="00877752" w:rsidRDefault="0002397B" w:rsidP="0002397B">
      <w:r w:rsidRPr="00877752">
        <w:rPr>
          <w:rStyle w:val="StyleStyleBold12pt"/>
        </w:rPr>
        <w:t>Kaplow 73</w:t>
      </w:r>
      <w:r w:rsidRPr="00877752">
        <w:rPr>
          <w:b/>
        </w:rPr>
        <w:t xml:space="preserve"> </w:t>
      </w:r>
      <w:r w:rsidRPr="00877752">
        <w:t>(Susi was part of the nucleus of the now expanded women's liberation group in Paris in 1970, later joining the New York Radical Feminists and organizing four consciousnes-raising groups in addition to being on the organizing committee for the Speak-out on Rape in NYC in 1971, "Getting Angry", published in Radical Feminism, 1973, Quadrangle, www.feminist-reprise.org/docs/kaplow.htm // candle)</w:t>
      </w:r>
    </w:p>
    <w:p w:rsidR="0002397B" w:rsidRDefault="0002397B" w:rsidP="0002397B">
      <w:r w:rsidRPr="0002397B">
        <w:t xml:space="preserve">Two scenarios: An angry man: someone has infringed on his rights, gone </w:t>
      </w:r>
    </w:p>
    <w:p w:rsidR="0002397B" w:rsidRDefault="0002397B" w:rsidP="0002397B">
      <w:r>
        <w:t>AND</w:t>
      </w:r>
    </w:p>
    <w:p w:rsidR="0002397B" w:rsidRPr="0002397B" w:rsidRDefault="0002397B" w:rsidP="0002397B">
      <w:r w:rsidRPr="0002397B">
        <w:t>personal to the political and becomes a force for shaping our new destiny.</w:t>
      </w:r>
    </w:p>
    <w:p w:rsidR="0002397B" w:rsidRPr="008C3C1E" w:rsidRDefault="0002397B" w:rsidP="0002397B"/>
    <w:p w:rsidR="0002397B" w:rsidRPr="000521F6" w:rsidRDefault="0002397B" w:rsidP="0002397B">
      <w:pPr>
        <w:pStyle w:val="Heading2"/>
      </w:pPr>
      <w:r>
        <w:lastRenderedPageBreak/>
        <w:t>K2</w:t>
      </w:r>
    </w:p>
    <w:p w:rsidR="0002397B" w:rsidRPr="008C3C1E" w:rsidRDefault="0002397B" w:rsidP="0002397B">
      <w:pPr>
        <w:pStyle w:val="Heading4"/>
      </w:pPr>
      <w:r w:rsidRPr="008C3C1E">
        <w:t>The plan is a gift that ensures US power by indebting marginalized populations</w:t>
      </w:r>
    </w:p>
    <w:p w:rsidR="0002397B" w:rsidRPr="000521F6" w:rsidRDefault="0002397B" w:rsidP="0002397B">
      <w:r w:rsidRPr="000521F6">
        <w:rPr>
          <w:rStyle w:val="cite"/>
        </w:rPr>
        <w:t>Arrigo and Williams 2k</w:t>
      </w:r>
      <w:r w:rsidRPr="000521F6">
        <w:t xml:space="preserve"> (Bruce, Christopher, prof. of Criminology/Law @ the University of North Carolina, associate professor of criminology @ the University of West Georgia, “Possibility of Democratic Justice and the "Gift" of the Majority: On Derrida, Deconstruction, and the Search for Equality Journal of Contemporary Criminal Justice”) </w:t>
      </w:r>
    </w:p>
    <w:p w:rsidR="0002397B" w:rsidRPr="000521F6" w:rsidRDefault="0002397B" w:rsidP="0002397B">
      <w:pPr>
        <w:pStyle w:val="card"/>
        <w:ind w:left="0"/>
      </w:pPr>
    </w:p>
    <w:p w:rsidR="0002397B" w:rsidRDefault="0002397B" w:rsidP="0002397B">
      <w:r w:rsidRPr="0002397B">
        <w:t xml:space="preserve">Derrida's explication of the gift provides an insightful metaphor with which to analyze the current </w:t>
      </w:r>
    </w:p>
    <w:p w:rsidR="0002397B" w:rsidRDefault="0002397B" w:rsidP="0002397B">
      <w:r>
        <w:t>AND</w:t>
      </w:r>
    </w:p>
    <w:p w:rsidR="0002397B" w:rsidRPr="0002397B" w:rsidRDefault="0002397B" w:rsidP="0002397B">
      <w:r w:rsidRPr="0002397B">
        <w:t xml:space="preserve">cause of equality in furtherance of a cultural politics of difference and recognition.     </w:t>
      </w:r>
    </w:p>
    <w:p w:rsidR="0002397B" w:rsidRDefault="0002397B" w:rsidP="0002397B"/>
    <w:p w:rsidR="0002397B" w:rsidRPr="000521F6" w:rsidRDefault="0002397B" w:rsidP="0002397B">
      <w:pPr>
        <w:pStyle w:val="Heading4"/>
      </w:pPr>
      <w:r w:rsidRPr="000521F6">
        <w:t>The aff is not a genuine caring for the other- but rather a fear and discomfort of feeling the other’s conditions for ourselves</w:t>
      </w:r>
    </w:p>
    <w:p w:rsidR="0002397B" w:rsidRPr="003547DD" w:rsidRDefault="0002397B" w:rsidP="0002397B">
      <w:pPr>
        <w:pStyle w:val="card"/>
        <w:ind w:left="0"/>
      </w:pPr>
      <w:r w:rsidRPr="00793B0A">
        <w:rPr>
          <w:rStyle w:val="cite"/>
        </w:rPr>
        <w:t>Arrigo and Williams 2k</w:t>
      </w:r>
      <w:r w:rsidRPr="00793B0A">
        <w:t xml:space="preserve"> (Bruce, Christopher, prof. of Criminology/Law @ the University of North Carolina, associate professor of criminology @ the University of West Georgia</w:t>
      </w:r>
      <w:r>
        <w:t xml:space="preserve">, </w:t>
      </w:r>
      <w:r w:rsidRPr="003547DD">
        <w:t xml:space="preserve">“PHILOSOPHY OF THE GIFT AND THE PSYCHOLOGY OF ADVOCACY: CRITICAL REFLECTIONS ON FORENSIC MENTAL HEALTH INTERVENTION”, International Journal for the Semiotics of Law, 2000, </w:t>
      </w:r>
      <w:hyperlink r:id="rId11" w:history="1">
        <w:r w:rsidRPr="003547DD">
          <w:rPr>
            <w:rStyle w:val="Hyperlink"/>
          </w:rPr>
          <w:t>http://www.springerlink.com/content/v083155n8l118j06/fulltext.pdf</w:t>
        </w:r>
      </w:hyperlink>
      <w:r w:rsidRPr="003547DD">
        <w:t>)</w:t>
      </w:r>
    </w:p>
    <w:p w:rsidR="0002397B" w:rsidRPr="000521F6" w:rsidRDefault="0002397B" w:rsidP="0002397B"/>
    <w:p w:rsidR="0002397B" w:rsidRPr="000521F6" w:rsidRDefault="0002397B" w:rsidP="0002397B">
      <w:r w:rsidRPr="000521F6">
        <w:t>From this perspective, conduct motivated by self-interest might be inevitable, and our interpretation of actions as selfless merely the result of “self-deception and rationalization”.14</w:t>
      </w:r>
    </w:p>
    <w:p w:rsidR="0002397B" w:rsidRDefault="0002397B" w:rsidP="0002397B">
      <w:r w:rsidRPr="0002397B">
        <w:t xml:space="preserve">Similarly, Hobbes presents a definition of pity that anticipates the more psychoanalytically situated offerings </w:t>
      </w:r>
    </w:p>
    <w:p w:rsidR="0002397B" w:rsidRDefault="0002397B" w:rsidP="0002397B">
      <w:r>
        <w:t>AND</w:t>
      </w:r>
    </w:p>
    <w:p w:rsidR="0002397B" w:rsidRPr="0002397B" w:rsidRDefault="0002397B" w:rsidP="0002397B">
      <w:r w:rsidRPr="0002397B">
        <w:t>action; some of which may include charity, assistance, or advocacy.</w:t>
      </w:r>
    </w:p>
    <w:p w:rsidR="0002397B" w:rsidRDefault="0002397B" w:rsidP="0002397B">
      <w:r w:rsidRPr="0002397B">
        <w:t xml:space="preserve">In Hobbes’s philosophy, we are not genuinely disturbed or discomforted by the misfortunes and </w:t>
      </w:r>
    </w:p>
    <w:p w:rsidR="0002397B" w:rsidRDefault="0002397B" w:rsidP="0002397B">
      <w:r>
        <w:t>AND</w:t>
      </w:r>
    </w:p>
    <w:p w:rsidR="0002397B" w:rsidRPr="0002397B" w:rsidRDefault="0002397B" w:rsidP="0002397B">
      <w:r w:rsidRPr="0002397B">
        <w:t>We will return to these particular dynamics in subsequent sections of this essay.</w:t>
      </w:r>
    </w:p>
    <w:p w:rsidR="0002397B" w:rsidRDefault="0002397B" w:rsidP="0002397B"/>
    <w:p w:rsidR="0002397B" w:rsidRPr="00DD5B81" w:rsidRDefault="0002397B" w:rsidP="0002397B">
      <w:pPr>
        <w:pStyle w:val="Heading4"/>
      </w:pPr>
      <w:r w:rsidRPr="00DD5B81">
        <w:t>The alt is to reject the false benevolence of the affirmative- rejection is key to inquiry about the unconscious influences behind plan action</w:t>
      </w:r>
    </w:p>
    <w:p w:rsidR="0002397B" w:rsidRPr="00DD5B81" w:rsidRDefault="0002397B" w:rsidP="0002397B">
      <w:r w:rsidRPr="00DD5B81">
        <w:rPr>
          <w:b/>
          <w:bCs/>
        </w:rPr>
        <w:t>Arrigo and Williams 2k</w:t>
      </w:r>
      <w:r w:rsidRPr="00DD5B81">
        <w:t>, (Bruce and Christopher of the California School of Professional Psychology, Journal of Contemporary Criminal Justice) “THE PHILOSOPHY OF THE GIFT AND THE PSYCHOLOGY OF¶ ADVOCACY: CRITICAL REFLECTIONS ON FORENSIC MENTAL¶ HEALTH INTERVENTION” 2000</w:t>
      </w:r>
    </w:p>
    <w:p w:rsidR="0002397B" w:rsidRDefault="0002397B" w:rsidP="0002397B">
      <w:r w:rsidRPr="0002397B">
        <w:t xml:space="preserve">CONCLUSION: PURIFYING THE GIFT OF ADVOCACY?¶ Psychological egoism – the inevitability of acting </w:t>
      </w:r>
    </w:p>
    <w:p w:rsidR="0002397B" w:rsidRDefault="0002397B" w:rsidP="0002397B">
      <w:r>
        <w:t>AND</w:t>
      </w:r>
    </w:p>
    <w:p w:rsidR="0002397B" w:rsidRPr="0002397B" w:rsidRDefault="0002397B" w:rsidP="0002397B">
      <w:r w:rsidRPr="0002397B">
        <w:t>This is a challenge that awaits if psychiatric justice is to be realized.</w:t>
      </w:r>
    </w:p>
    <w:p w:rsidR="0002397B" w:rsidRPr="00DD5B81" w:rsidRDefault="0002397B" w:rsidP="0002397B"/>
    <w:p w:rsidR="0002397B" w:rsidRPr="00DD5B81" w:rsidRDefault="0002397B" w:rsidP="0002397B">
      <w:pPr>
        <w:pStyle w:val="Heading4"/>
      </w:pPr>
      <w:r>
        <w:t>Reject the 1AC’s assumptions</w:t>
      </w:r>
      <w:r w:rsidRPr="00DD5B81">
        <w:t xml:space="preserve"> in favor of understanding a group’s worldview</w:t>
      </w:r>
    </w:p>
    <w:p w:rsidR="0002397B" w:rsidRPr="00DD5B81" w:rsidRDefault="0002397B" w:rsidP="0002397B">
      <w:r w:rsidRPr="00DD5B81">
        <w:rPr>
          <w:b/>
          <w:bCs/>
        </w:rPr>
        <w:t>Ross 97</w:t>
      </w:r>
      <w:r w:rsidRPr="00DD5B81">
        <w:t xml:space="preserve"> Author(s): Marc Howard Ross (Professor of Political Science at Bryn Mawr,¶ Ph.D., Northwestern University)“The Relevance of Culture for the Study of Political Psychology and Ethnic </w:t>
      </w:r>
      <w:r w:rsidRPr="00DD5B81">
        <w:lastRenderedPageBreak/>
        <w:t xml:space="preserve">Conflict”¶ </w:t>
      </w:r>
      <w:r w:rsidRPr="00DD5B81">
        <w:rPr>
          <w:i/>
        </w:rPr>
        <w:t>Source: Political Psychology, Vol. 18, No. 2, Special Issue: Culture and Cross-Cultural¶ Dimensions of Political Psychology (</w:t>
      </w:r>
      <w:r w:rsidRPr="00DD5B81">
        <w:t>Jun., 1997), pp. 299-326¶ Published by: International Society of Political Psychology¶ Stable URL: http://www.jstor.org/stable/3791771 .¶ Accessed: 25/07/2013</w:t>
      </w:r>
    </w:p>
    <w:p w:rsidR="0002397B" w:rsidRDefault="0002397B" w:rsidP="0002397B">
      <w:r w:rsidRPr="0002397B">
        <w:t xml:space="preserve">Emphasizing the cultural dimensions of ethnic conflict is at odds with the ¶ hypothesis that </w:t>
      </w:r>
    </w:p>
    <w:p w:rsidR="0002397B" w:rsidRDefault="0002397B" w:rsidP="0002397B">
      <w:r>
        <w:t>AND</w:t>
      </w:r>
    </w:p>
    <w:p w:rsidR="0002397B" w:rsidRPr="0002397B" w:rsidRDefault="0002397B" w:rsidP="0002397B">
      <w:r w:rsidRPr="0002397B">
        <w:t xml:space="preserve">real losses, are prerequisites to ¶ developing new relationships with old enemies. </w:t>
      </w:r>
    </w:p>
    <w:p w:rsidR="0002397B" w:rsidRPr="008C3C1E" w:rsidRDefault="0002397B" w:rsidP="0002397B"/>
    <w:p w:rsidR="0002397B" w:rsidRDefault="0002397B" w:rsidP="0002397B">
      <w:pPr>
        <w:pStyle w:val="Heading2"/>
      </w:pPr>
      <w:r>
        <w:lastRenderedPageBreak/>
        <w:t>Ptx</w:t>
      </w:r>
    </w:p>
    <w:p w:rsidR="0002397B" w:rsidRDefault="0002397B" w:rsidP="0002397B">
      <w:pPr>
        <w:pStyle w:val="Heading4"/>
      </w:pPr>
      <w:r>
        <w:t>Farm bill will pass – EPA decision gives it momentum</w:t>
      </w:r>
    </w:p>
    <w:p w:rsidR="0002397B" w:rsidRPr="002A2CB7" w:rsidRDefault="0002397B" w:rsidP="0002397B">
      <w:r w:rsidRPr="00C97C18">
        <w:rPr>
          <w:rStyle w:val="StyleStyleBold12pt"/>
        </w:rPr>
        <w:t>Wasson 11-19</w:t>
      </w:r>
      <w:r>
        <w:t xml:space="preserve"> – Staff writer at The Hill (Erik, “EPA ethanol decision pushes farm bill toward finish line”, November 19 of 2013, </w:t>
      </w:r>
      <w:hyperlink r:id="rId12" w:history="1">
        <w:r>
          <w:rPr>
            <w:rStyle w:val="Hyperlink"/>
          </w:rPr>
          <w:t>http://thehill.com/blogs/on-the-money/agriculture/190777-epa-ethanol-decision-pushes-farm-bill-toward-finish-line</w:t>
        </w:r>
      </w:hyperlink>
      <w:r>
        <w:t>)</w:t>
      </w:r>
    </w:p>
    <w:p w:rsidR="0002397B" w:rsidRDefault="0002397B" w:rsidP="0002397B">
      <w:r w:rsidRPr="0002397B">
        <w:t xml:space="preserve">The Environmental Protection Agency’s preliminary decision to reduce renewable fuels blending requirements has increased momentum </w:t>
      </w:r>
    </w:p>
    <w:p w:rsidR="0002397B" w:rsidRDefault="0002397B" w:rsidP="0002397B">
      <w:r>
        <w:t>AND</w:t>
      </w:r>
    </w:p>
    <w:p w:rsidR="0002397B" w:rsidRPr="0002397B" w:rsidRDefault="0002397B" w:rsidP="0002397B">
      <w:r w:rsidRPr="0002397B">
        <w:t>the first time the agency has lowered the target from the prior year.</w:t>
      </w:r>
    </w:p>
    <w:p w:rsidR="0002397B" w:rsidRDefault="0002397B" w:rsidP="0002397B">
      <w:pPr>
        <w:rPr>
          <w:sz w:val="16"/>
        </w:rPr>
      </w:pPr>
    </w:p>
    <w:p w:rsidR="0002397B" w:rsidRPr="00996A58" w:rsidRDefault="0002397B" w:rsidP="0002397B">
      <w:pPr>
        <w:pStyle w:val="Heading4"/>
      </w:pPr>
      <w:r w:rsidRPr="00996A58">
        <w:t>Plan trades off</w:t>
      </w:r>
      <w:r>
        <w:t xml:space="preserve"> – the link is the 1AC inherency evidence</w:t>
      </w:r>
    </w:p>
    <w:p w:rsidR="0002397B" w:rsidRDefault="0002397B" w:rsidP="0002397B">
      <w:pPr>
        <w:rPr>
          <w:sz w:val="16"/>
        </w:rPr>
      </w:pPr>
      <w:r>
        <w:rPr>
          <w:sz w:val="16"/>
        </w:rPr>
        <w:t xml:space="preserve">Susan </w:t>
      </w:r>
      <w:r>
        <w:rPr>
          <w:rStyle w:val="Heading4Char"/>
        </w:rPr>
        <w:t>Page 13</w:t>
      </w:r>
      <w:r>
        <w:rPr>
          <w:sz w:val="16"/>
        </w:rPr>
        <w:t>, USA Today, “How Obama can avoid the second-term curse,” 1-15-13, http://www.usatoday.com/story/news/politics/2013/01/14/obama-second-term-curse/1834765/</w:t>
      </w:r>
    </w:p>
    <w:p w:rsidR="0002397B" w:rsidRDefault="0002397B" w:rsidP="0002397B">
      <w:r w:rsidRPr="0002397B">
        <w:t xml:space="preserve">"By the time a second term rolls around, the illusions about a president </w:t>
      </w:r>
    </w:p>
    <w:p w:rsidR="0002397B" w:rsidRDefault="0002397B" w:rsidP="0002397B">
      <w:r>
        <w:t>AND</w:t>
      </w:r>
    </w:p>
    <w:p w:rsidR="0002397B" w:rsidRPr="0002397B" w:rsidRDefault="0002397B" w:rsidP="0002397B">
      <w:r w:rsidRPr="0002397B">
        <w:t>, but not everything. Fighting too many battles could mean winning none.</w:t>
      </w:r>
    </w:p>
    <w:p w:rsidR="0002397B" w:rsidRDefault="0002397B" w:rsidP="0002397B">
      <w:pPr>
        <w:ind w:left="288"/>
        <w:rPr>
          <w:rStyle w:val="Emphasis"/>
          <w:sz w:val="24"/>
          <w:szCs w:val="24"/>
        </w:rPr>
      </w:pPr>
    </w:p>
    <w:p w:rsidR="0002397B" w:rsidRDefault="0002397B" w:rsidP="0002397B"/>
    <w:p w:rsidR="0002397B" w:rsidRPr="00C97C18" w:rsidRDefault="0002397B" w:rsidP="0002397B">
      <w:pPr>
        <w:pStyle w:val="Heading4"/>
      </w:pPr>
      <w:r w:rsidRPr="00C97C18">
        <w:t>New farm bill key to prevent a food price spike</w:t>
      </w:r>
    </w:p>
    <w:p w:rsidR="0002397B" w:rsidRDefault="0002397B" w:rsidP="0002397B">
      <w:r>
        <w:rPr>
          <w:rStyle w:val="StyleStyleBold12pt"/>
        </w:rPr>
        <w:t>Nelson 10/17</w:t>
      </w:r>
      <w:r>
        <w:t>/13 [Joe Nelson, writer for WEAU news, “Obama, ag industry waiting for new Farm bill,” http://www.weau.com/home/headlines/Obama-ag-industry-waiting-for-new-Farm-Bill-228259521.html]</w:t>
      </w:r>
    </w:p>
    <w:p w:rsidR="0002397B" w:rsidRDefault="0002397B" w:rsidP="0002397B">
      <w:r w:rsidRPr="0002397B">
        <w:t xml:space="preserve">With the government shutdown over, farmers are still waiting for a deal to be </w:t>
      </w:r>
    </w:p>
    <w:p w:rsidR="0002397B" w:rsidRDefault="0002397B" w:rsidP="0002397B">
      <w:r>
        <w:t>AND</w:t>
      </w:r>
    </w:p>
    <w:p w:rsidR="0002397B" w:rsidRPr="0002397B" w:rsidRDefault="0002397B" w:rsidP="0002397B">
      <w:r w:rsidRPr="0002397B">
        <w:t>could cut down profits or even force some farmers to quit or retire.</w:t>
      </w:r>
    </w:p>
    <w:p w:rsidR="0002397B" w:rsidRPr="00C97C18" w:rsidRDefault="0002397B" w:rsidP="0002397B">
      <w:pPr>
        <w:pStyle w:val="Heading4"/>
      </w:pPr>
      <w:r w:rsidRPr="00C97C18">
        <w:t>Extinction</w:t>
      </w:r>
    </w:p>
    <w:p w:rsidR="0002397B" w:rsidRDefault="0002397B" w:rsidP="0002397B">
      <w:pPr>
        <w:rPr>
          <w:rStyle w:val="UnderlineBold"/>
        </w:rPr>
      </w:pPr>
      <w:r>
        <w:rPr>
          <w:rStyle w:val="StyleStyleBold12pt"/>
        </w:rPr>
        <w:t>Brown 9</w:t>
      </w:r>
      <w:r>
        <w:t xml:space="preserve"> (Lester R, Founder of the Worldwatch Institute and the Earth Policy Institute “Can Food Shortages Bring Down Civilization?” Scientific American, May, http://www.scientificamerican.com/article.cfm?id=civilization-food-shortages)</w:t>
      </w:r>
    </w:p>
    <w:p w:rsidR="0002397B" w:rsidRDefault="0002397B" w:rsidP="0002397B">
      <w:r w:rsidRPr="0002397B">
        <w:t xml:space="preserve">The biggest threat to global stability is the potential for food crises in poor countries </w:t>
      </w:r>
    </w:p>
    <w:p w:rsidR="0002397B" w:rsidRDefault="0002397B" w:rsidP="0002397B">
      <w:r>
        <w:t>AND</w:t>
      </w:r>
    </w:p>
    <w:p w:rsidR="0002397B" w:rsidRPr="0002397B" w:rsidRDefault="0002397B" w:rsidP="0002397B">
      <w:r w:rsidRPr="0002397B">
        <w:t>states disintegrate, their fall will threaten the stability of global civilization itself.</w:t>
      </w:r>
    </w:p>
    <w:p w:rsidR="0002397B" w:rsidRPr="008C3C1E" w:rsidRDefault="0002397B" w:rsidP="0002397B"/>
    <w:p w:rsidR="0002397B" w:rsidRDefault="0002397B" w:rsidP="0002397B">
      <w:pPr>
        <w:pStyle w:val="Heading2"/>
      </w:pPr>
      <w:r>
        <w:lastRenderedPageBreak/>
        <w:t>CP</w:t>
      </w:r>
    </w:p>
    <w:p w:rsidR="0002397B" w:rsidRPr="008C3C1E" w:rsidRDefault="0002397B" w:rsidP="0002397B">
      <w:pPr>
        <w:keepNext/>
        <w:keepLines/>
        <w:spacing w:before="200"/>
        <w:outlineLvl w:val="3"/>
        <w:rPr>
          <w:rFonts w:asciiTheme="minorHAnsi" w:eastAsiaTheme="majorEastAsia" w:hAnsiTheme="minorHAnsi" w:cstheme="majorBidi"/>
          <w:b/>
          <w:bCs/>
          <w:iCs/>
          <w:sz w:val="26"/>
        </w:rPr>
      </w:pPr>
      <w:r>
        <w:rPr>
          <w:rFonts w:ascii="Garamond" w:eastAsiaTheme="majorEastAsia" w:hAnsi="Garamond" w:cstheme="majorBidi"/>
          <w:b/>
          <w:bCs/>
          <w:iCs/>
        </w:rPr>
        <w:t xml:space="preserve">Text: The United States federal government should </w:t>
      </w:r>
      <w:r w:rsidRPr="001E3A4B">
        <w:rPr>
          <w:rFonts w:asciiTheme="minorHAnsi" w:eastAsiaTheme="majorEastAsia" w:hAnsiTheme="minorHAnsi" w:cstheme="majorBidi"/>
          <w:b/>
          <w:bCs/>
          <w:iCs/>
          <w:sz w:val="26"/>
        </w:rPr>
        <w:t>transfer all financial assets operated by the United States of America on the island of Cuba to the republic of Cub</w:t>
      </w:r>
      <w:r>
        <w:rPr>
          <w:rFonts w:asciiTheme="minorHAnsi" w:eastAsiaTheme="majorEastAsia" w:hAnsiTheme="minorHAnsi" w:cstheme="majorBidi"/>
          <w:b/>
          <w:bCs/>
          <w:iCs/>
          <w:sz w:val="26"/>
        </w:rPr>
        <w:t xml:space="preserve">a </w:t>
      </w:r>
      <w:r>
        <w:rPr>
          <w:rFonts w:ascii="Garamond" w:eastAsiaTheme="majorEastAsia" w:hAnsi="Garamond" w:cstheme="majorBidi"/>
          <w:b/>
          <w:bCs/>
          <w:iCs/>
        </w:rPr>
        <w:t xml:space="preserve">if, and only if, Cuba agrees to release Alan Gross. </w:t>
      </w:r>
    </w:p>
    <w:p w:rsidR="0002397B" w:rsidRDefault="0002397B" w:rsidP="0002397B">
      <w:pPr>
        <w:rPr>
          <w:rFonts w:ascii="Garamond" w:hAnsi="Garamond"/>
        </w:rPr>
      </w:pPr>
    </w:p>
    <w:p w:rsidR="0002397B" w:rsidRDefault="0002397B" w:rsidP="0002397B">
      <w:pPr>
        <w:keepNext/>
        <w:keepLines/>
        <w:spacing w:before="200"/>
        <w:outlineLvl w:val="3"/>
        <w:rPr>
          <w:rFonts w:ascii="Garamond" w:eastAsiaTheme="majorEastAsia" w:hAnsi="Garamond" w:cstheme="majorBidi"/>
          <w:b/>
          <w:bCs/>
          <w:iCs/>
          <w:sz w:val="26"/>
        </w:rPr>
      </w:pPr>
      <w:r>
        <w:rPr>
          <w:rFonts w:ascii="Garamond" w:eastAsiaTheme="majorEastAsia" w:hAnsi="Garamond" w:cstheme="majorBidi"/>
          <w:b/>
          <w:bCs/>
          <w:iCs/>
          <w:sz w:val="26"/>
        </w:rPr>
        <w:t>QPQ on economic engagement for Gross’s release solves</w:t>
      </w:r>
    </w:p>
    <w:p w:rsidR="0002397B" w:rsidRDefault="0002397B" w:rsidP="0002397B">
      <w:pPr>
        <w:rPr>
          <w:rFonts w:ascii="Garamond" w:hAnsi="Garamond"/>
        </w:rPr>
      </w:pPr>
      <w:r>
        <w:rPr>
          <w:rFonts w:ascii="Garamond" w:hAnsi="Garamond"/>
          <w:b/>
          <w:bCs/>
          <w:sz w:val="26"/>
        </w:rPr>
        <w:t xml:space="preserve">Piccone 12/10/12 </w:t>
      </w:r>
      <w:r>
        <w:rPr>
          <w:rFonts w:ascii="Garamond" w:hAnsi="Garamond"/>
        </w:rPr>
        <w:t xml:space="preserve">– (Ted, “WHAT ROLES FOR FOREIGN DIRECT INVESTMENT IN THE NEW CUBAN ECONOMY?” The Brookings Institute, Senior Fellow and Deputy Director, Foreign Policy at the Brookings Institute, Available online @ </w:t>
      </w:r>
      <w:hyperlink r:id="rId13" w:history="1">
        <w:r>
          <w:rPr>
            <w:rStyle w:val="Hyperlink"/>
            <w:rFonts w:ascii="Garamond" w:hAnsi="Garamond"/>
          </w:rPr>
          <w:t>http://www.brookings.edu/~/media/events/2012/12/10%20cuba/20121210_cuban_economy.pdf</w:t>
        </w:r>
      </w:hyperlink>
      <w:r>
        <w:rPr>
          <w:rFonts w:ascii="Garamond" w:hAnsi="Garamond"/>
        </w:rPr>
        <w:t>)</w:t>
      </w:r>
    </w:p>
    <w:p w:rsidR="0002397B" w:rsidRDefault="0002397B" w:rsidP="0002397B">
      <w:r w:rsidRPr="0002397B">
        <w:t xml:space="preserve">SPEAKER: Thank you. Back to the stalemate in which we now find ¶ </w:t>
      </w:r>
    </w:p>
    <w:p w:rsidR="0002397B" w:rsidRDefault="0002397B" w:rsidP="0002397B">
      <w:r>
        <w:t>AND</w:t>
      </w:r>
    </w:p>
    <w:p w:rsidR="0002397B" w:rsidRPr="0002397B" w:rsidRDefault="0002397B" w:rsidP="0002397B">
      <w:r w:rsidRPr="0002397B">
        <w:t>Maybe I’ll leave it ¶ to Ted to mainly handle the Alan Gross question</w:t>
      </w:r>
    </w:p>
    <w:p w:rsidR="0002397B" w:rsidRDefault="0002397B" w:rsidP="0002397B"/>
    <w:p w:rsidR="0002397B" w:rsidRDefault="0002397B" w:rsidP="0002397B">
      <w:pPr>
        <w:pStyle w:val="Heading2"/>
      </w:pPr>
      <w:r>
        <w:lastRenderedPageBreak/>
        <w:t>Imperialism</w:t>
      </w:r>
    </w:p>
    <w:p w:rsidR="0002397B" w:rsidRDefault="0002397B" w:rsidP="0002397B">
      <w:pPr>
        <w:pStyle w:val="Heading4"/>
      </w:pPr>
      <w:r>
        <w:t>Imperialism is no longer justified unless it has a net-positive effect on the target state</w:t>
      </w:r>
    </w:p>
    <w:p w:rsidR="0002397B" w:rsidRDefault="0002397B" w:rsidP="0002397B">
      <w:r w:rsidRPr="00C316D0">
        <w:rPr>
          <w:rStyle w:val="StyleStyleBold12pt"/>
        </w:rPr>
        <w:t>Miller 11</w:t>
      </w:r>
      <w:r>
        <w:t xml:space="preserve"> (Harrison,  head writer and research for The Miller Monitor, “</w:t>
      </w:r>
      <w:r w:rsidRPr="00C316D0">
        <w:t>Justifying Imperialism</w:t>
      </w:r>
      <w:r>
        <w:t xml:space="preserve">” December 21, 2011, </w:t>
      </w:r>
      <w:r w:rsidRPr="00C316D0">
        <w:t>https://sites.google.com/a/ncps-k12.org/amhnews-h-miller-2011/intellectual/justifying-imperialism</w:t>
      </w:r>
      <w:r>
        <w:t>)</w:t>
      </w:r>
    </w:p>
    <w:p w:rsidR="0002397B" w:rsidRDefault="0002397B" w:rsidP="0002397B">
      <w:r w:rsidRPr="0002397B">
        <w:t xml:space="preserve">United States imperialism began in the late 1800s and since its inception Americans have been </w:t>
      </w:r>
    </w:p>
    <w:p w:rsidR="0002397B" w:rsidRDefault="0002397B" w:rsidP="0002397B">
      <w:r>
        <w:t>AND</w:t>
      </w:r>
    </w:p>
    <w:p w:rsidR="0002397B" w:rsidRPr="0002397B" w:rsidRDefault="0002397B" w:rsidP="0002397B">
      <w:r w:rsidRPr="0002397B">
        <w:t>spread their culture to other countries today, justifying the validity of imperialism.</w:t>
      </w:r>
    </w:p>
    <w:p w:rsidR="0002397B" w:rsidRDefault="0002397B" w:rsidP="0002397B">
      <w:pPr>
        <w:rPr>
          <w:sz w:val="16"/>
        </w:rPr>
      </w:pPr>
    </w:p>
    <w:p w:rsidR="0002397B" w:rsidRDefault="0002397B" w:rsidP="0002397B">
      <w:pPr>
        <w:pStyle w:val="Heading4"/>
      </w:pPr>
      <w:r>
        <w:t>No serial policy failure – their evidence only has two examples of imperialist entanglements and doesn’t make a general statement about imperialism</w:t>
      </w:r>
    </w:p>
    <w:p w:rsidR="0002397B" w:rsidRDefault="0002397B" w:rsidP="0002397B"/>
    <w:p w:rsidR="0002397B" w:rsidRPr="008A280C" w:rsidRDefault="0002397B" w:rsidP="0002397B">
      <w:pPr>
        <w:rPr>
          <w:rFonts w:ascii="Garamond" w:hAnsi="Garamond"/>
          <w:b/>
        </w:rPr>
      </w:pPr>
      <w:r w:rsidRPr="008A280C">
        <w:rPr>
          <w:rFonts w:ascii="Garamond" w:hAnsi="Garamond"/>
          <w:b/>
          <w:sz w:val="24"/>
        </w:rPr>
        <w:t>Utilitarian</w:t>
      </w:r>
      <w:r>
        <w:rPr>
          <w:rFonts w:ascii="Garamond" w:hAnsi="Garamond"/>
          <w:b/>
          <w:sz w:val="24"/>
        </w:rPr>
        <w:t>ism</w:t>
      </w:r>
      <w:r w:rsidRPr="008A280C">
        <w:rPr>
          <w:rFonts w:ascii="Garamond" w:hAnsi="Garamond"/>
          <w:b/>
          <w:sz w:val="24"/>
        </w:rPr>
        <w:t xml:space="preserve"> is superior</w:t>
      </w:r>
    </w:p>
    <w:p w:rsidR="0002397B" w:rsidRPr="0002397B" w:rsidRDefault="0002397B" w:rsidP="0002397B">
      <w:r w:rsidRPr="0002397B">
        <w:rPr>
          <w:rStyle w:val="StyleStyleBold12pt"/>
        </w:rPr>
        <w:t xml:space="preserve">Isaac 2 </w:t>
      </w:r>
      <w:r w:rsidRPr="0002397B">
        <w:t>Jeffrey C. Isaac, Professor of Political Science and director of the Center for the Study of Democracy and Public Life at Indiana University, Spring 2002, Dissent, Ends, means, and politics</w:t>
      </w:r>
    </w:p>
    <w:p w:rsidR="0002397B" w:rsidRPr="008A280C" w:rsidRDefault="0002397B" w:rsidP="0002397B">
      <w:pPr>
        <w:rPr>
          <w:rStyle w:val="Highlightedunderline"/>
          <w:rFonts w:ascii="Garamond" w:hAnsi="Garamond"/>
          <w:sz w:val="28"/>
        </w:rPr>
      </w:pPr>
    </w:p>
    <w:p w:rsidR="0002397B" w:rsidRDefault="0002397B" w:rsidP="0002397B">
      <w:r w:rsidRPr="0002397B">
        <w:t xml:space="preserve">Power is not a dirty word or an unfortunate feature of the world. It </w:t>
      </w:r>
    </w:p>
    <w:p w:rsidR="0002397B" w:rsidRDefault="0002397B" w:rsidP="0002397B">
      <w:r>
        <w:t>AND</w:t>
      </w:r>
    </w:p>
    <w:p w:rsidR="0002397B" w:rsidRPr="0002397B" w:rsidRDefault="0002397B" w:rsidP="0002397B">
      <w:r w:rsidRPr="0002397B">
        <w:t>not true believers. It promotes arrogance. And it undermines political effectiveness.</w:t>
      </w:r>
    </w:p>
    <w:p w:rsidR="0002397B" w:rsidRDefault="0002397B" w:rsidP="0002397B">
      <w:pPr>
        <w:pStyle w:val="Heading4"/>
      </w:pPr>
      <w:r>
        <w:t>Investigation of different political strategies to strive for ethical outcomes is superior to demands for purity.</w:t>
      </w:r>
    </w:p>
    <w:p w:rsidR="0002397B" w:rsidRPr="0002397B" w:rsidRDefault="0002397B" w:rsidP="0002397B">
      <w:r w:rsidRPr="0002397B">
        <w:rPr>
          <w:rStyle w:val="StyleStyleBold12pt"/>
        </w:rPr>
        <w:t xml:space="preserve">Isaac 2 </w:t>
      </w:r>
      <w:r w:rsidRPr="0002397B">
        <w:t>Jeffrey C. Isaac, Professor of Political Science and director of the Center for the Study of Democracy and Public Life at Indiana University, Spring 2002, Dissent, Ends, means, and politics</w:t>
      </w:r>
    </w:p>
    <w:p w:rsidR="0002397B" w:rsidRDefault="0002397B" w:rsidP="0002397B">
      <w:r w:rsidRPr="0002397B">
        <w:t>Second, it would mean frankly acknowledging something well understood, often too eagerly embraced</w:t>
      </w:r>
    </w:p>
    <w:p w:rsidR="0002397B" w:rsidRDefault="0002397B" w:rsidP="0002397B">
      <w:r>
        <w:t>AND</w:t>
      </w:r>
    </w:p>
    <w:p w:rsidR="0002397B" w:rsidRPr="0002397B" w:rsidRDefault="0002397B" w:rsidP="0002397B">
      <w:r w:rsidRPr="0002397B">
        <w:t>hand, the means available, and the likely effectiveness of different strategies.</w:t>
      </w:r>
    </w:p>
    <w:p w:rsidR="0002397B" w:rsidRPr="00D30714" w:rsidRDefault="0002397B" w:rsidP="0002397B"/>
    <w:p w:rsidR="0002397B" w:rsidRPr="00B27803" w:rsidRDefault="0002397B" w:rsidP="0002397B"/>
    <w:p w:rsidR="0002397B" w:rsidRDefault="0002397B" w:rsidP="0002397B">
      <w:pPr>
        <w:pStyle w:val="Heading2"/>
      </w:pPr>
      <w:r>
        <w:lastRenderedPageBreak/>
        <w:t>Biopower</w:t>
      </w:r>
    </w:p>
    <w:p w:rsidR="0002397B" w:rsidRPr="00890474" w:rsidRDefault="0002397B" w:rsidP="0002397B">
      <w:pPr>
        <w:pStyle w:val="tag"/>
      </w:pPr>
      <w:r w:rsidRPr="00890474">
        <w:t>Zero impact to biopower---biopolitical governance can’t mobilize populations for violence</w:t>
      </w:r>
      <w:r>
        <w:t xml:space="preserve"> in the modern era</w:t>
      </w:r>
    </w:p>
    <w:p w:rsidR="0002397B" w:rsidRPr="00890474" w:rsidRDefault="0002397B" w:rsidP="0002397B">
      <w:r w:rsidRPr="00890474">
        <w:t xml:space="preserve">Jonathan </w:t>
      </w:r>
      <w:r w:rsidRPr="00890474">
        <w:rPr>
          <w:b/>
          <w:sz w:val="24"/>
        </w:rPr>
        <w:t>Short</w:t>
      </w:r>
      <w:r w:rsidRPr="00890474">
        <w:t xml:space="preserve">, Ph.D. candidate in the Graduate Programme in Social &amp; Political Thought, York University, </w:t>
      </w:r>
      <w:r w:rsidRPr="00890474">
        <w:rPr>
          <w:b/>
          <w:sz w:val="24"/>
        </w:rPr>
        <w:t>2005</w:t>
      </w:r>
      <w:r w:rsidRPr="00890474">
        <w:t>, “Life and Law: Agamben and Foucault on Governmentality and Sovereignty,” Journal for the Arts, Sciences and Technology, Vol. 3, No. 1</w:t>
      </w:r>
    </w:p>
    <w:p w:rsidR="0002397B" w:rsidRDefault="0002397B" w:rsidP="0002397B">
      <w:r w:rsidRPr="0002397B">
        <w:t xml:space="preserve">Adding to the dangerousness of this logic of control, however, is that while </w:t>
      </w:r>
    </w:p>
    <w:p w:rsidR="0002397B" w:rsidRDefault="0002397B" w:rsidP="0002397B">
      <w:r>
        <w:t>AND</w:t>
      </w:r>
    </w:p>
    <w:p w:rsidR="0002397B" w:rsidRPr="0002397B" w:rsidRDefault="0002397B" w:rsidP="0002397B">
      <w:r w:rsidRPr="0002397B">
        <w:t xml:space="preserve">nation-state have fallen into disrepute and have been all but abandoned. </w:t>
      </w:r>
    </w:p>
    <w:p w:rsidR="0002397B" w:rsidRPr="0051012C" w:rsidRDefault="0002397B" w:rsidP="0002397B"/>
    <w:p w:rsidR="0002397B" w:rsidRDefault="0002397B" w:rsidP="0002397B">
      <w:pPr>
        <w:pStyle w:val="Heading4"/>
        <w:rPr>
          <w:rFonts w:ascii="Times New Roman" w:eastAsia="Times New Roman" w:hAnsi="Times New Roman"/>
        </w:rPr>
      </w:pPr>
      <w:r>
        <w:rPr>
          <w:rFonts w:eastAsia="Times New Roman"/>
        </w:rPr>
        <w:t>Postmodernism reduces the body to a blank slate helplessly inscribed by the molar forces of the collective.  In positing its general accounts of the phenomenological body, it covers up and makes logically impossible an account of the sexual body, and this makes women’s political exploitation inevitable.</w:t>
      </w:r>
    </w:p>
    <w:p w:rsidR="0002397B" w:rsidRDefault="0002397B" w:rsidP="0002397B">
      <w:pPr>
        <w:rPr>
          <w:rFonts w:eastAsia="Times New Roman"/>
          <w:sz w:val="20"/>
          <w:szCs w:val="20"/>
        </w:rPr>
      </w:pPr>
      <w:r>
        <w:rPr>
          <w:rFonts w:eastAsia="Times New Roman"/>
          <w:b/>
          <w:sz w:val="24"/>
          <w:szCs w:val="20"/>
        </w:rPr>
        <w:t xml:space="preserve">Cahill 2001 </w:t>
      </w:r>
      <w:r>
        <w:rPr>
          <w:rFonts w:eastAsia="Times New Roman"/>
          <w:sz w:val="20"/>
          <w:szCs w:val="20"/>
        </w:rPr>
        <w:t xml:space="preserve">[Ann, </w:t>
      </w:r>
      <w:r>
        <w:rPr>
          <w:rFonts w:eastAsia="Times New Roman"/>
          <w:i/>
          <w:sz w:val="20"/>
          <w:szCs w:val="20"/>
        </w:rPr>
        <w:t>Rethinking Rape</w:t>
      </w:r>
      <w:r>
        <w:rPr>
          <w:rFonts w:eastAsia="Times New Roman"/>
          <w:sz w:val="20"/>
          <w:szCs w:val="20"/>
        </w:rPr>
        <w:t>, pp. 65-68]</w:t>
      </w:r>
    </w:p>
    <w:p w:rsidR="0002397B" w:rsidRDefault="0002397B" w:rsidP="0002397B">
      <w:r w:rsidRPr="0002397B">
        <w:t xml:space="preserve">While postmodern theory was virtually unanimous in its dethroning of scientific knowledge as the arbiter </w:t>
      </w:r>
    </w:p>
    <w:p w:rsidR="0002397B" w:rsidRDefault="0002397B" w:rsidP="0002397B">
      <w:r>
        <w:t>AND</w:t>
      </w:r>
    </w:p>
    <w:p w:rsidR="0002397B" w:rsidRPr="0002397B" w:rsidRDefault="0002397B" w:rsidP="0002397B">
      <w:r w:rsidRPr="0002397B">
        <w:t xml:space="preserve">when distinctively disembodied, continues to thwart feminist attempts to develop women's agency. </w:t>
      </w:r>
    </w:p>
    <w:p w:rsidR="0002397B" w:rsidRDefault="0002397B" w:rsidP="0002397B">
      <w:pPr>
        <w:rPr>
          <w:rFonts w:eastAsia="PMingLiU"/>
          <w:b/>
          <w:bCs/>
          <w:iCs/>
          <w:sz w:val="24"/>
        </w:rPr>
      </w:pPr>
    </w:p>
    <w:p w:rsidR="0002397B" w:rsidRDefault="0002397B" w:rsidP="0002397B">
      <w:pPr>
        <w:pStyle w:val="Heading4"/>
        <w:rPr>
          <w:rFonts w:eastAsiaTheme="minorHAnsi"/>
          <w:sz w:val="22"/>
        </w:rPr>
      </w:pPr>
      <w:r>
        <w:t>The Affirmative’s denial of reality and attempt to proclaim a crisis of subjectivity is an attempt to move away from the idea of a universal truth.  However, some things are true, and one of those truths is gender equality</w:t>
      </w:r>
    </w:p>
    <w:p w:rsidR="0002397B" w:rsidRDefault="0002397B" w:rsidP="0002397B">
      <w:pPr>
        <w:rPr>
          <w:b/>
          <w:i/>
          <w:color w:val="000000"/>
          <w:szCs w:val="20"/>
        </w:rPr>
      </w:pPr>
      <w:r>
        <w:rPr>
          <w:color w:val="000000"/>
          <w:szCs w:val="20"/>
        </w:rPr>
        <w:t xml:space="preserve">David </w:t>
      </w:r>
      <w:r>
        <w:rPr>
          <w:b/>
          <w:color w:val="000000"/>
        </w:rPr>
        <w:t>Dalgleish</w:t>
      </w:r>
      <w:r>
        <w:rPr>
          <w:color w:val="000000"/>
          <w:szCs w:val="20"/>
        </w:rPr>
        <w:t xml:space="preserve">, “In Search of </w:t>
      </w:r>
      <w:r>
        <w:rPr>
          <w:strike/>
          <w:color w:val="000000"/>
          <w:szCs w:val="20"/>
        </w:rPr>
        <w:t>Wonder</w:t>
      </w:r>
      <w:r>
        <w:rPr>
          <w:color w:val="000000"/>
          <w:szCs w:val="20"/>
        </w:rPr>
        <w:t xml:space="preserve"> Naive Criticism: Some Objections to Baudrillard and Bukatman,”19</w:t>
      </w:r>
      <w:r>
        <w:rPr>
          <w:b/>
          <w:color w:val="000000"/>
        </w:rPr>
        <w:t>97</w:t>
      </w:r>
      <w:r>
        <w:rPr>
          <w:color w:val="000000"/>
          <w:szCs w:val="20"/>
        </w:rPr>
        <w:t xml:space="preserve"> Science Fiction Studies, 24(1), March, http://www.depauw.edu/sfs/backissues/71/dalgleish71.htm</w:t>
      </w:r>
      <w:r>
        <w:rPr>
          <w:color w:val="000000"/>
          <w:szCs w:val="20"/>
        </w:rPr>
        <w:tab/>
      </w:r>
      <w:r>
        <w:rPr>
          <w:b/>
          <w:i/>
          <w:color w:val="000000"/>
          <w:szCs w:val="20"/>
        </w:rPr>
        <w:t>***SF = Science Fiction***</w:t>
      </w:r>
    </w:p>
    <w:p w:rsidR="0002397B" w:rsidRDefault="0002397B" w:rsidP="0002397B">
      <w:r w:rsidRPr="0002397B">
        <w:t xml:space="preserve">But postmodern sf criticism is not the only form of sf criticism being practiced these </w:t>
      </w:r>
    </w:p>
    <w:p w:rsidR="0002397B" w:rsidRDefault="0002397B" w:rsidP="0002397B">
      <w:r>
        <w:t>AND</w:t>
      </w:r>
    </w:p>
    <w:p w:rsidR="0002397B" w:rsidRPr="0002397B" w:rsidRDefault="0002397B" w:rsidP="0002397B">
      <w:r w:rsidRPr="0002397B">
        <w:t>, but still allows the real, the true, to exist independently.</w:t>
      </w:r>
    </w:p>
    <w:p w:rsidR="0002397B" w:rsidRDefault="0002397B" w:rsidP="0002397B"/>
    <w:p w:rsidR="0002397B" w:rsidRDefault="0002397B" w:rsidP="0002397B">
      <w:pPr>
        <w:pStyle w:val="Heading4"/>
        <w:rPr>
          <w:rFonts w:ascii="Times New Roman" w:hAnsi="Times New Roman"/>
        </w:rPr>
      </w:pPr>
      <w:r>
        <w:t>A</w:t>
      </w:r>
      <w:r>
        <w:t>gamben’s theory of bare life is inherently gendered--</w:t>
      </w:r>
    </w:p>
    <w:p w:rsidR="0002397B" w:rsidRDefault="0002397B" w:rsidP="0002397B">
      <w:r>
        <w:t xml:space="preserve">Ewa </w:t>
      </w:r>
      <w:r>
        <w:rPr>
          <w:rStyle w:val="StyleStyleBold12pt"/>
        </w:rPr>
        <w:t>Ziarek, 2008</w:t>
      </w:r>
      <w:r>
        <w:t xml:space="preserve"> (Bare Life on Strike: Notes on the BIopolitics of Race and Gender, South Atlantic Quarterly, 107:1, Winter) </w:t>
      </w:r>
    </w:p>
    <w:p w:rsidR="0002397B" w:rsidRDefault="0002397B" w:rsidP="0002397B">
      <w:r w:rsidRPr="0002397B">
        <w:t xml:space="preserve">The most compelling force of Agamben's work is his diagnosis of the ways the aporia </w:t>
      </w:r>
    </w:p>
    <w:p w:rsidR="0002397B" w:rsidRDefault="0002397B" w:rsidP="0002397B">
      <w:r>
        <w:t>AND</w:t>
      </w:r>
    </w:p>
    <w:p w:rsidR="0002397B" w:rsidRPr="0002397B" w:rsidRDefault="0002397B" w:rsidP="0002397B">
      <w:r w:rsidRPr="0002397B">
        <w:t>erasure of the political distinctions and negative differentiation retrospectively produced by such erasure.</w:t>
      </w:r>
    </w:p>
    <w:p w:rsidR="0002397B" w:rsidRDefault="0002397B" w:rsidP="0002397B"/>
    <w:p w:rsidR="0002397B" w:rsidRDefault="0002397B" w:rsidP="0002397B">
      <w:pPr>
        <w:pStyle w:val="Heading4"/>
      </w:pPr>
      <w:r>
        <w:lastRenderedPageBreak/>
        <w:t>His silence on sexual difference happens THROUGHOUT his work</w:t>
      </w:r>
    </w:p>
    <w:p w:rsidR="0002397B" w:rsidRDefault="0002397B" w:rsidP="0002397B">
      <w:r>
        <w:t xml:space="preserve">Catherine </w:t>
      </w:r>
      <w:r>
        <w:rPr>
          <w:rStyle w:val="StyleStyleBold12pt"/>
        </w:rPr>
        <w:t>Mills, 2008</w:t>
      </w:r>
      <w:r>
        <w:t xml:space="preserve"> (The Philosophy of Agamben, McGill-Queens University Press: Ithaca, p 114-115) </w:t>
      </w:r>
    </w:p>
    <w:p w:rsidR="0002397B" w:rsidRDefault="0002397B" w:rsidP="0002397B">
      <w:r w:rsidRPr="0002397B">
        <w:t xml:space="preserve">Several points can be made about this conception of sexual fulfilment and notion of the </w:t>
      </w:r>
    </w:p>
    <w:p w:rsidR="0002397B" w:rsidRDefault="0002397B" w:rsidP="0002397B">
      <w:r>
        <w:t>AND</w:t>
      </w:r>
    </w:p>
    <w:p w:rsidR="0002397B" w:rsidRPr="0002397B" w:rsidRDefault="0002397B" w:rsidP="0002397B">
      <w:r w:rsidRPr="0002397B">
        <w:t>the woman, inscribed solely in her face" {IP: 74).</w:t>
      </w:r>
    </w:p>
    <w:p w:rsidR="0002397B" w:rsidRPr="00663F6D" w:rsidRDefault="0002397B" w:rsidP="0002397B"/>
    <w:p w:rsidR="0002397B" w:rsidRPr="008C3C1E" w:rsidRDefault="0002397B" w:rsidP="0002397B"/>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7A37" w:rsidRDefault="00A97A37" w:rsidP="005F5576">
      <w:r>
        <w:separator/>
      </w:r>
    </w:p>
  </w:endnote>
  <w:endnote w:type="continuationSeparator" w:id="0">
    <w:p w:rsidR="00A97A37" w:rsidRDefault="00A97A3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7A37" w:rsidRDefault="00A97A37" w:rsidP="005F5576">
      <w:r>
        <w:separator/>
      </w:r>
    </w:p>
  </w:footnote>
  <w:footnote w:type="continuationSeparator" w:id="0">
    <w:p w:rsidR="00A97A37" w:rsidRDefault="00A97A3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97B"/>
    <w:rsid w:val="000022F2"/>
    <w:rsid w:val="0000459F"/>
    <w:rsid w:val="00004EB4"/>
    <w:rsid w:val="0002196C"/>
    <w:rsid w:val="00021F29"/>
    <w:rsid w:val="0002397B"/>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97A37"/>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37597"/>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CF6FEDE4-781E-4654-A974-D4E99682C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Heading 2 Char1 Char Char, Ch,Heading 2 Char2 Char,Ch,no read,No Spacing211,No Spacing12,No Spacing2111,No Spacing1,No Spacing11,No Spacing111,No Spacing112,No Spacing1121,No Spacing2,TAG,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minimized,Evidence,Highlighted,tag2,Size 10,emphasis in card,CD Card,Underlined,ED - Tag,emphasis,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8.5"/>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small text Char,heading 2 Char,Heading 2 Char1 Char Char Char1, Ch Char,Heading 2 Char2 Char Char1,Ch Char,no read Char,No Spacing211 Char,No Spacing12 Char,No Spacing2111 Char,TAG Char2"/>
    <w:basedOn w:val="DefaultParagraphFont"/>
    <w:link w:val="Heading4"/>
    <w:uiPriority w:val="4"/>
    <w:rsid w:val="00D176BE"/>
    <w:rPr>
      <w:rFonts w:ascii="Calibri" w:eastAsiaTheme="majorEastAsia" w:hAnsi="Calibri" w:cstheme="majorBidi"/>
      <w:b/>
      <w:bCs/>
      <w:iCs/>
      <w:sz w:val="26"/>
    </w:rPr>
  </w:style>
  <w:style w:type="character" w:customStyle="1" w:styleId="cite">
    <w:name w:val="cite"/>
    <w:rsid w:val="0002397B"/>
    <w:rPr>
      <w:rFonts w:ascii="Times New Roman" w:hAnsi="Times New Roman"/>
      <w:b/>
      <w:sz w:val="24"/>
    </w:rPr>
  </w:style>
  <w:style w:type="paragraph" w:customStyle="1" w:styleId="tag">
    <w:name w:val="tag"/>
    <w:basedOn w:val="Normal"/>
    <w:next w:val="Normal"/>
    <w:link w:val="tagChar"/>
    <w:rsid w:val="0002397B"/>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02397B"/>
    <w:rPr>
      <w:rFonts w:ascii="Calibri" w:hAnsi="Calibri" w:cs="Calibri"/>
      <w:b/>
      <w:sz w:val="24"/>
    </w:rPr>
  </w:style>
  <w:style w:type="paragraph" w:customStyle="1" w:styleId="card">
    <w:name w:val="card"/>
    <w:basedOn w:val="Normal"/>
    <w:next w:val="Normal"/>
    <w:link w:val="cardChar"/>
    <w:qFormat/>
    <w:rsid w:val="0002397B"/>
    <w:pPr>
      <w:ind w:left="288" w:right="288"/>
    </w:pPr>
  </w:style>
  <w:style w:type="character" w:customStyle="1" w:styleId="cardChar">
    <w:name w:val="card Char"/>
    <w:link w:val="card"/>
    <w:rsid w:val="0002397B"/>
    <w:rPr>
      <w:rFonts w:ascii="Calibri" w:hAnsi="Calibri" w:cs="Calibri"/>
    </w:rPr>
  </w:style>
  <w:style w:type="character" w:customStyle="1" w:styleId="underline">
    <w:name w:val="underline"/>
    <w:qFormat/>
    <w:rsid w:val="0002397B"/>
    <w:rPr>
      <w:b/>
      <w:u w:val="single"/>
    </w:rPr>
  </w:style>
  <w:style w:type="character" w:customStyle="1" w:styleId="Box">
    <w:name w:val="Box"/>
    <w:basedOn w:val="DefaultParagraphFont"/>
    <w:uiPriority w:val="1"/>
    <w:qFormat/>
    <w:rsid w:val="0002397B"/>
    <w:rPr>
      <w:b/>
      <w:bCs w:val="0"/>
      <w:u w:val="single"/>
      <w:bdr w:val="single" w:sz="4" w:space="0" w:color="auto" w:frame="1"/>
    </w:rPr>
  </w:style>
  <w:style w:type="character" w:customStyle="1" w:styleId="cardtextChar">
    <w:name w:val="card text Char"/>
    <w:basedOn w:val="DefaultParagraphFont"/>
    <w:link w:val="cardtext"/>
    <w:locked/>
    <w:rsid w:val="0002397B"/>
    <w:rPr>
      <w:rFonts w:ascii="Georgia" w:hAnsi="Georgia"/>
    </w:rPr>
  </w:style>
  <w:style w:type="paragraph" w:customStyle="1" w:styleId="cardtext">
    <w:name w:val="card text"/>
    <w:basedOn w:val="Normal"/>
    <w:link w:val="cardtextChar"/>
    <w:qFormat/>
    <w:rsid w:val="0002397B"/>
    <w:pPr>
      <w:ind w:left="288" w:right="288"/>
    </w:pPr>
    <w:rPr>
      <w:rFonts w:ascii="Georgia" w:hAnsi="Georgia" w:cstheme="minorBidi"/>
    </w:rPr>
  </w:style>
  <w:style w:type="character" w:customStyle="1" w:styleId="UnderlineBold">
    <w:name w:val="Underline + Bold"/>
    <w:uiPriority w:val="1"/>
    <w:qFormat/>
    <w:rsid w:val="0002397B"/>
    <w:rPr>
      <w:b/>
      <w:bCs w:val="0"/>
      <w:sz w:val="20"/>
      <w:u w:val="single"/>
    </w:rPr>
  </w:style>
  <w:style w:type="character" w:customStyle="1" w:styleId="underlineChar">
    <w:name w:val="underline Char"/>
    <w:rsid w:val="0002397B"/>
    <w:rPr>
      <w:u w:val="single"/>
    </w:rPr>
  </w:style>
  <w:style w:type="character" w:customStyle="1" w:styleId="smallChar">
    <w:name w:val="small Char"/>
    <w:rsid w:val="0002397B"/>
    <w:rPr>
      <w:rFonts w:ascii="Times New Roman" w:hAnsi="Times New Roman"/>
      <w:sz w:val="16"/>
    </w:rPr>
  </w:style>
  <w:style w:type="character" w:customStyle="1" w:styleId="Highlightedunderline">
    <w:name w:val="Highlighted underline"/>
    <w:rsid w:val="0002397B"/>
    <w:rPr>
      <w:rFonts w:ascii="Times New Roman" w:hAnsi="Times New Roman"/>
      <w:sz w:val="20"/>
      <w:u w:val="single"/>
      <w:bdr w:val="none" w:sz="0" w:space="0" w:color="auto"/>
      <w:shd w:val="clear" w:color="auto" w:fill="C0C0C0"/>
    </w:rPr>
  </w:style>
  <w:style w:type="paragraph" w:customStyle="1" w:styleId="hotroute">
    <w:name w:val="hot route!"/>
    <w:basedOn w:val="Normal"/>
    <w:qFormat/>
    <w:rsid w:val="0002397B"/>
    <w:pPr>
      <w:ind w:left="144"/>
    </w:pPr>
    <w:rPr>
      <w:rFonts w:ascii="Times New Roman" w:eastAsia="Calibri"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rookings.edu/~/media/events/2012/12/10%20cuba/20121210_cuban_economy.pdf"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thehill.com/blogs/on-the-money/agriculture/190777-epa-ethanol-decision-pushes-farm-bill-toward-finish-lin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pringerlink.com/content/v083155n8l118j06/fulltext.pdf"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criptorium.lib.duke.edu/wlm/womid%20//" TargetMode="External"/><Relationship Id="rId4" Type="http://schemas.openxmlformats.org/officeDocument/2006/relationships/styles" Target="styles.xml"/><Relationship Id="rId9" Type="http://schemas.openxmlformats.org/officeDocument/2006/relationships/hyperlink" Target="http://web.archive.org/web/20120906033646/http://polisci.osu.edu/faculty/bpollins/book/Mastanduno.pdf"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dal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10</Pages>
  <Words>2205</Words>
  <Characters>12574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14750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Kendall Witaszek</dc:creator>
  <cp:keywords>Verbatim</cp:keywords>
  <dc:description>Verbatim 4.6</dc:description>
  <cp:lastModifiedBy>Kendall Witaszek</cp:lastModifiedBy>
  <cp:revision>1</cp:revision>
  <dcterms:created xsi:type="dcterms:W3CDTF">2013-12-03T15:04:00Z</dcterms:created>
  <dcterms:modified xsi:type="dcterms:W3CDTF">2013-12-03T15:06:00Z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