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21CC" w:rsidRDefault="007721CC" w:rsidP="007721CC">
      <w:pPr>
        <w:pStyle w:val="Heading2"/>
      </w:pPr>
      <w:r>
        <w:t>1</w:t>
      </w:r>
    </w:p>
    <w:p w:rsidR="007721CC" w:rsidRDefault="007721CC" w:rsidP="007721CC">
      <w:pPr>
        <w:pStyle w:val="Heading4"/>
        <w:numPr>
          <w:ilvl w:val="0"/>
          <w:numId w:val="1"/>
        </w:numPr>
        <w:rPr>
          <w:rFonts w:ascii="Garamond" w:hAnsi="Garamond"/>
          <w:b w:val="0"/>
          <w:bCs w:val="0"/>
        </w:rPr>
      </w:pPr>
      <w:r>
        <w:rPr>
          <w:rFonts w:ascii="Garamond" w:hAnsi="Garamond"/>
          <w:b w:val="0"/>
          <w:bCs w:val="0"/>
        </w:rPr>
        <w:t xml:space="preserve">Interpretation - “Engagement” requires the provision of </w:t>
      </w:r>
      <w:r>
        <w:rPr>
          <w:rFonts w:ascii="Garamond" w:hAnsi="Garamond"/>
          <w:b w:val="0"/>
          <w:bCs w:val="0"/>
          <w:u w:val="single"/>
        </w:rPr>
        <w:t>positive</w:t>
      </w:r>
      <w:r>
        <w:rPr>
          <w:rFonts w:ascii="Garamond" w:hAnsi="Garamond"/>
          <w:b w:val="0"/>
          <w:bCs w:val="0"/>
        </w:rPr>
        <w:t xml:space="preserve"> incentives</w:t>
      </w:r>
    </w:p>
    <w:p w:rsidR="007721CC" w:rsidRDefault="007721CC" w:rsidP="007721CC">
      <w:pPr>
        <w:rPr>
          <w:rFonts w:ascii="Garamond" w:hAnsi="Garamond"/>
          <w:sz w:val="16"/>
          <w:szCs w:val="16"/>
        </w:rPr>
      </w:pPr>
      <w:r>
        <w:rPr>
          <w:rStyle w:val="StyleStyleBold12pt"/>
          <w:rFonts w:ascii="Garamond" w:hAnsi="Garamond"/>
        </w:rPr>
        <w:t>Haass 00</w:t>
      </w:r>
      <w:r>
        <w:rPr>
          <w:rFonts w:ascii="Garamond" w:hAnsi="Garamond"/>
        </w:rPr>
        <w:t xml:space="preserve"> </w:t>
      </w:r>
      <w:r>
        <w:rPr>
          <w:rFonts w:ascii="Garamond" w:hAnsi="Garamond"/>
          <w:sz w:val="16"/>
          <w:szCs w:val="16"/>
        </w:rPr>
        <w:t>– Richard Haass &amp; Meghan O’Sullivan, Brookings Institution Foreign Policy Studies Program, Honey and Vinegar: Incentives, Sanctions, and Foreign Policy, p. 1-2</w:t>
      </w:r>
    </w:p>
    <w:p w:rsidR="007721CC" w:rsidRDefault="007721CC" w:rsidP="007721CC">
      <w:r w:rsidRPr="007721CC">
        <w:t xml:space="preserve">The term engagement was popularized amid the controversial policy of constructive engagement pursued by the </w:t>
      </w:r>
    </w:p>
    <w:p w:rsidR="007721CC" w:rsidRDefault="007721CC" w:rsidP="007721CC">
      <w:r>
        <w:t>AND</w:t>
      </w:r>
    </w:p>
    <w:p w:rsidR="007721CC" w:rsidRPr="007721CC" w:rsidRDefault="007721CC" w:rsidP="007721CC">
      <w:r w:rsidRPr="007721CC">
        <w:t>shape the behavior of countries with which the United States has important disagreements.</w:t>
      </w:r>
    </w:p>
    <w:p w:rsidR="007721CC" w:rsidRDefault="007721CC" w:rsidP="007721CC">
      <w:pPr>
        <w:pStyle w:val="Heading4"/>
        <w:rPr>
          <w:rFonts w:ascii="Garamond" w:hAnsi="Garamond"/>
        </w:rPr>
      </w:pPr>
      <w:r>
        <w:rPr>
          <w:rFonts w:ascii="Garamond" w:hAnsi="Garamond"/>
          <w:b w:val="0"/>
          <w:bCs w:val="0"/>
        </w:rPr>
        <w:t>That means the plan must be a quid-pro-quo</w:t>
      </w:r>
    </w:p>
    <w:p w:rsidR="007721CC" w:rsidRDefault="007721CC" w:rsidP="007721CC">
      <w:pPr>
        <w:rPr>
          <w:rFonts w:ascii="Garamond" w:hAnsi="Garamond"/>
        </w:rPr>
      </w:pPr>
      <w:r>
        <w:rPr>
          <w:rStyle w:val="StyleStyleBold12pt"/>
          <w:rFonts w:ascii="Garamond" w:hAnsi="Garamond"/>
        </w:rPr>
        <w:t>De LaHunt 6</w:t>
      </w:r>
      <w:r>
        <w:rPr>
          <w:rFonts w:ascii="Garamond" w:hAnsi="Garamond"/>
        </w:rPr>
        <w:t xml:space="preserve"> </w:t>
      </w:r>
      <w:r>
        <w:rPr>
          <w:rFonts w:ascii="Garamond" w:hAnsi="Garamond"/>
          <w:sz w:val="16"/>
          <w:szCs w:val="16"/>
        </w:rPr>
        <w:t>- Assistant Director for Environmental Health &amp; Safety Services in Colorado College's Facilities Services department (John, “Perverse and unintended” Journal of Chemical Health and Safety, July-August, Science direct)</w:t>
      </w:r>
    </w:p>
    <w:p w:rsidR="007721CC" w:rsidRDefault="007721CC" w:rsidP="007721CC">
      <w:r w:rsidRPr="007721CC">
        <w:t xml:space="preserve">Incentives work on a quid pro quo basis – this for that. If you </w:t>
      </w:r>
    </w:p>
    <w:p w:rsidR="007721CC" w:rsidRDefault="007721CC" w:rsidP="007721CC">
      <w:r>
        <w:t>AND</w:t>
      </w:r>
    </w:p>
    <w:p w:rsidR="007721CC" w:rsidRPr="007721CC" w:rsidRDefault="007721CC" w:rsidP="007721CC">
      <w:r w:rsidRPr="007721CC">
        <w:t>run, for at least two reasons – unintended consequences and perverse incentives.</w:t>
      </w:r>
    </w:p>
    <w:p w:rsidR="007721CC" w:rsidRDefault="007721CC" w:rsidP="007721CC">
      <w:pPr>
        <w:pStyle w:val="Heading4"/>
        <w:numPr>
          <w:ilvl w:val="0"/>
          <w:numId w:val="1"/>
        </w:numPr>
        <w:rPr>
          <w:rFonts w:ascii="Garamond" w:hAnsi="Garamond"/>
        </w:rPr>
      </w:pPr>
      <w:r>
        <w:rPr>
          <w:rFonts w:ascii="Garamond" w:hAnsi="Garamond"/>
          <w:b w:val="0"/>
          <w:bCs w:val="0"/>
        </w:rPr>
        <w:t xml:space="preserve">Violation – the plan isn’t </w:t>
      </w:r>
    </w:p>
    <w:p w:rsidR="007721CC" w:rsidRDefault="007721CC" w:rsidP="007721CC">
      <w:pPr>
        <w:pStyle w:val="Heading4"/>
        <w:numPr>
          <w:ilvl w:val="0"/>
          <w:numId w:val="1"/>
        </w:numPr>
        <w:rPr>
          <w:rFonts w:ascii="Garamond" w:hAnsi="Garamond"/>
          <w:b w:val="0"/>
          <w:bCs w:val="0"/>
        </w:rPr>
      </w:pPr>
      <w:r>
        <w:rPr>
          <w:rFonts w:ascii="Garamond" w:hAnsi="Garamond"/>
          <w:b w:val="0"/>
          <w:bCs w:val="0"/>
        </w:rPr>
        <w:t>Voting issue:</w:t>
      </w:r>
    </w:p>
    <w:p w:rsidR="007721CC" w:rsidRDefault="007721CC" w:rsidP="007721CC">
      <w:pPr>
        <w:pStyle w:val="Heading4"/>
        <w:numPr>
          <w:ilvl w:val="0"/>
          <w:numId w:val="2"/>
        </w:numPr>
        <w:rPr>
          <w:rFonts w:ascii="Garamond" w:hAnsi="Garamond"/>
          <w:b w:val="0"/>
          <w:bCs w:val="0"/>
        </w:rPr>
      </w:pPr>
      <w:r>
        <w:rPr>
          <w:rFonts w:ascii="Garamond" w:hAnsi="Garamond"/>
          <w:b w:val="0"/>
          <w:bCs w:val="0"/>
        </w:rPr>
        <w:t xml:space="preserve">Limits --- it </w:t>
      </w:r>
      <w:r>
        <w:rPr>
          <w:rFonts w:ascii="Garamond" w:hAnsi="Garamond"/>
          <w:b w:val="0"/>
          <w:bCs w:val="0"/>
          <w:u w:val="single"/>
        </w:rPr>
        <w:t>functionally</w:t>
      </w:r>
      <w:r>
        <w:rPr>
          <w:rFonts w:ascii="Garamond" w:hAnsi="Garamond"/>
          <w:b w:val="0"/>
          <w:bCs w:val="0"/>
        </w:rPr>
        <w:t xml:space="preserve"> narrows the topic because few cases can defend conditioning --- the alternative is hundreds of single import or export cases that explode the Neg’s research burden</w:t>
      </w:r>
    </w:p>
    <w:p w:rsidR="007721CC" w:rsidRDefault="007721CC" w:rsidP="007721CC">
      <w:pPr>
        <w:pStyle w:val="Heading4"/>
        <w:numPr>
          <w:ilvl w:val="0"/>
          <w:numId w:val="2"/>
        </w:numPr>
        <w:rPr>
          <w:rFonts w:ascii="Garamond" w:hAnsi="Garamond"/>
          <w:b w:val="0"/>
          <w:bCs w:val="0"/>
        </w:rPr>
      </w:pPr>
      <w:r>
        <w:rPr>
          <w:rFonts w:ascii="Garamond" w:hAnsi="Garamond"/>
          <w:b w:val="0"/>
          <w:bCs w:val="0"/>
        </w:rPr>
        <w:t>Ground --- QPQ locks in core generics like soft power and foreign politics DAs, counterplans to add or remove a condition, and critiques of diplomacy</w:t>
      </w:r>
    </w:p>
    <w:p w:rsidR="007721CC" w:rsidRDefault="007721CC" w:rsidP="007721CC"/>
    <w:p w:rsidR="007721CC" w:rsidRDefault="007721CC" w:rsidP="007721CC">
      <w:pPr>
        <w:pStyle w:val="Heading2"/>
      </w:pPr>
      <w:r>
        <w:lastRenderedPageBreak/>
        <w:t>2</w:t>
      </w:r>
    </w:p>
    <w:p w:rsidR="007721CC" w:rsidRPr="004948AC" w:rsidRDefault="007721CC" w:rsidP="007721CC"/>
    <w:p w:rsidR="007721CC" w:rsidRPr="004948AC" w:rsidRDefault="007721CC" w:rsidP="007721CC">
      <w:pPr>
        <w:pStyle w:val="Heading4"/>
      </w:pPr>
      <w:r w:rsidRPr="004948AC">
        <w:t xml:space="preserve">Text: </w:t>
      </w:r>
      <w:r>
        <w:t>The United States federal g</w:t>
      </w:r>
      <w:r w:rsidRPr="004948AC">
        <w:t>overnment should provide solar, falling water, geothermal, biomass, wave, ocean current, ocean temperature, and tide energy assistance to Mexico through the Border Environmental Cooperation Commission.</w:t>
      </w:r>
    </w:p>
    <w:p w:rsidR="007721CC" w:rsidRDefault="007721CC" w:rsidP="007721CC"/>
    <w:p w:rsidR="007721CC" w:rsidRPr="004948AC" w:rsidRDefault="007721CC" w:rsidP="007721CC">
      <w:pPr>
        <w:rPr>
          <w:rStyle w:val="StyleStyleBold12pt"/>
        </w:rPr>
      </w:pPr>
      <w:r w:rsidRPr="004948AC">
        <w:rPr>
          <w:rStyle w:val="StyleStyleBold12pt"/>
        </w:rPr>
        <w:t>Observation 1: Competition – The CP competes through mutual exclusivity and net-benefits. It is plan minus because it excludes wind power.</w:t>
      </w:r>
    </w:p>
    <w:p w:rsidR="007721CC" w:rsidRDefault="007721CC" w:rsidP="007721CC"/>
    <w:p w:rsidR="007721CC" w:rsidRDefault="007721CC" w:rsidP="007721CC">
      <w:pPr>
        <w:pStyle w:val="Heading4"/>
      </w:pPr>
      <w:r>
        <w:t>The term “renewable” in the plan includes wind. The Organization of the America States division on sustainable energy defines it as such for policymakers.</w:t>
      </w:r>
    </w:p>
    <w:p w:rsidR="007721CC" w:rsidRDefault="007721CC" w:rsidP="007721CC">
      <w:r w:rsidRPr="00FA1C6E">
        <w:rPr>
          <w:rStyle w:val="StyleStyleBold12pt"/>
        </w:rPr>
        <w:t>Lambrides, et al., 99</w:t>
      </w:r>
      <w:r>
        <w:t xml:space="preserve"> (Mark, Division Chief for Energy and Climate Change in the Department of Sustainable Development at the Organization of American States, “The Renewable Energy Policy Manual,” </w:t>
      </w:r>
    </w:p>
    <w:p w:rsidR="007721CC" w:rsidRDefault="007721CC" w:rsidP="007721CC">
      <w:r>
        <w:t>http://www.oas.org/dsd/publications/Unit/oea79e/ch05.htm</w:t>
      </w:r>
    </w:p>
    <w:p w:rsidR="007721CC" w:rsidRDefault="007721CC" w:rsidP="007721CC">
      <w:r>
        <w:t>The term “renewable” is generally applied to those energy resources and technologies whose common characteristic is that they are non-depletable or naturally replenishable.</w:t>
      </w:r>
    </w:p>
    <w:p w:rsidR="007721CC" w:rsidRDefault="007721CC" w:rsidP="007721CC">
      <w:r w:rsidRPr="007721CC">
        <w:t xml:space="preserve">Renewable resources include solar energy, wind, falling water, the heat of the </w:t>
      </w:r>
    </w:p>
    <w:p w:rsidR="007721CC" w:rsidRDefault="007721CC" w:rsidP="007721CC">
      <w:r>
        <w:t>AND</w:t>
      </w:r>
    </w:p>
    <w:p w:rsidR="007721CC" w:rsidRPr="007721CC" w:rsidRDefault="007721CC" w:rsidP="007721CC">
      <w:r w:rsidRPr="007721CC">
        <w:t>also based on renewable resources, but outside the scope of this Manual.</w:t>
      </w:r>
    </w:p>
    <w:p w:rsidR="007721CC" w:rsidRDefault="007721CC" w:rsidP="007721CC"/>
    <w:p w:rsidR="007721CC" w:rsidRDefault="007721CC" w:rsidP="007721CC">
      <w:pPr>
        <w:pStyle w:val="Heading4"/>
      </w:pPr>
      <w:r>
        <w:t>The CP solves – 1AC solvency advocate concedes that desert solar alone solves Mexican energy demand.</w:t>
      </w:r>
    </w:p>
    <w:p w:rsidR="007721CC" w:rsidRDefault="007721CC" w:rsidP="007721CC">
      <w:r w:rsidRPr="00E868AF">
        <w:rPr>
          <w:rStyle w:val="StyleStyleBold12pt"/>
        </w:rPr>
        <w:t>Carus 13</w:t>
      </w:r>
      <w:r>
        <w:t xml:space="preserve"> - UK journalist, regularly reporting on clean energy policy and finance from California for a global audience</w:t>
      </w:r>
    </w:p>
    <w:p w:rsidR="007721CC" w:rsidRPr="00E868AF" w:rsidRDefault="007721CC" w:rsidP="007721CC">
      <w:r>
        <w:t>(Felicity, and#34;Mexico offers tantalising prospect of a dawning major market,and#34; http://www.pv-tech.org/editors_blog/mexico_offers_tantalising_prospect_of_a_dawning_major_market)</w:t>
      </w:r>
    </w:p>
    <w:p w:rsidR="007721CC" w:rsidRPr="007721CC" w:rsidRDefault="007721CC" w:rsidP="007721CC">
      <w:r w:rsidRPr="007721CC">
        <w:t xml:space="preserve">Solar investors in the US </w:t>
      </w:r>
    </w:p>
    <w:p w:rsidR="007721CC" w:rsidRPr="007721CC" w:rsidRDefault="007721CC" w:rsidP="007721CC">
      <w:r w:rsidRPr="007721CC">
        <w:t>AND</w:t>
      </w:r>
    </w:p>
    <w:p w:rsidR="007721CC" w:rsidRPr="00154883" w:rsidRDefault="007721CC" w:rsidP="007721CC">
      <w:r w:rsidRPr="007721CC">
        <w:t>Mexico’s electricity demand.</w:t>
      </w:r>
    </w:p>
    <w:p w:rsidR="007721CC" w:rsidRDefault="007721CC" w:rsidP="007721CC"/>
    <w:p w:rsidR="007721CC" w:rsidRDefault="007721CC" w:rsidP="007721CC">
      <w:pPr>
        <w:pStyle w:val="Heading4"/>
      </w:pPr>
      <w:r>
        <w:t xml:space="preserve">Observation 2: The Net-Benefit – Wind farms violate indigenous peoples, pollute their land, destroying small farms and native cultures – straight turns the case. </w:t>
      </w:r>
    </w:p>
    <w:p w:rsidR="007721CC" w:rsidRDefault="007721CC" w:rsidP="007721CC">
      <w:r w:rsidRPr="00F6789B">
        <w:rPr>
          <w:rStyle w:val="StyleStyleBold12pt"/>
        </w:rPr>
        <w:t>Godoy, 13</w:t>
      </w:r>
      <w:r>
        <w:t xml:space="preserve"> (Emilio, Mexico-based correspondent for Inter Press Service covering the environment, human rights, and sustainable development, “Rural Mexican Communities Protest Wind Farms,” June 18, </w:t>
      </w:r>
      <w:hyperlink r:id="rId10" w:history="1">
        <w:r w:rsidRPr="00E37B52">
          <w:rPr>
            <w:rStyle w:val="Hyperlink"/>
          </w:rPr>
          <w:t>http://www.ipsnews.net/2013/06/rural-mexican-communities-protest-wind-farms/</w:t>
        </w:r>
      </w:hyperlink>
      <w:r>
        <w:t xml:space="preserve">) </w:t>
      </w:r>
    </w:p>
    <w:p w:rsidR="007721CC" w:rsidRDefault="007721CC" w:rsidP="007721CC">
      <w:r w:rsidRPr="007721CC">
        <w:t>“We can’t sow our fields, which they have rented for next to nothing</w:t>
      </w:r>
    </w:p>
    <w:p w:rsidR="007721CC" w:rsidRDefault="007721CC" w:rsidP="007721CC">
      <w:r>
        <w:t>AND</w:t>
      </w:r>
    </w:p>
    <w:p w:rsidR="007721CC" w:rsidRPr="007721CC" w:rsidRDefault="007721CC" w:rsidP="007721CC">
      <w:r w:rsidRPr="007721CC">
        <w:t>year-old Zapotec Indian who grows maize and sorghum, told IPS.</w:t>
      </w:r>
    </w:p>
    <w:p w:rsidR="007721CC" w:rsidRDefault="007721CC" w:rsidP="007721CC"/>
    <w:p w:rsidR="007721CC" w:rsidRDefault="007721CC" w:rsidP="007721CC">
      <w:pPr>
        <w:pStyle w:val="Heading2"/>
      </w:pPr>
      <w:r>
        <w:lastRenderedPageBreak/>
        <w:t>3</w:t>
      </w:r>
    </w:p>
    <w:p w:rsidR="007721CC" w:rsidRPr="00877752" w:rsidRDefault="007721CC" w:rsidP="007721CC">
      <w:pPr>
        <w:pStyle w:val="Heading4"/>
        <w:rPr>
          <w:rFonts w:cs="Times New Roman"/>
        </w:rPr>
      </w:pPr>
      <w:r w:rsidRPr="00877752">
        <w:rPr>
          <w:rFonts w:cs="Times New Roman"/>
        </w:rPr>
        <w:t>The aff</w:t>
      </w:r>
      <w:r>
        <w:rPr>
          <w:rFonts w:cs="Times New Roman"/>
        </w:rPr>
        <w:t>irmative</w:t>
      </w:r>
      <w:r w:rsidRPr="00877752">
        <w:rPr>
          <w:rFonts w:cs="Times New Roman"/>
        </w:rPr>
        <w:t xml:space="preserve"> is controlled by walking dildos and approaches the public sphere with male privilege by assuming a gender - neutral political subject. This renders the female body invisible</w:t>
      </w:r>
    </w:p>
    <w:p w:rsidR="007721CC" w:rsidRPr="00877752" w:rsidRDefault="007721CC" w:rsidP="007721CC">
      <w:pPr>
        <w:rPr>
          <w:b/>
          <w:bCs/>
          <w:sz w:val="26"/>
        </w:rPr>
      </w:pPr>
      <w:r w:rsidRPr="00877752">
        <w:rPr>
          <w:rStyle w:val="StyleStyleBold12pt"/>
        </w:rPr>
        <w:t>Fraser 90 (</w:t>
      </w:r>
      <w:r w:rsidRPr="00877752">
        <w:rPr>
          <w:rFonts w:eastAsia="Calibri"/>
        </w:rPr>
        <w:t>Nancy Fraser, “Rethinking the Public Sphere: A Contribution to the Critique of Actually Existing Democracy”, Social Text, No 25/26 (1990), pp. 60-61, Duke University Press, jstor.org/stable/466240 // candle)</w:t>
      </w:r>
    </w:p>
    <w:p w:rsidR="007721CC" w:rsidRDefault="007721CC" w:rsidP="007721CC">
      <w:r w:rsidRPr="007721CC">
        <w:t xml:space="preserve">Now, let me juxtapose to this sketch of Habermas's account an alternative account that </w:t>
      </w:r>
    </w:p>
    <w:p w:rsidR="007721CC" w:rsidRDefault="007721CC" w:rsidP="007721CC">
      <w:r>
        <w:t>AND</w:t>
      </w:r>
    </w:p>
    <w:p w:rsidR="007721CC" w:rsidRPr="007721CC" w:rsidRDefault="007721CC" w:rsidP="007721CC">
      <w:r w:rsidRPr="007721CC">
        <w:t>status distinctions are bracketed and neutralized is not sufficient to make it so.</w:t>
      </w:r>
    </w:p>
    <w:p w:rsidR="007721CC" w:rsidRPr="00877752" w:rsidRDefault="007721CC" w:rsidP="007721CC">
      <w:pPr>
        <w:pStyle w:val="Heading4"/>
      </w:pPr>
      <w:r w:rsidRPr="00877752">
        <w:t>Violence should be understand as a continuum that affects all women – it has been constructed as the norm in relationships between men and women. It is the expectation that there will be violence. There no longer remains a distinction between abused and non-abused.  Violence against women represents sexual terrorism, a war on women where bodies are the physical territory upon which war is fought. This turns all impacts.</w:t>
      </w:r>
    </w:p>
    <w:p w:rsidR="007721CC" w:rsidRPr="00877752" w:rsidRDefault="007721CC" w:rsidP="007721CC">
      <w:r w:rsidRPr="00877752">
        <w:rPr>
          <w:rStyle w:val="StyleStyleBold12pt"/>
        </w:rPr>
        <w:t>Ray 97</w:t>
      </w:r>
      <w:r w:rsidRPr="00877752">
        <w:t xml:space="preserve"> (Amy E. Ray, “The Shame Of It: Gender-Based Terrorism In The Former Yugoslavia And The Failure of International Human Rights Law To Comprehend The Injuries,” The American University Law Review. Vol 46. , pp. 835-838, http://digitalcommons.wcl.american.edu/cgi/viewcontent.cgi?article=1380&amp;context=aulr, // candle)</w:t>
      </w:r>
    </w:p>
    <w:p w:rsidR="007721CC" w:rsidRDefault="007721CC" w:rsidP="007721CC">
      <w:r w:rsidRPr="007721CC">
        <w:t xml:space="preserve">Transforming the human rights concept from a feminist perspective. . . relates women's rights </w:t>
      </w:r>
    </w:p>
    <w:p w:rsidR="007721CC" w:rsidRDefault="007721CC" w:rsidP="007721CC">
      <w:r>
        <w:t>AND</w:t>
      </w:r>
    </w:p>
    <w:p w:rsidR="007721CC" w:rsidRPr="007721CC" w:rsidRDefault="007721CC" w:rsidP="007721CC">
      <w:r w:rsidRPr="007721CC">
        <w:t xml:space="preserve">the] political struggle [over female subordination] is women's bodies."272 </w:t>
      </w:r>
    </w:p>
    <w:p w:rsidR="007721CC" w:rsidRDefault="007721CC" w:rsidP="007721CC"/>
    <w:p w:rsidR="007721CC" w:rsidRPr="00877752" w:rsidRDefault="007721CC" w:rsidP="007721CC">
      <w:pPr>
        <w:pStyle w:val="Heading4"/>
      </w:pPr>
      <w:r>
        <w:t>And, there’s a link to their scholarship – the 1ac was dominated by masculine knowledge – they even admitted in cross-ex that female scholarship exists for their aff but they chose to read male authors instead</w:t>
      </w:r>
    </w:p>
    <w:p w:rsidR="007721CC" w:rsidRPr="00877752" w:rsidRDefault="007721CC" w:rsidP="007721CC">
      <w:pPr>
        <w:pStyle w:val="Heading4"/>
        <w:rPr>
          <w:rFonts w:cs="Times New Roman"/>
        </w:rPr>
      </w:pPr>
      <w:r w:rsidRPr="00877752">
        <w:rPr>
          <w:rFonts w:cs="Times New Roman"/>
        </w:rPr>
        <w:t xml:space="preserve">Our Alternative is a castration of the system – separating us from the phallocentric logic of the polis. A method of radical female revolution through a lesbian separatist society refuses male presence. </w:t>
      </w:r>
    </w:p>
    <w:p w:rsidR="007721CC" w:rsidRPr="00877752" w:rsidRDefault="007721CC" w:rsidP="007721CC">
      <w:pPr>
        <w:pStyle w:val="Heading4"/>
        <w:rPr>
          <w:rFonts w:cs="Times New Roman"/>
        </w:rPr>
      </w:pPr>
      <w:r w:rsidRPr="00877752">
        <w:rPr>
          <w:rFonts w:cs="Times New Roman"/>
        </w:rPr>
        <w:t>Only reclaiming the notion of lesbianism beyond mere sexual classification breaks from the norms imposed by male hegemony and exposes the dehumanizing understanding of woman as an object to be fucked by man. To reclaim lesbianism is to reject the demands of the male cultural system and to create and celebrate the bonds of the female world.</w:t>
      </w:r>
    </w:p>
    <w:p w:rsidR="007721CC" w:rsidRPr="00877752" w:rsidRDefault="007721CC" w:rsidP="007721CC">
      <w:pPr>
        <w:rPr>
          <w:rFonts w:eastAsia="Calibri" w:cs="Times New Roman"/>
        </w:rPr>
      </w:pPr>
      <w:r w:rsidRPr="00877752">
        <w:rPr>
          <w:rFonts w:eastAsia="Calibri"/>
          <w:b/>
          <w:sz w:val="24"/>
          <w:szCs w:val="24"/>
        </w:rPr>
        <w:t>Radicalesbians 1970</w:t>
      </w:r>
      <w:r w:rsidRPr="00877752">
        <w:rPr>
          <w:rFonts w:eastAsia="Calibri"/>
          <w:b/>
        </w:rPr>
        <w:t xml:space="preserve"> </w:t>
      </w:r>
      <w:r w:rsidRPr="00877752">
        <w:rPr>
          <w:rFonts w:eastAsia="Calibri"/>
        </w:rPr>
        <w:t xml:space="preserve">[Radicalesbians, 1970, “The Woman Identified Woman,” </w:t>
      </w:r>
      <w:hyperlink r:id="rId11" w:history="1">
        <w:r w:rsidRPr="00877752">
          <w:rPr>
            <w:rStyle w:val="Hyperlink"/>
            <w:rFonts w:eastAsia="Calibri"/>
          </w:rPr>
          <w:t>http://scriptorium.lib.duke.edu/wlm/womid //</w:t>
        </w:r>
      </w:hyperlink>
      <w:r w:rsidRPr="00877752">
        <w:rPr>
          <w:rFonts w:eastAsia="Calibri"/>
        </w:rPr>
        <w:t xml:space="preserve"> candle]</w:t>
      </w:r>
    </w:p>
    <w:p w:rsidR="007721CC" w:rsidRDefault="007721CC" w:rsidP="007721CC">
      <w:r w:rsidRPr="007721CC">
        <w:lastRenderedPageBreak/>
        <w:t xml:space="preserve">What is a lesbian? A lesbian is the rage of all women condensed to </w:t>
      </w:r>
    </w:p>
    <w:p w:rsidR="007721CC" w:rsidRDefault="007721CC" w:rsidP="007721CC">
      <w:r>
        <w:t>AND</w:t>
      </w:r>
    </w:p>
    <w:p w:rsidR="007721CC" w:rsidRPr="007721CC" w:rsidRDefault="007721CC" w:rsidP="007721CC">
      <w:r w:rsidRPr="007721CC">
        <w:t>women from forming any primary attachments, groups, or associations among ourselves.</w:t>
      </w:r>
    </w:p>
    <w:p w:rsidR="007721CC" w:rsidRDefault="007721CC" w:rsidP="007721CC"/>
    <w:p w:rsidR="007721CC" w:rsidRPr="00877752" w:rsidRDefault="007721CC" w:rsidP="007721CC">
      <w:pPr>
        <w:pStyle w:val="Heading4"/>
      </w:pPr>
      <w:r w:rsidRPr="00877752">
        <w:t>Lesbian anger comes from a woman’s experiences of violence and oppression by the hands of men. It unleashes a frightening rage capable of changing the world around her. Women will no longer be a walking apology, and lesbian rage demands attention and even without it tears at the walls of male supremacy for new female-driven world-making.</w:t>
      </w:r>
    </w:p>
    <w:p w:rsidR="007721CC" w:rsidRPr="00877752" w:rsidRDefault="007721CC" w:rsidP="007721CC">
      <w:r w:rsidRPr="00877752">
        <w:rPr>
          <w:rStyle w:val="StyleStyleBold12pt"/>
        </w:rPr>
        <w:t>Kaplow 73</w:t>
      </w:r>
      <w:r w:rsidRPr="00877752">
        <w:rPr>
          <w:b/>
        </w:rPr>
        <w:t xml:space="preserve"> </w:t>
      </w:r>
      <w:r w:rsidRPr="00877752">
        <w:t>(Susi was part of the nucleus of the now expanded women's liberation group in Paris in 1970, later joining the New York Radical Feminists and organizing four consciousnes-raising groups in addition to being on the organizing committee for the Speak-out on Rape in NYC in 1971, "Getting Angry", published in Radical Feminism, 1973, Quadrangle, www.feminist-reprise.org/docs/kaplow.htm // candle)</w:t>
      </w:r>
    </w:p>
    <w:p w:rsidR="007721CC" w:rsidRDefault="007721CC" w:rsidP="007721CC">
      <w:r w:rsidRPr="007721CC">
        <w:t xml:space="preserve">Two scenarios: An angry man: someone has infringed on his rights, gone </w:t>
      </w:r>
    </w:p>
    <w:p w:rsidR="007721CC" w:rsidRDefault="007721CC" w:rsidP="007721CC">
      <w:r>
        <w:t>AND</w:t>
      </w:r>
    </w:p>
    <w:p w:rsidR="007721CC" w:rsidRPr="007721CC" w:rsidRDefault="007721CC" w:rsidP="007721CC">
      <w:r w:rsidRPr="007721CC">
        <w:t>personal to the political and becomes a force for shaping our new destiny.</w:t>
      </w:r>
    </w:p>
    <w:p w:rsidR="007721CC" w:rsidRPr="00BB2F56" w:rsidRDefault="007721CC" w:rsidP="007721CC"/>
    <w:p w:rsidR="007721CC" w:rsidRPr="007203DD" w:rsidRDefault="007721CC" w:rsidP="007721CC">
      <w:pPr>
        <w:pStyle w:val="Heading2"/>
      </w:pPr>
      <w:r>
        <w:lastRenderedPageBreak/>
        <w:t>4</w:t>
      </w:r>
    </w:p>
    <w:p w:rsidR="007721CC" w:rsidRPr="007203DD" w:rsidRDefault="007721CC" w:rsidP="007721CC">
      <w:pPr>
        <w:pStyle w:val="Heading4"/>
        <w:rPr>
          <w:rFonts w:asciiTheme="minorHAnsi" w:hAnsiTheme="minorHAnsi" w:cs="Arial"/>
        </w:rPr>
      </w:pPr>
      <w:r w:rsidRPr="007203DD">
        <w:rPr>
          <w:rFonts w:asciiTheme="minorHAnsi" w:hAnsiTheme="minorHAnsi" w:cs="Arial"/>
        </w:rPr>
        <w:t>Their aff is the status quo – relations are high and renewable assistance is increasing rapidly – voting neg solves the aff</w:t>
      </w:r>
    </w:p>
    <w:p w:rsidR="007721CC" w:rsidRPr="007203DD" w:rsidRDefault="007721CC" w:rsidP="007721CC">
      <w:pPr>
        <w:rPr>
          <w:rFonts w:asciiTheme="minorHAnsi" w:hAnsiTheme="minorHAnsi" w:cs="Arial"/>
        </w:rPr>
      </w:pPr>
      <w:r w:rsidRPr="007203DD">
        <w:rPr>
          <w:rStyle w:val="StyleStyleBold12pt"/>
          <w:rFonts w:asciiTheme="minorHAnsi" w:hAnsiTheme="minorHAnsi" w:cs="Arial"/>
        </w:rPr>
        <w:t xml:space="preserve">Jacobson 6/18 </w:t>
      </w:r>
      <w:r w:rsidRPr="007203DD">
        <w:rPr>
          <w:rFonts w:asciiTheme="minorHAnsi" w:hAnsiTheme="minorHAnsi" w:cs="Arial"/>
        </w:rPr>
        <w:t>– Assistant Secretary Of State For Western Hemisphere Affairs (Roberta S, “State’s Jacobson at Senate Hearing on U.S.-Mexico Partnership,” 6/18/13, U.S. Senate Committee on Foreign Relations, Before Foreign Relations Committee Western Hemisphere Subcommittee, http://iipdigital.usembassy.gov/st/english/texttrans/2013/06/20130618276661.html#axzz2XAL8c3nZ)//SJF</w:t>
      </w:r>
    </w:p>
    <w:p w:rsidR="007721CC" w:rsidRDefault="007721CC" w:rsidP="007721CC">
      <w:r w:rsidRPr="007721CC">
        <w:t xml:space="preserve">When President Obama met with President Peña Nieto in Mexico on May 2, the </w:t>
      </w:r>
    </w:p>
    <w:p w:rsidR="007721CC" w:rsidRDefault="007721CC" w:rsidP="007721CC">
      <w:r>
        <w:t>AND</w:t>
      </w:r>
    </w:p>
    <w:p w:rsidR="007721CC" w:rsidRPr="007721CC" w:rsidRDefault="007721CC" w:rsidP="007721CC">
      <w:r w:rsidRPr="007721CC">
        <w:t>to engage with Central American partners in facilitating a robust regional electricity market.</w:t>
      </w:r>
    </w:p>
    <w:p w:rsidR="007721CC" w:rsidRPr="007203DD" w:rsidRDefault="007721CC" w:rsidP="007721CC">
      <w:pPr>
        <w:pStyle w:val="Heading4"/>
        <w:rPr>
          <w:rFonts w:asciiTheme="minorHAnsi" w:hAnsiTheme="minorHAnsi" w:cs="Arial"/>
        </w:rPr>
      </w:pPr>
      <w:r w:rsidRPr="007203DD">
        <w:rPr>
          <w:rFonts w:asciiTheme="minorHAnsi" w:hAnsiTheme="minorHAnsi" w:cs="Arial"/>
        </w:rPr>
        <w:t xml:space="preserve">This is happening now in recent meetings – it’s high level climate cooperation and promotes the exchange of information and expertise for renewable energy.  The aff is </w:t>
      </w:r>
      <w:r w:rsidRPr="007203DD">
        <w:rPr>
          <w:rFonts w:asciiTheme="minorHAnsi" w:hAnsiTheme="minorHAnsi" w:cs="Arial"/>
          <w:u w:val="single"/>
        </w:rPr>
        <w:t>indistinguishable</w:t>
      </w:r>
      <w:r w:rsidRPr="007203DD">
        <w:rPr>
          <w:rFonts w:asciiTheme="minorHAnsi" w:hAnsiTheme="minorHAnsi" w:cs="Arial"/>
        </w:rPr>
        <w:t xml:space="preserve"> from current trends</w:t>
      </w:r>
    </w:p>
    <w:p w:rsidR="007721CC" w:rsidRPr="007203DD" w:rsidRDefault="007721CC" w:rsidP="007721CC">
      <w:pPr>
        <w:rPr>
          <w:rFonts w:asciiTheme="minorHAnsi" w:hAnsiTheme="minorHAnsi" w:cs="Arial"/>
        </w:rPr>
      </w:pPr>
      <w:r w:rsidRPr="007203DD">
        <w:rPr>
          <w:rFonts w:asciiTheme="minorHAnsi" w:hAnsiTheme="minorHAnsi" w:cs="Arial"/>
          <w:b/>
        </w:rPr>
        <w:t>Targeted News Service, 7/26</w:t>
      </w:r>
      <w:r w:rsidRPr="007203DD">
        <w:rPr>
          <w:rFonts w:asciiTheme="minorHAnsi" w:hAnsiTheme="minorHAnsi" w:cs="Arial"/>
        </w:rPr>
        <w:t>/13 (“Fourth Mexico - United States Meeting on Clean Energy and Climate Change”, lexis)</w:t>
      </w:r>
    </w:p>
    <w:p w:rsidR="007721CC" w:rsidRPr="007721CC" w:rsidRDefault="007721CC" w:rsidP="007721CC"/>
    <w:p w:rsidR="007721CC" w:rsidRPr="007721CC" w:rsidRDefault="007721CC" w:rsidP="007721CC">
      <w:r w:rsidRPr="007721CC">
        <w:t>The Mexican Ministry of Foreign Affairs issued the following news release:</w:t>
      </w:r>
    </w:p>
    <w:p w:rsidR="007721CC" w:rsidRPr="007721CC" w:rsidRDefault="007721CC" w:rsidP="007721CC">
      <w:r w:rsidRPr="007721CC">
        <w:t>AND</w:t>
      </w:r>
    </w:p>
    <w:p w:rsidR="007721CC" w:rsidRPr="007721CC" w:rsidRDefault="007721CC" w:rsidP="007721CC">
      <w:r w:rsidRPr="007721CC">
        <w:t xml:space="preserve"> experiences to facilitate the joint efforts to develop low-carbon economies based on clean energy.</w:t>
      </w:r>
    </w:p>
    <w:p w:rsidR="007721CC" w:rsidRPr="007203DD" w:rsidRDefault="007721CC" w:rsidP="007721CC">
      <w:pPr>
        <w:pStyle w:val="Heading4"/>
        <w:rPr>
          <w:rFonts w:asciiTheme="minorHAnsi" w:hAnsiTheme="minorHAnsi" w:cs="Arial"/>
        </w:rPr>
      </w:pPr>
      <w:r w:rsidRPr="007203DD">
        <w:rPr>
          <w:rFonts w:asciiTheme="minorHAnsi" w:hAnsiTheme="minorHAnsi" w:cs="Arial"/>
        </w:rPr>
        <w:t xml:space="preserve">These programs </w:t>
      </w:r>
      <w:r w:rsidRPr="007203DD">
        <w:rPr>
          <w:rFonts w:asciiTheme="minorHAnsi" w:hAnsiTheme="minorHAnsi" w:cs="Arial"/>
          <w:u w:val="single"/>
        </w:rPr>
        <w:t>include the BECC and NADBank</w:t>
      </w:r>
      <w:r w:rsidRPr="007203DD">
        <w:rPr>
          <w:rFonts w:asciiTheme="minorHAnsi" w:hAnsiTheme="minorHAnsi" w:cs="Arial"/>
        </w:rPr>
        <w:t xml:space="preserve"> – which are currently addressing regulatory bottlenecks for renewables – our evidence reflects new trends from </w:t>
      </w:r>
      <w:r w:rsidRPr="007203DD">
        <w:rPr>
          <w:rFonts w:asciiTheme="minorHAnsi" w:hAnsiTheme="minorHAnsi" w:cs="Arial"/>
          <w:u w:val="single"/>
        </w:rPr>
        <w:t>recent</w:t>
      </w:r>
      <w:r w:rsidRPr="007203DD">
        <w:rPr>
          <w:rFonts w:asciiTheme="minorHAnsi" w:hAnsiTheme="minorHAnsi" w:cs="Arial"/>
        </w:rPr>
        <w:t xml:space="preserve"> policy change</w:t>
      </w:r>
    </w:p>
    <w:p w:rsidR="007721CC" w:rsidRPr="007203DD" w:rsidRDefault="007721CC" w:rsidP="007721CC">
      <w:pPr>
        <w:rPr>
          <w:rFonts w:asciiTheme="minorHAnsi" w:hAnsiTheme="minorHAnsi" w:cs="Arial"/>
        </w:rPr>
      </w:pPr>
      <w:r w:rsidRPr="007203DD">
        <w:rPr>
          <w:rFonts w:asciiTheme="minorHAnsi" w:hAnsiTheme="minorHAnsi" w:cs="Arial"/>
          <w:b/>
        </w:rPr>
        <w:t>Wilson and Lee, 13</w:t>
      </w:r>
      <w:r w:rsidRPr="007203DD">
        <w:rPr>
          <w:rFonts w:asciiTheme="minorHAnsi" w:hAnsiTheme="minorHAnsi" w:cs="Arial"/>
        </w:rPr>
        <w:t xml:space="preserve"> – *Associate at the Mexico Institute of the Woodrow Wilson International Center for Scholars AND **Associate Director at the North American Center for Transborder Studies (NACTS) at Arizona State University(Christopher and Erik, “The State of the Border Report”, May, </w:t>
      </w:r>
      <w:hyperlink r:id="rId12" w:history="1">
        <w:r w:rsidRPr="007203DD">
          <w:rPr>
            <w:rStyle w:val="Hyperlink"/>
            <w:rFonts w:asciiTheme="minorHAnsi" w:hAnsiTheme="minorHAnsi" w:cs="Arial"/>
          </w:rPr>
          <w:t>http://www.wilsoncenter.org/sites/default/files/mexico_state_of_border.pdf</w:t>
        </w:r>
      </w:hyperlink>
    </w:p>
    <w:p w:rsidR="007721CC" w:rsidRPr="007203DD" w:rsidRDefault="007721CC" w:rsidP="007721CC">
      <w:pPr>
        <w:rPr>
          <w:rFonts w:asciiTheme="minorHAnsi" w:hAnsiTheme="minorHAnsi" w:cs="Arial"/>
        </w:rPr>
      </w:pPr>
    </w:p>
    <w:p w:rsidR="007721CC" w:rsidRDefault="007721CC" w:rsidP="007721CC">
      <w:r w:rsidRPr="007721CC">
        <w:t>The U.S.-Mexico border region has traditionally been seen as energy-</w:t>
      </w:r>
    </w:p>
    <w:p w:rsidR="007721CC" w:rsidRDefault="007721CC" w:rsidP="007721CC">
      <w:r>
        <w:t>AND</w:t>
      </w:r>
    </w:p>
    <w:p w:rsidR="007721CC" w:rsidRPr="007203DD" w:rsidRDefault="007721CC" w:rsidP="007721CC">
      <w:pPr>
        <w:rPr>
          <w:rFonts w:asciiTheme="minorHAnsi" w:hAnsiTheme="minorHAnsi" w:cs="Arial"/>
        </w:rPr>
      </w:pPr>
      <w:r w:rsidRPr="007203DD">
        <w:rPr>
          <w:rFonts w:asciiTheme="minorHAnsi" w:hAnsiTheme="minorHAnsi" w:cs="Arial"/>
        </w:rPr>
        <w:t xml:space="preserve">but the highly centralized nature of regulation in Mexico leaves few incentives for private developers. </w:t>
      </w:r>
    </w:p>
    <w:p w:rsidR="007721CC" w:rsidRPr="007203DD" w:rsidRDefault="007721CC" w:rsidP="007721CC">
      <w:pPr>
        <w:pStyle w:val="Heading4"/>
        <w:rPr>
          <w:rFonts w:asciiTheme="minorHAnsi" w:hAnsiTheme="minorHAnsi" w:cs="Arial"/>
        </w:rPr>
      </w:pPr>
      <w:r w:rsidRPr="007203DD">
        <w:rPr>
          <w:rFonts w:asciiTheme="minorHAnsi" w:hAnsiTheme="minorHAnsi" w:cs="Arial"/>
        </w:rPr>
        <w:t>Substantially means genuine</w:t>
      </w:r>
    </w:p>
    <w:p w:rsidR="007721CC" w:rsidRPr="007203DD" w:rsidRDefault="007721CC" w:rsidP="007721CC">
      <w:pPr>
        <w:rPr>
          <w:rFonts w:asciiTheme="minorHAnsi" w:hAnsiTheme="minorHAnsi" w:cs="Arial"/>
        </w:rPr>
      </w:pPr>
      <w:r w:rsidRPr="007203DD">
        <w:rPr>
          <w:rStyle w:val="StyleStyleBold12pt"/>
          <w:rFonts w:asciiTheme="minorHAnsi" w:hAnsiTheme="minorHAnsi" w:cs="Arial"/>
        </w:rPr>
        <w:t>Words and Phrases</w:t>
      </w:r>
      <w:r w:rsidRPr="007203DD">
        <w:rPr>
          <w:rFonts w:asciiTheme="minorHAnsi" w:hAnsiTheme="minorHAnsi" w:cs="Arial"/>
          <w:b/>
        </w:rPr>
        <w:t xml:space="preserve"> </w:t>
      </w:r>
      <w:r w:rsidRPr="007203DD">
        <w:rPr>
          <w:rStyle w:val="StyleStyleBold12pt"/>
          <w:rFonts w:asciiTheme="minorHAnsi" w:hAnsiTheme="minorHAnsi" w:cs="Arial"/>
        </w:rPr>
        <w:t>64</w:t>
      </w:r>
      <w:r w:rsidRPr="007203DD">
        <w:rPr>
          <w:rFonts w:asciiTheme="minorHAnsi" w:hAnsiTheme="minorHAnsi" w:cs="Arial"/>
        </w:rPr>
        <w:t xml:space="preserve"> (40 W&amp;P 759) (this edition of W&amp;P is out of print;  the page number no longer matches up to the current edition and I was unable to find the card in the new edition.  However, this card is also available on google books, Judicial and statutory definitions of words and phrases, Volume 8, p. 7329</w:t>
      </w:r>
      <w:r w:rsidRPr="007203DD">
        <w:rPr>
          <w:rFonts w:asciiTheme="minorHAnsi" w:hAnsiTheme="minorHAnsi" w:cs="Arial"/>
          <w:szCs w:val="20"/>
        </w:rPr>
        <w:t>)</w:t>
      </w:r>
    </w:p>
    <w:p w:rsidR="007721CC" w:rsidRPr="007203DD" w:rsidRDefault="007721CC" w:rsidP="007721CC">
      <w:pPr>
        <w:rPr>
          <w:rFonts w:asciiTheme="minorHAnsi" w:hAnsiTheme="minorHAnsi" w:cs="Arial"/>
          <w:szCs w:val="20"/>
        </w:rPr>
      </w:pPr>
    </w:p>
    <w:p w:rsidR="007721CC" w:rsidRDefault="007721CC" w:rsidP="007721CC">
      <w:r w:rsidRPr="007721CC">
        <w:t>The words “outward, open, actual, visible, substantial, and exclusive</w:t>
      </w:r>
    </w:p>
    <w:p w:rsidR="007721CC" w:rsidRDefault="007721CC" w:rsidP="007721CC">
      <w:r>
        <w:t>AND</w:t>
      </w:r>
    </w:p>
    <w:p w:rsidR="007721CC" w:rsidRPr="007721CC" w:rsidRDefault="007721CC" w:rsidP="007721CC">
      <w:r w:rsidRPr="007721CC">
        <w:t>Bass v. Pease, 79 Ill. App. 308, 318.</w:t>
      </w:r>
    </w:p>
    <w:p w:rsidR="007721CC" w:rsidRPr="007203DD" w:rsidRDefault="007721CC" w:rsidP="007721CC">
      <w:pPr>
        <w:pStyle w:val="Heading4"/>
        <w:rPr>
          <w:rFonts w:asciiTheme="minorHAnsi" w:hAnsiTheme="minorHAnsi" w:cs="Arial"/>
        </w:rPr>
      </w:pPr>
      <w:r w:rsidRPr="007203DD">
        <w:rPr>
          <w:rFonts w:asciiTheme="minorHAnsi" w:hAnsiTheme="minorHAnsi" w:cs="Arial"/>
        </w:rPr>
        <w:lastRenderedPageBreak/>
        <w:t xml:space="preserve">Voting issue – their aff is at best a tiny adjustment in policy with solvency evidence that advocates continuing status quo trends.  Vote against them to protect negative ground – even if they can point to a slight difference in their solvency, it’s </w:t>
      </w:r>
      <w:r w:rsidRPr="007203DD">
        <w:rPr>
          <w:rFonts w:asciiTheme="minorHAnsi" w:hAnsiTheme="minorHAnsi" w:cs="Arial"/>
          <w:u w:val="single"/>
        </w:rPr>
        <w:t>impossible to quantify</w:t>
      </w:r>
      <w:r w:rsidRPr="007203DD">
        <w:rPr>
          <w:rFonts w:asciiTheme="minorHAnsi" w:hAnsiTheme="minorHAnsi" w:cs="Arial"/>
        </w:rPr>
        <w:t xml:space="preserve"> and no </w:t>
      </w:r>
      <w:r w:rsidRPr="007203DD">
        <w:rPr>
          <w:rFonts w:asciiTheme="minorHAnsi" w:hAnsiTheme="minorHAnsi" w:cs="Arial"/>
          <w:u w:val="single"/>
        </w:rPr>
        <w:t>meaningful</w:t>
      </w:r>
      <w:r w:rsidRPr="007203DD">
        <w:rPr>
          <w:rFonts w:asciiTheme="minorHAnsi" w:hAnsiTheme="minorHAnsi" w:cs="Arial"/>
        </w:rPr>
        <w:t xml:space="preserve"> literature base exists – it makes finding unique disads impossible</w:t>
      </w:r>
    </w:p>
    <w:p w:rsidR="007721CC" w:rsidRDefault="007721CC" w:rsidP="007721CC"/>
    <w:p w:rsidR="007721CC" w:rsidRDefault="007721CC" w:rsidP="007721CC">
      <w:pPr>
        <w:pStyle w:val="Heading2"/>
      </w:pPr>
      <w:r>
        <w:lastRenderedPageBreak/>
        <w:t>Mexiconomy</w:t>
      </w:r>
    </w:p>
    <w:p w:rsidR="007721CC" w:rsidRPr="00B00E3F" w:rsidRDefault="007721CC" w:rsidP="007721CC">
      <w:pPr>
        <w:pStyle w:val="Heading4"/>
      </w:pPr>
      <w:r>
        <w:t>Rapid Mexican</w:t>
      </w:r>
      <w:r w:rsidRPr="00B00E3F">
        <w:t xml:space="preserve"> ec</w:t>
      </w:r>
      <w:r>
        <w:t>on growth now--- export markets prove</w:t>
      </w:r>
    </w:p>
    <w:p w:rsidR="007721CC" w:rsidRPr="00B00E3F" w:rsidRDefault="007721CC" w:rsidP="007721CC">
      <w:pPr>
        <w:rPr>
          <w:rFonts w:asciiTheme="majorHAnsi" w:hAnsiTheme="majorHAnsi"/>
          <w:sz w:val="24"/>
          <w:szCs w:val="24"/>
        </w:rPr>
      </w:pPr>
      <w:r w:rsidRPr="00B00E3F">
        <w:rPr>
          <w:rFonts w:asciiTheme="majorHAnsi" w:hAnsiTheme="majorHAnsi"/>
          <w:b/>
          <w:sz w:val="24"/>
          <w:szCs w:val="24"/>
        </w:rPr>
        <w:t>Selko, 2012  Senior Editor, IndustryWeek, covering expansion management/strategic siting</w:t>
      </w:r>
      <w:r w:rsidRPr="00B00E3F">
        <w:rPr>
          <w:rFonts w:asciiTheme="majorHAnsi" w:hAnsiTheme="majorHAnsi"/>
          <w:sz w:val="24"/>
          <w:szCs w:val="24"/>
        </w:rPr>
        <w:t>, [Adrienne, Tonya Vinas, "Nearshoring Fuels Mexican Manufacturing Growth", Mar. 10, 2012 http://www.industryweek.com/global-economy/nearshoring-fuels-mexican-manufacturing-growth 7/16/13]</w:t>
      </w:r>
    </w:p>
    <w:p w:rsidR="007721CC" w:rsidRDefault="007721CC" w:rsidP="007721CC">
      <w:r w:rsidRPr="007721CC">
        <w:t xml:space="preserve">While Mexico is still heavily dependent on the United States for its exports, the </w:t>
      </w:r>
    </w:p>
    <w:p w:rsidR="007721CC" w:rsidRDefault="007721CC" w:rsidP="007721CC">
      <w:r>
        <w:t>AND</w:t>
      </w:r>
    </w:p>
    <w:p w:rsidR="007721CC" w:rsidRPr="007721CC" w:rsidRDefault="007721CC" w:rsidP="007721CC">
      <w:r w:rsidRPr="007721CC">
        <w:t>S.-based executive vice president with the international commercial banking firm HSBC."</w:t>
      </w:r>
    </w:p>
    <w:p w:rsidR="007721CC" w:rsidRDefault="007721CC" w:rsidP="007721CC">
      <w:pPr>
        <w:rPr>
          <w:rStyle w:val="StyleStyleBold12pt"/>
        </w:rPr>
      </w:pPr>
    </w:p>
    <w:p w:rsidR="007721CC" w:rsidRPr="005A2163" w:rsidRDefault="007721CC" w:rsidP="007721CC">
      <w:pPr>
        <w:pStyle w:val="Heading4"/>
        <w:rPr>
          <w:rFonts w:cs="Times New Roman"/>
        </w:rPr>
      </w:pPr>
      <w:r w:rsidRPr="005A2163">
        <w:rPr>
          <w:rFonts w:cs="Times New Roman"/>
        </w:rPr>
        <w:t xml:space="preserve">Mexican economy is booming </w:t>
      </w:r>
      <w:r>
        <w:rPr>
          <w:rFonts w:cs="Times New Roman"/>
        </w:rPr>
        <w:t>now and PEMEX discoveries solve oil shocks in the squo</w:t>
      </w:r>
    </w:p>
    <w:p w:rsidR="007721CC" w:rsidRPr="005A2163" w:rsidRDefault="007721CC" w:rsidP="007721CC">
      <w:pPr>
        <w:rPr>
          <w:rFonts w:cs="Times New Roman"/>
        </w:rPr>
      </w:pPr>
      <w:r w:rsidRPr="005A2163">
        <w:rPr>
          <w:rFonts w:cs="Times New Roman"/>
          <w:b/>
        </w:rPr>
        <w:t xml:space="preserve">Vardi 12 </w:t>
      </w:r>
      <w:r w:rsidRPr="005A2163">
        <w:rPr>
          <w:rFonts w:cs="Times New Roman"/>
          <w:b/>
          <w:szCs w:val="16"/>
        </w:rPr>
        <w:t xml:space="preserve">– </w:t>
      </w:r>
      <w:r w:rsidRPr="005A2163">
        <w:rPr>
          <w:rFonts w:cs="Times New Roman"/>
          <w:szCs w:val="16"/>
        </w:rPr>
        <w:t>Forbes contributor, Wall Street analyst, focus on intersection of business and law (Nathan, “The Mexican Miracle: Despite Drug War, Economy is Booming”, 10/15/12; http://www.forbes.com/sites/nathanvardi/2012/10/15/the-mexican-mircale/)//Beddow</w:t>
      </w:r>
    </w:p>
    <w:p w:rsidR="007721CC" w:rsidRDefault="007721CC" w:rsidP="007721CC">
      <w:r w:rsidRPr="007721CC">
        <w:t xml:space="preserve">When Vikram Pandit, the chief executive of Citigroup, was asked on Monday to </w:t>
      </w:r>
    </w:p>
    <w:p w:rsidR="007721CC" w:rsidRDefault="007721CC" w:rsidP="007721CC">
      <w:r>
        <w:t>AND</w:t>
      </w:r>
    </w:p>
    <w:p w:rsidR="007721CC" w:rsidRPr="007721CC" w:rsidRDefault="007721CC" w:rsidP="007721CC">
      <w:r w:rsidRPr="007721CC">
        <w:t>. “We are in the middle of the rebirth,” he said.</w:t>
      </w:r>
    </w:p>
    <w:p w:rsidR="007721CC" w:rsidRDefault="007721CC" w:rsidP="007721CC">
      <w:pPr>
        <w:pStyle w:val="Heading4"/>
      </w:pPr>
      <w:r>
        <w:t>U.S. manufacturing inevitable despite challenges – no other country has the structural institutions to sustain leadership – empirics prove</w:t>
      </w:r>
    </w:p>
    <w:p w:rsidR="007721CC" w:rsidRPr="00180FA7" w:rsidRDefault="007721CC" w:rsidP="007721CC"/>
    <w:p w:rsidR="007721CC" w:rsidRPr="00251433" w:rsidRDefault="007721CC" w:rsidP="007721CC">
      <w:pPr>
        <w:rPr>
          <w:b/>
        </w:rPr>
      </w:pPr>
      <w:r>
        <w:rPr>
          <w:b/>
        </w:rPr>
        <w:t xml:space="preserve">Acemoglu et. al </w:t>
      </w:r>
      <w:r w:rsidRPr="00251433">
        <w:rPr>
          <w:b/>
        </w:rPr>
        <w:t xml:space="preserve">12 </w:t>
      </w:r>
      <w:r w:rsidRPr="00251433">
        <w:rPr>
          <w:rStyle w:val="StyleStyleBold12pt"/>
          <w:b w:val="0"/>
        </w:rPr>
        <w:t xml:space="preserve">(Daron Acemoglu, economist, Professor of Economics at MIT, James A. Robinson, Professor of Government at Harvard University, “World’s next technology leader will be U.S, not China – if America can shape up,” </w:t>
      </w:r>
      <w:hyperlink r:id="rId13" w:history="1">
        <w:r w:rsidRPr="00251433">
          <w:rPr>
            <w:rStyle w:val="StyleStyleBold12pt"/>
            <w:b w:val="0"/>
          </w:rPr>
          <w:t>http://www.csmonitor.com/Commentary/Global-Viewpoint/2012/0419/World-s-next-technology-leader-will-be-US-not-China-if-America-can-shape-up</w:t>
        </w:r>
      </w:hyperlink>
      <w:r w:rsidRPr="00251433">
        <w:rPr>
          <w:rStyle w:val="StyleStyleBold12pt"/>
          <w:b w:val="0"/>
        </w:rPr>
        <w:t>, April 19, 2012)</w:t>
      </w:r>
    </w:p>
    <w:p w:rsidR="007721CC" w:rsidRDefault="007721CC" w:rsidP="007721CC">
      <w:r w:rsidRPr="007721CC">
        <w:t xml:space="preserve">The odds favor the US not only because it is technologically more advanced and innovative </w:t>
      </w:r>
    </w:p>
    <w:p w:rsidR="007721CC" w:rsidRDefault="007721CC" w:rsidP="007721CC">
      <w:r>
        <w:t>AND</w:t>
      </w:r>
    </w:p>
    <w:p w:rsidR="007721CC" w:rsidRPr="007721CC" w:rsidRDefault="007721CC" w:rsidP="007721CC">
      <w:r w:rsidRPr="007721CC">
        <w:t>could not generate innovation. The Soviet economy stagnated and then totally collapsed.</w:t>
      </w:r>
    </w:p>
    <w:p w:rsidR="007721CC" w:rsidRPr="00DD6935" w:rsidRDefault="007721CC" w:rsidP="007721CC">
      <w:pPr>
        <w:rPr>
          <w:rStyle w:val="StyleStyleBold12pt"/>
        </w:rPr>
      </w:pPr>
    </w:p>
    <w:p w:rsidR="007721CC" w:rsidRPr="00856702" w:rsidRDefault="007721CC" w:rsidP="007721CC">
      <w:pPr>
        <w:keepNext/>
        <w:keepLines/>
        <w:spacing w:before="200"/>
        <w:outlineLvl w:val="3"/>
        <w:rPr>
          <w:rFonts w:eastAsia="SimSun"/>
          <w:b/>
          <w:bCs/>
          <w:iCs/>
          <w:sz w:val="26"/>
        </w:rPr>
      </w:pPr>
      <w:r w:rsidRPr="008E0E76">
        <w:rPr>
          <w:rFonts w:eastAsia="SimSun"/>
          <w:b/>
          <w:bCs/>
          <w:iCs/>
          <w:sz w:val="26"/>
        </w:rPr>
        <w:t xml:space="preserve">US </w:t>
      </w:r>
      <w:r>
        <w:rPr>
          <w:rFonts w:eastAsia="SimSun"/>
          <w:b/>
          <w:bCs/>
          <w:iCs/>
          <w:sz w:val="26"/>
        </w:rPr>
        <w:t>manufacturing</w:t>
      </w:r>
      <w:r w:rsidRPr="008E0E76">
        <w:rPr>
          <w:rFonts w:eastAsia="SimSun"/>
          <w:b/>
          <w:bCs/>
          <w:iCs/>
          <w:sz w:val="26"/>
        </w:rPr>
        <w:t xml:space="preserve"> leadership </w:t>
      </w:r>
      <w:r w:rsidRPr="00961537">
        <w:rPr>
          <w:rFonts w:eastAsia="SimSun"/>
          <w:b/>
          <w:bCs/>
          <w:iCs/>
          <w:sz w:val="26"/>
        </w:rPr>
        <w:t>high now – trends</w:t>
      </w:r>
      <w:r w:rsidRPr="008E0E76">
        <w:rPr>
          <w:rFonts w:eastAsia="SimSun"/>
          <w:b/>
          <w:bCs/>
          <w:iCs/>
          <w:sz w:val="26"/>
        </w:rPr>
        <w:t xml:space="preserve"> prove</w:t>
      </w:r>
    </w:p>
    <w:p w:rsidR="007721CC" w:rsidRPr="008E0E76" w:rsidRDefault="007721CC" w:rsidP="007721CC">
      <w:pPr>
        <w:rPr>
          <w:rFonts w:eastAsia="Calibri"/>
          <w:bCs/>
          <w:sz w:val="16"/>
          <w:szCs w:val="16"/>
        </w:rPr>
      </w:pPr>
      <w:r w:rsidRPr="008E0E76">
        <w:rPr>
          <w:rFonts w:eastAsia="Calibri"/>
          <w:b/>
          <w:bCs/>
        </w:rPr>
        <w:t xml:space="preserve">Hummel et al 12 – </w:t>
      </w:r>
      <w:r w:rsidRPr="008E0E76">
        <w:rPr>
          <w:rFonts w:eastAsia="Calibri"/>
          <w:bCs/>
          <w:sz w:val="16"/>
          <w:szCs w:val="16"/>
        </w:rPr>
        <w:t xml:space="preserve">Hummel - Ph.D in Mathematics, Chief Scientist at Potomac Institute for Policy Studies, former project manager at DARPA. Cheetham – Research Associate for Academic Centers and Programs at the Potomac Institute for Policy Studies, research and analytical support to policy development projects for DOD (Robert Hummel, Patrick Cheetham, Justin Rossi, “US Science and Technology Leadership, and Technology Grand Challenges,” Synesis, 2012, </w:t>
      </w:r>
      <w:hyperlink r:id="rId14" w:history="1">
        <w:r w:rsidRPr="008E0E76">
          <w:rPr>
            <w:rFonts w:eastAsia="Calibri"/>
            <w:sz w:val="16"/>
            <w:szCs w:val="16"/>
          </w:rPr>
          <w:t>http://www.synesisjournal.com/vol3_g/Hummel_2012_G14-39.pdf</w:t>
        </w:r>
      </w:hyperlink>
      <w:r w:rsidRPr="008E0E76">
        <w:rPr>
          <w:rFonts w:eastAsia="Calibri"/>
          <w:sz w:val="16"/>
          <w:szCs w:val="16"/>
        </w:rPr>
        <w:t>)//RH</w:t>
      </w:r>
    </w:p>
    <w:p w:rsidR="007721CC" w:rsidRDefault="007721CC" w:rsidP="007721CC">
      <w:r w:rsidRPr="007721CC">
        <w:t xml:space="preserve">The US enjoys a science and technology (S&amp;T) enterprise that is </w:t>
      </w:r>
    </w:p>
    <w:p w:rsidR="007721CC" w:rsidRDefault="007721CC" w:rsidP="007721CC">
      <w:r>
        <w:t>AND</w:t>
      </w:r>
    </w:p>
    <w:p w:rsidR="007721CC" w:rsidRPr="007721CC" w:rsidRDefault="007721CC" w:rsidP="007721CC">
      <w:r w:rsidRPr="007721CC">
        <w:t>quality. We conclude that the enterprise maintains a leadership position for now.</w:t>
      </w:r>
    </w:p>
    <w:p w:rsidR="007721CC" w:rsidRDefault="007721CC" w:rsidP="007721CC">
      <w:pPr>
        <w:rPr>
          <w:rFonts w:eastAsia="Calibri"/>
          <w:sz w:val="16"/>
          <w:szCs w:val="16"/>
        </w:rPr>
      </w:pPr>
    </w:p>
    <w:p w:rsidR="007721CC" w:rsidRPr="00897CCB" w:rsidRDefault="007721CC" w:rsidP="007721CC">
      <w:pPr>
        <w:pStyle w:val="Heading4"/>
      </w:pPr>
      <w:r>
        <w:lastRenderedPageBreak/>
        <w:t xml:space="preserve">No Taiwan war escalation --- no military intervention. </w:t>
      </w:r>
    </w:p>
    <w:p w:rsidR="007721CC" w:rsidRPr="00897CCB" w:rsidRDefault="007721CC" w:rsidP="007721CC">
      <w:pPr>
        <w:rPr>
          <w:sz w:val="16"/>
        </w:rPr>
      </w:pPr>
      <w:r w:rsidRPr="00897CCB">
        <w:rPr>
          <w:rStyle w:val="StyleStyleBold12pt"/>
          <w:u w:val="single"/>
        </w:rPr>
        <w:t>Fischer 11/27</w:t>
      </w:r>
      <w:r w:rsidRPr="00897CCB">
        <w:rPr>
          <w:sz w:val="16"/>
        </w:rPr>
        <w:t xml:space="preserve"> -- clean energy entrepreneur and is the founder and CEO of Lumicity Ltd (Tristan, 2012, " Why China could invade Taiwan – and get away with it," http://www.historyfuturenow.com/wp/why-china-could-invade-taiwan-and-get-away-with-it/)</w:t>
      </w:r>
    </w:p>
    <w:p w:rsidR="007721CC" w:rsidRDefault="007721CC" w:rsidP="007721CC"/>
    <w:p w:rsidR="007721CC" w:rsidRDefault="007721CC" w:rsidP="007721CC">
      <w:r w:rsidRPr="007721CC">
        <w:t xml:space="preserve">The People’s Republic of China has been very patient with Taiwan. It knows that </w:t>
      </w:r>
    </w:p>
    <w:p w:rsidR="007721CC" w:rsidRDefault="007721CC" w:rsidP="007721CC">
      <w:r>
        <w:t>AND</w:t>
      </w:r>
    </w:p>
    <w:p w:rsidR="007721CC" w:rsidRPr="007721CC" w:rsidRDefault="007721CC" w:rsidP="007721CC">
      <w:r w:rsidRPr="007721CC">
        <w:t>market access making the business classes increasingly open to reunification with mainland China.</w:t>
      </w:r>
    </w:p>
    <w:p w:rsidR="007721CC" w:rsidRDefault="007721CC" w:rsidP="007721CC">
      <w:pPr>
        <w:rPr>
          <w:sz w:val="16"/>
        </w:rPr>
      </w:pPr>
    </w:p>
    <w:p w:rsidR="007721CC" w:rsidRDefault="007721CC" w:rsidP="007721CC">
      <w:pPr>
        <w:rPr>
          <w:rFonts w:eastAsia="Calibri"/>
          <w:sz w:val="16"/>
          <w:szCs w:val="16"/>
        </w:rPr>
      </w:pPr>
    </w:p>
    <w:p w:rsidR="007721CC" w:rsidRPr="00234941" w:rsidRDefault="007721CC" w:rsidP="007721CC">
      <w:pPr>
        <w:rPr>
          <w:b/>
        </w:rPr>
      </w:pPr>
      <w:r w:rsidRPr="00234941">
        <w:rPr>
          <w:b/>
        </w:rPr>
        <w:t>Demand for drugs is inevitably going to be high and global</w:t>
      </w:r>
    </w:p>
    <w:p w:rsidR="007721CC" w:rsidRPr="001F78EB" w:rsidRDefault="007721CC" w:rsidP="007721CC">
      <w:pPr>
        <w:rPr>
          <w:rStyle w:val="StyleStyleBold12pt"/>
          <w:b w:val="0"/>
        </w:rPr>
      </w:pPr>
      <w:r w:rsidRPr="00234941">
        <w:rPr>
          <w:b/>
        </w:rPr>
        <w:t>Carpenter, 9</w:t>
      </w:r>
      <w:r w:rsidRPr="00234941">
        <w:t xml:space="preserve"> vice president for defense and foreign policy studies at the Cato Institute, is the author of eight books, including Bad Neighbor Policy: Washington’s Futile War on Drugs in Latin America</w:t>
      </w:r>
      <w:r w:rsidRPr="00234941">
        <w:rPr>
          <w:rStyle w:val="StyleStyleBold12pt"/>
        </w:rPr>
        <w:t xml:space="preserve"> (</w:t>
      </w:r>
      <w:r w:rsidRPr="001F78EB">
        <w:rPr>
          <w:rStyle w:val="StyleStyleBold12pt"/>
        </w:rPr>
        <w:t>Ted Galen, “Troubled Neighbor: Mexico’s Drug Violence Poses a Threat to the United States” February 2, 2009 Cato Institute, http://www.cato.org/publications/policy-analysis/troubled-neighbor-mexicos-drug-violence-poses-threat-united-states) // czhang</w:t>
      </w:r>
    </w:p>
    <w:p w:rsidR="007721CC" w:rsidRDefault="007721CC" w:rsidP="007721CC">
      <w:r w:rsidRPr="007721CC">
        <w:t xml:space="preserve">Drug warriors in both Mexico and the¶ United States repeatedly rationalize unpleasant revelations regarding </w:t>
      </w:r>
    </w:p>
    <w:p w:rsidR="007721CC" w:rsidRDefault="007721CC" w:rsidP="007721CC">
      <w:r>
        <w:t>AND</w:t>
      </w:r>
    </w:p>
    <w:p w:rsidR="007721CC" w:rsidRPr="007721CC" w:rsidRDefault="007721CC" w:rsidP="007721CC">
      <w:r w:rsidRPr="007721CC">
        <w:t xml:space="preserve">on a global basis is¶ robust and is likely to remain so.¶ </w:t>
      </w:r>
    </w:p>
    <w:p w:rsidR="007721CC" w:rsidRDefault="007721CC" w:rsidP="007721CC">
      <w:pPr>
        <w:rPr>
          <w:rFonts w:eastAsia="Calibri"/>
          <w:sz w:val="16"/>
          <w:szCs w:val="16"/>
        </w:rPr>
      </w:pPr>
    </w:p>
    <w:p w:rsidR="007721CC" w:rsidRDefault="007721CC" w:rsidP="007721CC">
      <w:pPr>
        <w:pStyle w:val="Heading2"/>
        <w:rPr>
          <w:rFonts w:eastAsia="Calibri"/>
        </w:rPr>
      </w:pPr>
      <w:r>
        <w:rPr>
          <w:rFonts w:eastAsia="Calibri"/>
        </w:rPr>
        <w:lastRenderedPageBreak/>
        <w:t>Renewables</w:t>
      </w:r>
    </w:p>
    <w:p w:rsidR="007721CC" w:rsidRDefault="007721CC" w:rsidP="007721CC">
      <w:pPr>
        <w:pStyle w:val="Heading4"/>
      </w:pPr>
      <w:r>
        <w:t>Relations increasing now – security is the key internal link.</w:t>
      </w:r>
    </w:p>
    <w:p w:rsidR="007721CC" w:rsidRPr="00755073" w:rsidRDefault="007721CC" w:rsidP="007721CC">
      <w:r w:rsidRPr="00755073">
        <w:rPr>
          <w:rStyle w:val="Heading4Char"/>
        </w:rPr>
        <w:t>Schaefer, 13</w:t>
      </w:r>
      <w:r w:rsidRPr="00755073">
        <w:t xml:space="preserve"> [Agnes Bereben is a senior political scientist at the nonprofit, nonpartisan RAND Corp., based in Santa Monica, Calif, If U.S.-Mexico Get Security Right, Other Good Policy Will Follow</w:t>
      </w:r>
    </w:p>
    <w:p w:rsidR="007721CC" w:rsidRDefault="007721CC" w:rsidP="007721CC">
      <w:r w:rsidRPr="00755073">
        <w:t xml:space="preserve"> </w:t>
      </w:r>
      <w:hyperlink r:id="rId15" w:history="1">
        <w:r w:rsidRPr="006C18C4">
          <w:rPr>
            <w:rStyle w:val="Hyperlink"/>
          </w:rPr>
          <w:t>http://www.rand.org/blog/2013/05/if-us-mexico-get-security-right-other-good-policy.html</w:t>
        </w:r>
      </w:hyperlink>
      <w:r>
        <w:t xml:space="preserve">] </w:t>
      </w:r>
    </w:p>
    <w:p w:rsidR="007721CC" w:rsidRDefault="007721CC" w:rsidP="007721CC">
      <w:r w:rsidRPr="007721CC">
        <w:t xml:space="preserve">During their joint news conference, Obama and Mexican President Enrique Peña Nieto touted their </w:t>
      </w:r>
    </w:p>
    <w:p w:rsidR="007721CC" w:rsidRDefault="007721CC" w:rsidP="007721CC">
      <w:r>
        <w:t>AND</w:t>
      </w:r>
    </w:p>
    <w:p w:rsidR="007721CC" w:rsidRPr="007721CC" w:rsidRDefault="007721CC" w:rsidP="007721CC">
      <w:r w:rsidRPr="007721CC">
        <w:t xml:space="preserve">, they may find themselves with far more opportunities for broader cooperation tomorrow. </w:t>
      </w:r>
    </w:p>
    <w:p w:rsidR="007721CC" w:rsidRDefault="007721CC" w:rsidP="007721CC"/>
    <w:p w:rsidR="007721CC" w:rsidRPr="005A2163" w:rsidRDefault="007721CC" w:rsidP="007721CC">
      <w:pPr>
        <w:pStyle w:val="Heading4"/>
        <w:rPr>
          <w:rFonts w:cs="Times New Roman"/>
        </w:rPr>
      </w:pPr>
      <w:r w:rsidRPr="005A2163">
        <w:rPr>
          <w:rFonts w:cs="Times New Roman"/>
        </w:rPr>
        <w:t>US – Mexico Cooperation now – TPP negotiations and security policies</w:t>
      </w:r>
    </w:p>
    <w:p w:rsidR="007721CC" w:rsidRPr="005A2163" w:rsidRDefault="007721CC" w:rsidP="007721CC">
      <w:pPr>
        <w:rPr>
          <w:rFonts w:eastAsia="Calibri" w:cs="Times New Roman"/>
          <w:bCs/>
        </w:rPr>
      </w:pPr>
      <w:r w:rsidRPr="005A2163">
        <w:rPr>
          <w:rStyle w:val="StyleStyleBold12pt"/>
          <w:rFonts w:cs="Times New Roman"/>
        </w:rPr>
        <w:t>Hakim et. al. 2/1/13</w:t>
      </w:r>
      <w:r w:rsidRPr="005A2163">
        <w:rPr>
          <w:rFonts w:eastAsia="Calibri" w:cs="Times New Roman"/>
          <w:bCs/>
        </w:rPr>
        <w:t xml:space="preserve"> </w:t>
      </w:r>
      <w:r w:rsidRPr="005A2163">
        <w:rPr>
          <w:rFonts w:eastAsia="Calibri" w:cs="Times New Roman"/>
          <w:bCs/>
          <w:szCs w:val="16"/>
        </w:rPr>
        <w:t>–</w:t>
      </w:r>
      <w:r w:rsidRPr="005A2163">
        <w:rPr>
          <w:rFonts w:cs="Times New Roman"/>
        </w:rPr>
        <w:t xml:space="preserve"> (Peter Hakim, member of the Advisor board and president emeritus of the Inter-American Dialogue Andrés Rozental, member of the Advisor board, president of Rozental &amp; Asociados in Mexico City and senior fellow at the Brookings Institution and Laura Carlsen, director of the Americas program at the Center for International Policy, Latin America Advisor, February 1, 2013 “Have Prospects for U.S.-Mexican Relations Improved?” </w:t>
      </w:r>
      <w:hyperlink r:id="rId16" w:history="1">
        <w:r w:rsidRPr="005A2163">
          <w:rPr>
            <w:rFonts w:cs="Times New Roman"/>
          </w:rPr>
          <w:t>http://www.thedialogue.org/page.cfm?pageID=32&amp;pubID=3222</w:t>
        </w:r>
      </w:hyperlink>
      <w:r w:rsidRPr="005A2163">
        <w:rPr>
          <w:rFonts w:cs="Times New Roman"/>
        </w:rPr>
        <w:t>) DF</w:t>
      </w:r>
    </w:p>
    <w:p w:rsidR="007721CC" w:rsidRDefault="007721CC" w:rsidP="007721CC">
      <w:r w:rsidRPr="007721CC">
        <w:t xml:space="preserve">Q: Eduardo Medina-Mora formally presented his credentials to U.S. </w:t>
      </w:r>
    </w:p>
    <w:p w:rsidR="007721CC" w:rsidRDefault="007721CC" w:rsidP="007721CC">
      <w:r>
        <w:t>AND</w:t>
      </w:r>
    </w:p>
    <w:p w:rsidR="007721CC" w:rsidRPr="007721CC" w:rsidRDefault="007721CC" w:rsidP="007721CC">
      <w:r w:rsidRPr="007721CC">
        <w:t xml:space="preserve">It is now up to the two presidents to take advantage of it." </w:t>
      </w:r>
    </w:p>
    <w:p w:rsidR="007721CC" w:rsidRPr="005A2163" w:rsidRDefault="007721CC" w:rsidP="007721CC">
      <w:pPr>
        <w:pStyle w:val="Heading4"/>
        <w:rPr>
          <w:rFonts w:cs="Times New Roman"/>
        </w:rPr>
      </w:pPr>
      <w:r>
        <w:rPr>
          <w:rFonts w:cs="Times New Roman"/>
        </w:rPr>
        <w:t>Turn - Plan causes unemployment</w:t>
      </w:r>
    </w:p>
    <w:p w:rsidR="007721CC" w:rsidRDefault="007721CC" w:rsidP="007721CC">
      <w:r w:rsidRPr="007721CC">
        <w:t xml:space="preserve">GNEB 11 – Good Neighbor Environmental Board, The Good Neighbor Environmental Board was created </w:t>
      </w:r>
    </w:p>
    <w:p w:rsidR="007721CC" w:rsidRDefault="007721CC" w:rsidP="007721CC">
      <w:r>
        <w:t>AND</w:t>
      </w:r>
    </w:p>
    <w:p w:rsidR="007721CC" w:rsidRPr="007721CC" w:rsidRDefault="007721CC" w:rsidP="007721CC">
      <w:r w:rsidRPr="007721CC">
        <w:t>S. Environmental Protection Agency by Executive Order 12916 on May 13, 1994</w:t>
      </w:r>
    </w:p>
    <w:p w:rsidR="007721CC" w:rsidRPr="005A2163" w:rsidRDefault="007721CC" w:rsidP="007721CC">
      <w:pPr>
        <w:rPr>
          <w:rFonts w:cs="Times New Roman"/>
        </w:rPr>
      </w:pPr>
      <w:r w:rsidRPr="005A2163">
        <w:rPr>
          <w:rFonts w:cs="Times New Roman"/>
        </w:rPr>
        <w:t>(“The Potential Environmental and Economic Benefits of Renewable Energy Development in the U.S.-Mexico Border Region,” http://www.epa.gov/ofacmo/gneb/gneb14threport/English-GNEB-14th-Report.pdf)//BB</w:t>
      </w:r>
    </w:p>
    <w:p w:rsidR="007721CC" w:rsidRDefault="007721CC" w:rsidP="007721CC">
      <w:r w:rsidRPr="007721CC">
        <w:t xml:space="preserve">Some wind and geothermal developments in Mexico already are serving the California markets. The </w:t>
      </w:r>
    </w:p>
    <w:p w:rsidR="007721CC" w:rsidRDefault="007721CC" w:rsidP="007721CC">
      <w:r>
        <w:t>AND</w:t>
      </w:r>
    </w:p>
    <w:p w:rsidR="007721CC" w:rsidRPr="007721CC" w:rsidRDefault="007721CC" w:rsidP="007721CC">
      <w:r w:rsidRPr="007721CC">
        <w:t>¶ displacement and the loss of economic development opportunities in the United States.</w:t>
      </w:r>
    </w:p>
    <w:p w:rsidR="007721CC" w:rsidRPr="00724C1A" w:rsidRDefault="007721CC" w:rsidP="007721CC"/>
    <w:p w:rsidR="007721CC" w:rsidRPr="004F3B21" w:rsidRDefault="007721CC" w:rsidP="007721CC"/>
    <w:p w:rsidR="007721CC" w:rsidRPr="001D078F" w:rsidRDefault="007721CC" w:rsidP="007721CC">
      <w:pPr>
        <w:pStyle w:val="Heading4"/>
      </w:pPr>
      <w:r w:rsidRPr="001D078F">
        <w:t xml:space="preserve">High unemployment rates </w:t>
      </w:r>
      <w:r>
        <w:t>hinder</w:t>
      </w:r>
      <w:r w:rsidRPr="001D078F">
        <w:t xml:space="preserve"> e</w:t>
      </w:r>
      <w:r>
        <w:t>conomic growth</w:t>
      </w:r>
    </w:p>
    <w:p w:rsidR="007721CC" w:rsidRDefault="007721CC" w:rsidP="007721CC">
      <w:r w:rsidRPr="00BD7AE9">
        <w:rPr>
          <w:rStyle w:val="StyleStyleBold12pt"/>
        </w:rPr>
        <w:t>Castells- Quintana and Royula 12</w:t>
      </w:r>
      <w:r>
        <w:t xml:space="preserve"> (</w:t>
      </w:r>
      <w:r w:rsidRPr="00680B61">
        <w:t>David Castells-Quintana</w:t>
      </w:r>
      <w:r>
        <w:t xml:space="preserve"> </w:t>
      </w:r>
      <w:r w:rsidRPr="00BD7AE9">
        <w:t>BA in Economics from the Un</w:t>
      </w:r>
      <w:r>
        <w:t xml:space="preserve">iversidad Autónoma de Barcelona and Vicente Royuela economic researcher at </w:t>
      </w:r>
      <w:r w:rsidRPr="00BD7AE9">
        <w:t xml:space="preserve"> Universitat de Barcelona</w:t>
      </w:r>
      <w:r>
        <w:t>,“Unemployment and long-run economic growth:The role of income inequality and urbanisation”</w:t>
      </w:r>
      <w:r w:rsidRPr="000D329E">
        <w:t xml:space="preserve">, June 27th 2012, </w:t>
      </w:r>
      <w:hyperlink r:id="rId17" w:history="1">
        <w:r w:rsidRPr="007A7F40">
          <w:rPr>
            <w:rStyle w:val="Hyperlink"/>
          </w:rPr>
          <w:t>http://www.aecr.org/images/ImatgesArticles/2012/12/7_David_Castells_Quintana,_Vicente_Royuela.pdf</w:t>
        </w:r>
      </w:hyperlink>
      <w:r>
        <w:t>, p. 155-156)</w:t>
      </w:r>
    </w:p>
    <w:p w:rsidR="007721CC" w:rsidRDefault="007721CC" w:rsidP="007721CC">
      <w:r w:rsidRPr="007721CC">
        <w:t xml:space="preserve">Unemployment may be associated with structural change and subsequent economic growth. Here, we </w:t>
      </w:r>
    </w:p>
    <w:p w:rsidR="007721CC" w:rsidRDefault="007721CC" w:rsidP="007721CC">
      <w:r>
        <w:t>AND</w:t>
      </w:r>
    </w:p>
    <w:p w:rsidR="007721CC" w:rsidRPr="007721CC" w:rsidRDefault="007721CC" w:rsidP="007721CC">
      <w:r w:rsidRPr="007721CC">
        <w:t>Mares and Sirovátka, 2005), thus harming ¶ long-run growth.</w:t>
      </w:r>
    </w:p>
    <w:p w:rsidR="007721CC" w:rsidRPr="009A60EF" w:rsidRDefault="007721CC" w:rsidP="007721CC">
      <w:pPr>
        <w:spacing w:before="100" w:beforeAutospacing="1" w:after="100" w:afterAutospacing="1"/>
        <w:contextualSpacing/>
        <w:mirrorIndents/>
        <w:rPr>
          <w:rFonts w:eastAsia="Calibri" w:cs="Times New Roman"/>
          <w:sz w:val="16"/>
        </w:rPr>
      </w:pPr>
    </w:p>
    <w:p w:rsidR="007721CC" w:rsidRPr="009D40B9" w:rsidRDefault="007721CC" w:rsidP="007721CC">
      <w:pPr>
        <w:pStyle w:val="Heading4"/>
      </w:pPr>
      <w:r>
        <w:t>No internal to terrorism – nuclear terrorists are smart enough to figure out how to get into the US, and they’d prefer the Canadian to the Mexican border.</w:t>
      </w:r>
    </w:p>
    <w:p w:rsidR="007721CC" w:rsidRPr="009D40B9" w:rsidRDefault="007721CC" w:rsidP="007721CC">
      <w:r w:rsidRPr="009D40B9">
        <w:rPr>
          <w:b/>
        </w:rPr>
        <w:t xml:space="preserve">Tierney 06 </w:t>
      </w:r>
      <w:r w:rsidRPr="009D40B9">
        <w:t>- John Tierney writes a column, Findings, for the Science Times section, (“Throwing Hawks a Bone”, may 16, 2006, NY Times, http://www.nytimes.com/2006/05/16/opinion/16tierney.html)//sawyer</w:t>
      </w:r>
    </w:p>
    <w:p w:rsidR="007721CC" w:rsidRDefault="007721CC" w:rsidP="007721CC">
      <w:r w:rsidRPr="007721CC">
        <w:t xml:space="preserve">But if terrorists are smart enough to plan such an attack, they're smart enough </w:t>
      </w:r>
    </w:p>
    <w:p w:rsidR="007721CC" w:rsidRDefault="007721CC" w:rsidP="007721CC">
      <w:r>
        <w:t>AND</w:t>
      </w:r>
    </w:p>
    <w:p w:rsidR="007721CC" w:rsidRPr="007721CC" w:rsidRDefault="007721CC" w:rsidP="007721CC">
      <w:r w:rsidRPr="007721CC">
        <w:t>planes who would have no trouble delivering a terrorist or a suitcase bomb.</w:t>
      </w:r>
    </w:p>
    <w:p w:rsidR="007721CC" w:rsidRPr="00051290" w:rsidRDefault="007721CC" w:rsidP="007721CC"/>
    <w:p w:rsidR="007721CC" w:rsidRPr="006A5976" w:rsidRDefault="007721CC" w:rsidP="007721CC">
      <w:pPr>
        <w:rPr>
          <w:b/>
        </w:rPr>
      </w:pPr>
      <w:r w:rsidRPr="006A5976">
        <w:rPr>
          <w:b/>
        </w:rPr>
        <w:t>Ayson flips neg- terrorism is not an existential risk</w:t>
      </w:r>
    </w:p>
    <w:p w:rsidR="007721CC" w:rsidRDefault="007721CC" w:rsidP="007721CC">
      <w:pPr>
        <w:tabs>
          <w:tab w:val="left" w:pos="4050"/>
        </w:tabs>
      </w:pPr>
      <w:r>
        <w:rPr>
          <w:rStyle w:val="StyleStyleBold12pt"/>
        </w:rPr>
        <w:t>Ayson 10</w:t>
      </w:r>
      <w:r>
        <w:t xml:space="preserve"> - Professor of Strategic Studies and Director of the Centre for Strategic Studies: New Zealand at the Victoria University of Wellington (Robert, “After a Terrorist Nuclear Attack: Envisaging Catalytic Effects,” Studies in Conflict &amp; Terrorism, 33.7, Francis &amp; Taylor)//VP</w:t>
      </w:r>
    </w:p>
    <w:p w:rsidR="007721CC" w:rsidRDefault="007721CC" w:rsidP="007721CC">
      <w:r w:rsidRPr="007721CC">
        <w:t xml:space="preserve">A terrorist nuclear attack, and even the use of nuclear weapons in response by </w:t>
      </w:r>
    </w:p>
    <w:p w:rsidR="007721CC" w:rsidRDefault="007721CC" w:rsidP="007721CC">
      <w:r>
        <w:t>AND</w:t>
      </w:r>
    </w:p>
    <w:p w:rsidR="007721CC" w:rsidRPr="007721CC" w:rsidRDefault="007721CC" w:rsidP="007721CC">
      <w:r w:rsidRPr="007721CC">
        <w:t>a truly awful nuclear exchange taking place precipitated entirely by state possessors themselves.</w:t>
      </w:r>
    </w:p>
    <w:p w:rsidR="007721CC" w:rsidRPr="00802B31" w:rsidRDefault="007721CC" w:rsidP="007721CC">
      <w:pPr>
        <w:pStyle w:val="Heading4"/>
      </w:pPr>
      <w:r w:rsidRPr="00802B31">
        <w:t xml:space="preserve">Clean tech can’t compete with fossil fuels – still too expensive </w:t>
      </w:r>
    </w:p>
    <w:p w:rsidR="007721CC" w:rsidRPr="00802B31" w:rsidRDefault="007721CC" w:rsidP="007721CC">
      <w:r w:rsidRPr="001B50A7">
        <w:rPr>
          <w:rStyle w:val="StyleStyleBold12pt"/>
        </w:rPr>
        <w:t xml:space="preserve">Rotman 11 </w:t>
      </w:r>
      <w:r w:rsidRPr="00802B31">
        <w:t xml:space="preserve">(David Rotman, editor for Technology Review, Praying for an Energy Miracle, Technology Review, 4, </w:t>
      </w:r>
      <w:hyperlink r:id="rId18" w:history="1">
        <w:r w:rsidRPr="00802B31">
          <w:t>http://www.technologyreview.com/energy/32383/</w:t>
        </w:r>
      </w:hyperlink>
      <w:r w:rsidRPr="00802B31">
        <w:t>)</w:t>
      </w:r>
    </w:p>
    <w:p w:rsidR="007721CC" w:rsidRDefault="007721CC" w:rsidP="007721CC">
      <w:r w:rsidRPr="007721CC">
        <w:t xml:space="preserve">In its conference room is a large chart showing the declining cost of electricity produced </w:t>
      </w:r>
    </w:p>
    <w:p w:rsidR="007721CC" w:rsidRDefault="007721CC" w:rsidP="007721CC">
      <w:r>
        <w:t>AND</w:t>
      </w:r>
    </w:p>
    <w:p w:rsidR="007721CC" w:rsidRPr="007721CC" w:rsidRDefault="007721CC" w:rsidP="007721CC">
      <w:r w:rsidRPr="007721CC">
        <w:t>gas plants can produce power for around 6 cents per kilowatt-­hour.</w:t>
      </w:r>
    </w:p>
    <w:p w:rsidR="007721CC" w:rsidRDefault="007721CC" w:rsidP="007721CC"/>
    <w:p w:rsidR="007721CC" w:rsidRPr="00802B31" w:rsidRDefault="007721CC" w:rsidP="007721CC">
      <w:pPr>
        <w:pStyle w:val="Heading4"/>
      </w:pPr>
      <w:r w:rsidRPr="00802B31">
        <w:t xml:space="preserve">Clean tech collapse coming—reduced governmental subsidization, can’t compete with fossil fuels, investment decreasing now </w:t>
      </w:r>
    </w:p>
    <w:p w:rsidR="007721CC" w:rsidRPr="009F7295" w:rsidRDefault="007721CC" w:rsidP="007721CC">
      <w:r w:rsidRPr="009F7295">
        <w:rPr>
          <w:rStyle w:val="StyleStyleBold12pt"/>
        </w:rPr>
        <w:t>Victor and Yanosek 11</w:t>
      </w:r>
      <w:r w:rsidRPr="009F7295">
        <w:t xml:space="preserve"> (DAVID G. VICTOR is a Professor at the School of International Relations and Pacific Studies at the University of California, San Diego, and Director of the school's Laboratory on International Law and Regulation, KASSIA YANOSEK, Founding Principal of Tana Energy Capital LLC, has worked in private equity and at Bechtel and BP. “The Crisis in Clean Energy”, Foreign Affairs, July/August 2011, http://www.foreignaffairs.com/articles/67903/david-g-victor-and-kassia-yanosek/the-crisis-in-clean-energy)</w:t>
      </w:r>
    </w:p>
    <w:p w:rsidR="007721CC" w:rsidRDefault="007721CC" w:rsidP="007721CC">
      <w:r w:rsidRPr="007721CC">
        <w:t xml:space="preserve">After years of staggering growth, the clean-energy industry is headed for a </w:t>
      </w:r>
    </w:p>
    <w:p w:rsidR="007721CC" w:rsidRDefault="007721CC" w:rsidP="007721CC">
      <w:r>
        <w:t>AND</w:t>
      </w:r>
    </w:p>
    <w:p w:rsidR="007721CC" w:rsidRPr="007721CC" w:rsidRDefault="007721CC" w:rsidP="007721CC">
      <w:r w:rsidRPr="007721CC">
        <w:t>government subsidies. Only a tiny share of the investment focuses on innovation.</w:t>
      </w:r>
    </w:p>
    <w:p w:rsidR="007721CC" w:rsidRPr="008F3BBB" w:rsidRDefault="007721CC" w:rsidP="007721CC"/>
    <w:p w:rsidR="007721CC" w:rsidRPr="00BB2F56" w:rsidRDefault="007721CC" w:rsidP="007721CC"/>
    <w:p w:rsidR="007721CC" w:rsidRPr="00D17C4E" w:rsidRDefault="007721CC" w:rsidP="007721CC"/>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21BA" w:rsidRDefault="00D221BA" w:rsidP="005F5576">
      <w:r>
        <w:separator/>
      </w:r>
    </w:p>
  </w:endnote>
  <w:endnote w:type="continuationSeparator" w:id="0">
    <w:p w:rsidR="00D221BA" w:rsidRDefault="00D221B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21BA" w:rsidRDefault="00D221BA" w:rsidP="005F5576">
      <w:r>
        <w:separator/>
      </w:r>
    </w:p>
  </w:footnote>
  <w:footnote w:type="continuationSeparator" w:id="0">
    <w:p w:rsidR="00D221BA" w:rsidRDefault="00D221B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D7F96"/>
    <w:multiLevelType w:val="hybridMultilevel"/>
    <w:tmpl w:val="A72A6E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AAA69B1"/>
    <w:multiLevelType w:val="hybridMultilevel"/>
    <w:tmpl w:val="E682A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6B20F7B"/>
    <w:multiLevelType w:val="hybridMultilevel"/>
    <w:tmpl w:val="561E31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1C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21CC"/>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37597"/>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1BA"/>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EEFE38F1-E1AD-488F-9988-1A106E9EA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1 Char,Heading 2 Char1 Char,Heading 2 Char Char Char,Heading 2 Char Char1,Char Char,Char Char Char,Char,Char Char Char Char Char Char,Char Char Char Char Char,Char Char Char Char,Heading 2 Char2"/>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3: Cite,Index Headers,Bold Cite,Citation Char Char,Heading 3 Char1 Char Char,Citation Char Char Char Char,Citation Char1 Char Char,Heading 3 Char Char1,Text 7,Block Writing,Read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Ch,No Spacing211,No Spacing12,no read,No Spacing2111,No Spacing4,No Spacing11111,No Spacing5,No Spacing21,Tags,tags,No Spacing1111,TAG,Car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Heading 2 Char Char1 Char Char,Heading 2 Char1 Char Char1,Heading 2 Char Char Char Char,Heading 2 Char Char1 Char1,Char Char Char1,Char Char Char Char1,Char Char1,Char Char Char Char Char Char Char1,Char Char Char Char Char Char1"/>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minimized,Evidence,Highlighted,tag2,Size 10,emphasis in card,CD Card,Underlined,ED - Tag,emphasis,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3: Cite Char,Index Headers Char,Bold Cite Char,Citation Char Char Char1,Heading 3 Char1 Char Char Char,Citation Char Char Char Char Char,Heading 3 Char Char1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paragraph" w:customStyle="1" w:styleId="card">
    <w:name w:val="card"/>
    <w:basedOn w:val="Normal"/>
    <w:link w:val="cardChar"/>
    <w:qFormat/>
    <w:rsid w:val="007721CC"/>
    <w:pPr>
      <w:ind w:left="288" w:right="288"/>
    </w:pPr>
    <w:rPr>
      <w:rFonts w:ascii="Georgia" w:eastAsia="Times New Roman" w:hAnsi="Georgia"/>
      <w:kern w:val="32"/>
      <w:szCs w:val="20"/>
    </w:rPr>
  </w:style>
  <w:style w:type="character" w:customStyle="1" w:styleId="cardChar">
    <w:name w:val="card Char"/>
    <w:link w:val="card"/>
    <w:rsid w:val="007721CC"/>
    <w:rPr>
      <w:rFonts w:ascii="Georgia" w:eastAsia="Times New Roman" w:hAnsi="Georgia" w:cs="Calibri"/>
      <w:kern w:val="32"/>
      <w:szCs w:val="20"/>
    </w:rPr>
  </w:style>
  <w:style w:type="character" w:customStyle="1" w:styleId="Box">
    <w:name w:val="Box"/>
    <w:uiPriority w:val="1"/>
    <w:qFormat/>
    <w:rsid w:val="007721CC"/>
    <w:rPr>
      <w:b/>
      <w:u w:val="single"/>
      <w:bdr w:val="single" w:sz="4" w:space="0" w:color="auto"/>
    </w:rPr>
  </w:style>
  <w:style w:type="character" w:customStyle="1" w:styleId="underline">
    <w:name w:val="underline"/>
    <w:link w:val="textbold"/>
    <w:qFormat/>
    <w:rsid w:val="007721CC"/>
    <w:rPr>
      <w:u w:val="single"/>
    </w:rPr>
  </w:style>
  <w:style w:type="paragraph" w:customStyle="1" w:styleId="textbold">
    <w:name w:val="text bold"/>
    <w:basedOn w:val="Normal"/>
    <w:link w:val="underline"/>
    <w:qFormat/>
    <w:rsid w:val="007721CC"/>
    <w:pPr>
      <w:ind w:left="720"/>
      <w:jc w:val="both"/>
    </w:pPr>
    <w:rPr>
      <w:rFonts w:asciiTheme="minorHAnsi" w:hAnsiTheme="minorHAnsi" w:cstheme="minorBidi"/>
      <w:u w:val="single"/>
    </w:rPr>
  </w:style>
  <w:style w:type="character" w:styleId="IntenseEmphasis">
    <w:name w:val="Intense Emphasis"/>
    <w:aliases w:val="Title Char"/>
    <w:basedOn w:val="DefaultParagraphFont"/>
    <w:link w:val="Title"/>
    <w:uiPriority w:val="6"/>
    <w:qFormat/>
    <w:rsid w:val="007721CC"/>
    <w:rPr>
      <w:b/>
      <w:bCs/>
      <w:u w:val="single"/>
    </w:rPr>
  </w:style>
  <w:style w:type="paragraph" w:styleId="ListParagraph">
    <w:name w:val="List Paragraph"/>
    <w:basedOn w:val="Normal"/>
    <w:uiPriority w:val="34"/>
    <w:qFormat/>
    <w:rsid w:val="007721CC"/>
    <w:pPr>
      <w:ind w:left="720"/>
      <w:contextualSpacing/>
    </w:pPr>
  </w:style>
  <w:style w:type="paragraph" w:styleId="Title">
    <w:name w:val="Title"/>
    <w:basedOn w:val="Normal"/>
    <w:next w:val="Normal"/>
    <w:link w:val="IntenseEmphasis"/>
    <w:uiPriority w:val="6"/>
    <w:qFormat/>
    <w:rsid w:val="007721CC"/>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rsid w:val="007721C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smonitor.com/Commentary/Global-Viewpoint/2012/0419/World-s-next-technology-leader-will-be-US-not-China-if-America-can-shape-up" TargetMode="External"/><Relationship Id="rId18" Type="http://schemas.openxmlformats.org/officeDocument/2006/relationships/hyperlink" Target="http://www.technologyreview.com/energy/32383/"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ilsoncenter.org/sites/default/files/mexico_state_of_border.pdf" TargetMode="External"/><Relationship Id="rId17" Type="http://schemas.openxmlformats.org/officeDocument/2006/relationships/hyperlink" Target="http://www.aecr.org/images/ImatgesArticles/2012/12/7_David_Castells_Quintana,_Vicente_Royuela.pdf" TargetMode="External"/><Relationship Id="rId2" Type="http://schemas.openxmlformats.org/officeDocument/2006/relationships/customXml" Target="../customXml/item2.xml"/><Relationship Id="rId16" Type="http://schemas.openxmlformats.org/officeDocument/2006/relationships/hyperlink" Target="http://www.thedialogue.org/page.cfm?pageID=32&amp;pubID=322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riptorium.lib.duke.edu/wlm/womid%20//" TargetMode="External"/><Relationship Id="rId5" Type="http://schemas.openxmlformats.org/officeDocument/2006/relationships/styles" Target="styles.xml"/><Relationship Id="rId15" Type="http://schemas.openxmlformats.org/officeDocument/2006/relationships/hyperlink" Target="http://www.rand.org/blog/2013/05/if-us-mexico-get-security-right-other-good-policy.html" TargetMode="External"/><Relationship Id="rId10" Type="http://schemas.openxmlformats.org/officeDocument/2006/relationships/hyperlink" Target="http://www.ipsnews.net/2013/06/rural-mexican-communities-protest-wind-farms/"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synesisjournal.com/vol3_g/Hummel_2012_G14-39.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11</Pages>
  <Words>2791</Words>
  <Characters>15911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18665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Kendall Witaszek</dc:creator>
  <cp:keywords>Verbatim</cp:keywords>
  <dc:description>Verbatim 4.6</dc:description>
  <cp:lastModifiedBy>Kendall Witaszek</cp:lastModifiedBy>
  <cp:revision>1</cp:revision>
  <dcterms:created xsi:type="dcterms:W3CDTF">2013-12-17T21:18:00Z</dcterms:created>
  <dcterms:modified xsi:type="dcterms:W3CDTF">2013-12-17T21:20:00Z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