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21C" w:rsidRDefault="00C8621C" w:rsidP="00C8621C">
      <w:pPr>
        <w:pStyle w:val="Heading1"/>
      </w:pPr>
      <w:r>
        <w:t>1st off</w:t>
      </w:r>
    </w:p>
    <w:p w:rsidR="00C8621C" w:rsidRDefault="00C8621C" w:rsidP="00C8621C">
      <w:pPr>
        <w:pStyle w:val="Heading4"/>
      </w:pPr>
      <w:r>
        <w:t>Obama’s PC is holding off sanctions now – but failure guarantees Iran prolif and war with Iran</w:t>
      </w:r>
    </w:p>
    <w:p w:rsidR="00C8621C" w:rsidRDefault="00C8621C" w:rsidP="00C8621C">
      <w:r w:rsidRPr="00171A00">
        <w:rPr>
          <w:rStyle w:val="StyleStyleBold12pt"/>
        </w:rPr>
        <w:t>Sargent 12/19</w:t>
      </w:r>
      <w:r>
        <w:t xml:space="preserve"> (Greg, columnist for the Washington Post. “White House to Senate Dems: Your Iran sanctions bill makes war more likely” http://www.washingtonpost.com/blogs/plum-line/wp/2013/12/19/white-house-to-senate-dems-your-iran-sanctions-bill-makes-war-more-likely/)</w:t>
      </w:r>
    </w:p>
    <w:p w:rsidR="00C8621C" w:rsidRDefault="00C8621C" w:rsidP="00C8621C">
      <w:r w:rsidRPr="00C8621C">
        <w:t xml:space="preserve">With Senate Dems increasingly likely to introduce and even vote on a bill imposing new </w:t>
      </w:r>
    </w:p>
    <w:p w:rsidR="00C8621C" w:rsidRDefault="00C8621C" w:rsidP="00C8621C">
      <w:r>
        <w:t>AND</w:t>
      </w:r>
    </w:p>
    <w:p w:rsidR="00C8621C" w:rsidRPr="00C8621C" w:rsidRDefault="00C8621C" w:rsidP="00C8621C">
      <w:r w:rsidRPr="00C8621C">
        <w:t>it would put the prospects of a long term diplomatic breakthrough in doubt.</w:t>
      </w:r>
    </w:p>
    <w:p w:rsidR="00C8621C" w:rsidRDefault="00C8621C" w:rsidP="00C8621C"/>
    <w:p w:rsidR="00C8621C" w:rsidRDefault="00C8621C" w:rsidP="00C8621C">
      <w:pPr>
        <w:pStyle w:val="Heading4"/>
      </w:pPr>
      <w:r>
        <w:t>Empirics prove IPR changes are not popular with congress—Bacardi Havana Club proves</w:t>
      </w:r>
    </w:p>
    <w:p w:rsidR="00C8621C" w:rsidRDefault="00C8621C" w:rsidP="00C8621C">
      <w:pPr>
        <w:rPr>
          <w:rStyle w:val="StyleStyleBold12pt"/>
        </w:rPr>
      </w:pPr>
      <w:r>
        <w:rPr>
          <w:rStyle w:val="StyleStyleBold12pt"/>
        </w:rPr>
        <w:t>Dinan, 2002</w:t>
      </w:r>
    </w:p>
    <w:p w:rsidR="00C8621C" w:rsidRPr="00B70ACD" w:rsidRDefault="00C8621C" w:rsidP="00C8621C">
      <w:r w:rsidRPr="00B70ACD">
        <w:t>(</w:t>
      </w:r>
      <w:r>
        <w:t>Donald R., Lawyer specializing in international trade law and professor at Georgetown, Fordham International Law, Volume 26, Issue 2, “</w:t>
      </w:r>
      <w:r w:rsidRPr="00B70ACD">
        <w:t>An Analysis of the United States-Cuba “Havana Club” Rum Case Before the World Trade Organization</w:t>
      </w:r>
      <w:r>
        <w:t xml:space="preserve">,” Online: </w:t>
      </w:r>
      <w:hyperlink r:id="rId10" w:history="1">
        <w:r w:rsidRPr="008164F5">
          <w:rPr>
            <w:rStyle w:val="Hyperlink"/>
          </w:rPr>
          <w:t>http://ir.lawnet.fordham.edu/cgi/viewcontent.cgi?article=1873&amp;context=ilj</w:t>
        </w:r>
      </w:hyperlink>
      <w:r>
        <w:t>, Accessed: 11/30/13 FG)</w:t>
      </w:r>
    </w:p>
    <w:p w:rsidR="00C8621C" w:rsidRDefault="00C8621C" w:rsidP="00C8621C">
      <w:r w:rsidRPr="00C8621C">
        <w:t>The United States announced in April 2002 that, pursuant to discussions with the EU</w:t>
      </w:r>
    </w:p>
    <w:p w:rsidR="00C8621C" w:rsidRDefault="00C8621C" w:rsidP="00C8621C">
      <w:r>
        <w:t>AND</w:t>
      </w:r>
    </w:p>
    <w:p w:rsidR="00C8621C" w:rsidRPr="00C8621C" w:rsidRDefault="00C8621C" w:rsidP="00C8621C">
      <w:r w:rsidRPr="00C8621C">
        <w:t>federal court. Without these actions, Pernod-Ricard would have won.</w:t>
      </w:r>
    </w:p>
    <w:p w:rsidR="00C8621C" w:rsidRDefault="00C8621C" w:rsidP="00C8621C"/>
    <w:p w:rsidR="00C8621C" w:rsidRDefault="00C8621C" w:rsidP="00C8621C">
      <w:pPr>
        <w:pStyle w:val="Heading4"/>
      </w:pPr>
      <w:r>
        <w:t>Global nuclear war in a month if talks fail – US sanctions will wreck diplomacy</w:t>
      </w:r>
    </w:p>
    <w:p w:rsidR="00C8621C" w:rsidRDefault="00C8621C" w:rsidP="00C8621C">
      <w:r w:rsidRPr="00182636">
        <w:rPr>
          <w:rStyle w:val="StyleStyleBold12pt"/>
        </w:rPr>
        <w:t>Press TV 11/13</w:t>
      </w:r>
      <w:r>
        <w:t xml:space="preserve"> “Global nuclear conflict between US, Russia, China likely if Iran talks fail”, </w:t>
      </w:r>
      <w:hyperlink r:id="rId11" w:history="1">
        <w:r w:rsidRPr="003D1137">
          <w:rPr>
            <w:rStyle w:val="Hyperlink"/>
          </w:rPr>
          <w:t>http://www.presstv.ir/detail/2013/11/13/334544/global-nuclear-war-likely-if-iran-talks-fail/</w:t>
        </w:r>
      </w:hyperlink>
    </w:p>
    <w:p w:rsidR="00C8621C" w:rsidRDefault="00C8621C" w:rsidP="00C8621C">
      <w:r w:rsidRPr="00C8621C">
        <w:t xml:space="preserve">A global conflict between the US, Russia, and China is likely in the </w:t>
      </w:r>
    </w:p>
    <w:p w:rsidR="00C8621C" w:rsidRDefault="00C8621C" w:rsidP="00C8621C">
      <w:r>
        <w:t>AND</w:t>
      </w:r>
    </w:p>
    <w:p w:rsidR="00C8621C" w:rsidRPr="00C8621C" w:rsidRDefault="00C8621C" w:rsidP="00C8621C">
      <w:r w:rsidRPr="00C8621C">
        <w:t>taking away sanctions. We are not rolling them back," Psaki added.</w:t>
      </w:r>
    </w:p>
    <w:p w:rsidR="00C8621C" w:rsidRPr="00BB33A0" w:rsidRDefault="00C8621C" w:rsidP="00C8621C"/>
    <w:p w:rsidR="00C8621C" w:rsidRDefault="00C8621C" w:rsidP="00C8621C">
      <w:pPr>
        <w:pStyle w:val="Heading1"/>
      </w:pPr>
      <w:r>
        <w:lastRenderedPageBreak/>
        <w:t>2</w:t>
      </w:r>
      <w:r w:rsidRPr="00F76673">
        <w:rPr>
          <w:vertAlign w:val="superscript"/>
        </w:rPr>
        <w:t>nd</w:t>
      </w:r>
      <w:r>
        <w:t xml:space="preserve"> off</w:t>
      </w:r>
    </w:p>
    <w:p w:rsidR="00C8621C" w:rsidRDefault="00C8621C" w:rsidP="00C8621C">
      <w:pPr>
        <w:pStyle w:val="Heading4"/>
      </w:pPr>
      <w:r>
        <w:t>A. Interpretation – A topical affirmative establishes a governmental framework for commerce.</w:t>
      </w:r>
    </w:p>
    <w:p w:rsidR="00C8621C" w:rsidRDefault="00C8621C" w:rsidP="00C8621C">
      <w:pPr>
        <w:pStyle w:val="Heading4"/>
      </w:pPr>
      <w:r>
        <w:t>B. Definition - Economic Engagement is synonymous with Economic Diplomacy</w:t>
      </w:r>
    </w:p>
    <w:p w:rsidR="00C8621C" w:rsidRPr="005A78B9" w:rsidRDefault="00C8621C" w:rsidP="00C8621C">
      <w:r w:rsidRPr="005A78B9">
        <w:t>Michael </w:t>
      </w:r>
      <w:r w:rsidRPr="005A78B9">
        <w:rPr>
          <w:rStyle w:val="StyleStyleBold12pt"/>
        </w:rPr>
        <w:t>Mastanduno</w:t>
      </w:r>
      <w:r w:rsidRPr="005A78B9">
        <w:t xml:space="preserve">, government professor, Dartmouth, </w:t>
      </w:r>
      <w:r w:rsidRPr="005A78B9">
        <w:rPr>
          <w:rStyle w:val="StyleStyleBold12pt"/>
        </w:rPr>
        <w:t>2003</w:t>
      </w:r>
      <w:r w:rsidRPr="005A78B9">
        <w:t>, The Strategy of Economic Engagement: Theory and Practice, in Edward D. Mansfield and Brian M. Pollins, eds, Economic Interdependence and International Conflict: New Perspectives on an Enduring Debate, p. 184-5</w:t>
      </w:r>
    </w:p>
    <w:p w:rsidR="00C8621C" w:rsidRDefault="00C8621C" w:rsidP="00C8621C">
      <w:r w:rsidRPr="00C8621C">
        <w:t xml:space="preserve">Much of the attention in political science to the question of interdependence and conflict focuses </w:t>
      </w:r>
    </w:p>
    <w:p w:rsidR="00C8621C" w:rsidRDefault="00C8621C" w:rsidP="00C8621C">
      <w:r>
        <w:t>AND</w:t>
      </w:r>
    </w:p>
    <w:p w:rsidR="00C8621C" w:rsidRPr="00C8621C" w:rsidRDefault="00C8621C" w:rsidP="00C8621C">
      <w:r w:rsidRPr="00C8621C">
        <w:t>” instead of sticks. Critics of the strategy call it economic appeasement.</w:t>
      </w:r>
    </w:p>
    <w:p w:rsidR="00C8621C" w:rsidRPr="006174A0" w:rsidRDefault="00C8621C" w:rsidP="00C8621C">
      <w:pPr>
        <w:pStyle w:val="Heading4"/>
      </w:pPr>
      <w:r>
        <w:t>C. Violation – The plan targets a specific investment – it does not establish a framework for engagement</w:t>
      </w:r>
    </w:p>
    <w:p w:rsidR="00C8621C" w:rsidRPr="006174A0" w:rsidRDefault="00C8621C" w:rsidP="00C8621C">
      <w:r w:rsidRPr="006174A0">
        <w:rPr>
          <w:rStyle w:val="StyleStyleBold12pt"/>
        </w:rPr>
        <w:t>Woolcock 13</w:t>
      </w:r>
      <w:r w:rsidRPr="006174A0">
        <w:t xml:space="preserve"> – Stephen Woolcock, Lecturer in International Relations at The London School of Economics, and Sir Nicholas Bayne, Fellow at the International Trade Policy Unit of the London School of Economics, The Oxford Handbook of Modern Diplomacy, p. 387</w:t>
      </w:r>
    </w:p>
    <w:p w:rsidR="00C8621C" w:rsidRDefault="00C8621C" w:rsidP="00C8621C">
      <w:r w:rsidRPr="00C8621C">
        <w:t xml:space="preserve">Before suggesting some ways in which economic diplomacy could be seen as a distinct branch </w:t>
      </w:r>
    </w:p>
    <w:p w:rsidR="00C8621C" w:rsidRDefault="00C8621C" w:rsidP="00C8621C">
      <w:r>
        <w:t>AND</w:t>
      </w:r>
    </w:p>
    <w:p w:rsidR="00C8621C" w:rsidRPr="00C8621C" w:rsidRDefault="00C8621C" w:rsidP="00C8621C">
      <w:r w:rsidRPr="00C8621C">
        <w:t>of rules and disciplines within which markets and such commercial diplomacy function.4</w:t>
      </w:r>
    </w:p>
    <w:p w:rsidR="00C8621C" w:rsidRDefault="00C8621C" w:rsidP="00C8621C"/>
    <w:p w:rsidR="00C8621C" w:rsidRPr="006174A0" w:rsidRDefault="00C8621C" w:rsidP="00C8621C">
      <w:pPr>
        <w:pStyle w:val="Heading4"/>
      </w:pPr>
      <w:r>
        <w:t>And that means tech sharing and coop is untopical</w:t>
      </w:r>
    </w:p>
    <w:p w:rsidR="00C8621C" w:rsidRPr="006174A0" w:rsidRDefault="00C8621C" w:rsidP="00C8621C">
      <w:r w:rsidRPr="006174A0">
        <w:rPr>
          <w:rStyle w:val="StyleStyleBold12pt"/>
        </w:rPr>
        <w:t>Vickers 12</w:t>
      </w:r>
      <w:r w:rsidRPr="006174A0">
        <w:t xml:space="preserve"> – Dr. Brendan Vickers, Research Associate on Global Economy and Development at the Institute for Global Dialogue, South African Foreign Policy Review, Volume 1, Ed. Landsberg and Van Wyk, p. 112-113</w:t>
      </w:r>
    </w:p>
    <w:p w:rsidR="00C8621C" w:rsidRDefault="00C8621C" w:rsidP="00C8621C">
      <w:r w:rsidRPr="00C8621C">
        <w:t xml:space="preserve">Conceptually, it is also possible to distinguish between 'economic' and 'commercial' diplomacy or, </w:t>
      </w:r>
    </w:p>
    <w:p w:rsidR="00C8621C" w:rsidRDefault="00C8621C" w:rsidP="00C8621C">
      <w:r>
        <w:t>AND</w:t>
      </w:r>
    </w:p>
    <w:p w:rsidR="00C8621C" w:rsidRPr="00C8621C" w:rsidRDefault="00C8621C" w:rsidP="00C8621C">
      <w:r w:rsidRPr="00C8621C">
        <w:t>to gain tangibly from the opportunities created by broader economic diplomacy processes.1</w:t>
      </w:r>
    </w:p>
    <w:p w:rsidR="00C8621C" w:rsidRDefault="00C8621C" w:rsidP="00C8621C"/>
    <w:p w:rsidR="00C8621C" w:rsidRDefault="00C8621C" w:rsidP="00C8621C">
      <w:pPr>
        <w:pStyle w:val="Heading4"/>
      </w:pPr>
      <w:r>
        <w:t>And their investment is not government-to-government</w:t>
      </w:r>
    </w:p>
    <w:p w:rsidR="00C8621C" w:rsidRDefault="00C8621C" w:rsidP="00C8621C">
      <w:r>
        <w:rPr>
          <w:b/>
        </w:rPr>
        <w:t xml:space="preserve">Daga, 13 </w:t>
      </w:r>
      <w:r>
        <w:t>- director of research at Politicas Publicas para la Libertad, in Bolivia, and a visiting senior policy analyst at the Heritage Foundation (Sergio, “Economics of the 2013-2014 Debate Topic:</w:t>
      </w:r>
    </w:p>
    <w:p w:rsidR="00C8621C" w:rsidRDefault="00C8621C" w:rsidP="00C8621C">
      <w:r>
        <w:t xml:space="preserve">U.S. Economic Engagement Toward Cuba, Mexico or Venezuela”, National Center for Policy Analysis, 5/15, </w:t>
      </w:r>
      <w:hyperlink r:id="rId12" w:history="1">
        <w:r w:rsidRPr="00FF6B18">
          <w:rPr>
            <w:rStyle w:val="Hyperlink"/>
          </w:rPr>
          <w:t>http://www.ncpa.org/pdfs/Message_to_Debaters_6-7-13.pdf</w:t>
        </w:r>
      </w:hyperlink>
      <w:r>
        <w:t>)</w:t>
      </w:r>
    </w:p>
    <w:p w:rsidR="00C8621C" w:rsidRDefault="00C8621C" w:rsidP="00C8621C">
      <w:r w:rsidRPr="00C8621C">
        <w:t xml:space="preserve">Economic engagement between or among countries can take many forms, but this document will </w:t>
      </w:r>
    </w:p>
    <w:p w:rsidR="00C8621C" w:rsidRDefault="00C8621C" w:rsidP="00C8621C">
      <w:r>
        <w:t>AND</w:t>
      </w:r>
    </w:p>
    <w:p w:rsidR="00C8621C" w:rsidRPr="00C8621C" w:rsidRDefault="00C8621C" w:rsidP="00C8621C">
      <w:r w:rsidRPr="00C8621C">
        <w:t>some issues are more important with respect to some countries than to others.</w:t>
      </w:r>
    </w:p>
    <w:p w:rsidR="00C8621C" w:rsidRPr="00A537E7" w:rsidRDefault="00C8621C" w:rsidP="00C8621C"/>
    <w:p w:rsidR="00C8621C" w:rsidRDefault="00C8621C" w:rsidP="00C8621C">
      <w:pPr>
        <w:pStyle w:val="Heading4"/>
      </w:pPr>
      <w:r>
        <w:lastRenderedPageBreak/>
        <w:t>D. Vote Negative</w:t>
      </w:r>
    </w:p>
    <w:p w:rsidR="00C8621C" w:rsidRDefault="00C8621C" w:rsidP="00C8621C">
      <w:pPr>
        <w:pStyle w:val="Heading4"/>
      </w:pPr>
      <w:r>
        <w:t>1. Limits- they explode the topic to every investment and mechanism possible in the three target countries.  Limiting the topic to cases that create a framework like TPP, Cuban Embargo, etc is key.</w:t>
      </w:r>
    </w:p>
    <w:p w:rsidR="00C8621C" w:rsidRPr="0016038E" w:rsidRDefault="00C8621C" w:rsidP="00C8621C">
      <w:pPr>
        <w:pStyle w:val="Heading4"/>
      </w:pPr>
      <w:r>
        <w:t>2. Ground – Specific investments allow the aff to spike out of core neg ground centered on governmental relations.</w:t>
      </w:r>
    </w:p>
    <w:p w:rsidR="00C8621C" w:rsidRDefault="00C8621C" w:rsidP="00C8621C"/>
    <w:p w:rsidR="00C8621C" w:rsidRDefault="00C8621C" w:rsidP="00C8621C">
      <w:pPr>
        <w:pStyle w:val="Heading1"/>
      </w:pPr>
      <w:r>
        <w:lastRenderedPageBreak/>
        <w:t>3</w:t>
      </w:r>
      <w:r w:rsidRPr="00BB33A0">
        <w:rPr>
          <w:vertAlign w:val="superscript"/>
        </w:rPr>
        <w:t>rd</w:t>
      </w:r>
      <w:r>
        <w:t xml:space="preserve"> off</w:t>
      </w:r>
    </w:p>
    <w:p w:rsidR="00C8621C" w:rsidRPr="00DD3C89" w:rsidRDefault="00C8621C" w:rsidP="00C8621C">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C8621C" w:rsidRPr="00743D13" w:rsidRDefault="00C8621C" w:rsidP="00C8621C">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C8621C" w:rsidRDefault="00C8621C" w:rsidP="00C8621C">
      <w:r w:rsidRPr="00C8621C">
        <w:t xml:space="preserve">The economic, political and social development of the Latin American and Caribbean countries is </w:t>
      </w:r>
    </w:p>
    <w:p w:rsidR="00C8621C" w:rsidRDefault="00C8621C" w:rsidP="00C8621C">
      <w:r>
        <w:t>AND</w:t>
      </w:r>
    </w:p>
    <w:p w:rsidR="00C8621C" w:rsidRPr="00C8621C" w:rsidRDefault="00C8621C" w:rsidP="00C8621C">
      <w:r w:rsidRPr="00C8621C">
        <w:t xml:space="preserve">model of uneven and inequitable development that has pillaged most of the region. </w:t>
      </w:r>
    </w:p>
    <w:p w:rsidR="00C8621C" w:rsidRDefault="00C8621C" w:rsidP="00C8621C">
      <w:pPr>
        <w:rPr>
          <w:b/>
        </w:rPr>
      </w:pPr>
    </w:p>
    <w:p w:rsidR="00C8621C" w:rsidRPr="00F71160" w:rsidRDefault="00C8621C" w:rsidP="00C8621C">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C8621C" w:rsidRPr="00F71160" w:rsidRDefault="00C8621C" w:rsidP="00C8621C">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C8621C" w:rsidRPr="00F71160" w:rsidRDefault="00C8621C" w:rsidP="00C8621C">
      <w:pPr>
        <w:rPr>
          <w:rStyle w:val="UnderlineBold"/>
          <w:rFonts w:ascii="Times New Roman" w:hAnsi="Times New Roman"/>
        </w:rPr>
      </w:pPr>
    </w:p>
    <w:p w:rsidR="00C8621C" w:rsidRDefault="00C8621C" w:rsidP="00C8621C">
      <w:r w:rsidRPr="00C8621C">
        <w:t xml:space="preserve">For Žižek it is imperative that we cut through this Gordian knot of postmodern protocol </w:t>
      </w:r>
    </w:p>
    <w:p w:rsidR="00C8621C" w:rsidRDefault="00C8621C" w:rsidP="00C8621C">
      <w:r>
        <w:t>AND</w:t>
      </w:r>
    </w:p>
    <w:p w:rsidR="00C8621C" w:rsidRPr="00C8621C" w:rsidRDefault="00C8621C" w:rsidP="00C8621C">
      <w:r w:rsidRPr="00C8621C">
        <w:t>that, like Žižek’s own thought, exhorts us to risk the impossible.</w:t>
      </w:r>
    </w:p>
    <w:p w:rsidR="00C8621C" w:rsidRDefault="00C8621C" w:rsidP="00C8621C">
      <w:pPr>
        <w:rPr>
          <w:rStyle w:val="StyleBoldUnderline"/>
        </w:rPr>
      </w:pPr>
    </w:p>
    <w:p w:rsidR="00C8621C" w:rsidRDefault="00C8621C" w:rsidP="00C8621C">
      <w:pPr>
        <w:rPr>
          <w:b/>
        </w:rPr>
      </w:pPr>
    </w:p>
    <w:p w:rsidR="00C8621C" w:rsidRPr="00DD3C89" w:rsidRDefault="00C8621C" w:rsidP="00C8621C">
      <w:pPr>
        <w:pStyle w:val="Heading4"/>
      </w:pPr>
      <w:r w:rsidRPr="00DD3C89">
        <w:t xml:space="preserve">Reject the 1AC and its hegemonic knowledge production in favor of alternatives to knowledge production. That’s enough to re-politicize the political sphere and solve the impact to the K. </w:t>
      </w:r>
    </w:p>
    <w:p w:rsidR="00C8621C" w:rsidRPr="00743D13" w:rsidRDefault="00C8621C" w:rsidP="00C8621C">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C8621C" w:rsidRDefault="00C8621C" w:rsidP="00C8621C">
      <w:r w:rsidRPr="00C8621C">
        <w:t xml:space="preserve">We have argued that the shifting global governance discourses directed toward the third world since </w:t>
      </w:r>
    </w:p>
    <w:p w:rsidR="00C8621C" w:rsidRDefault="00C8621C" w:rsidP="00C8621C">
      <w:r>
        <w:t>AND</w:t>
      </w:r>
    </w:p>
    <w:p w:rsidR="00C8621C" w:rsidRPr="00C8621C" w:rsidRDefault="00C8621C" w:rsidP="00C8621C">
      <w:r w:rsidRPr="00C8621C">
        <w:t>economic and cultural subordination” (Fraser, 1997, p. 28).</w:t>
      </w:r>
    </w:p>
    <w:p w:rsidR="00C8621C" w:rsidRDefault="00C8621C" w:rsidP="00C8621C"/>
    <w:p w:rsidR="00C8621C" w:rsidRDefault="00C8621C" w:rsidP="00C8621C">
      <w:pPr>
        <w:pStyle w:val="Heading1"/>
      </w:pPr>
      <w:r>
        <w:lastRenderedPageBreak/>
        <w:t>4</w:t>
      </w:r>
      <w:r w:rsidRPr="004F3F6C">
        <w:rPr>
          <w:vertAlign w:val="superscript"/>
        </w:rPr>
        <w:t>th</w:t>
      </w:r>
      <w:r>
        <w:t xml:space="preserve"> off</w:t>
      </w:r>
    </w:p>
    <w:p w:rsidR="00C8621C" w:rsidRDefault="00C8621C" w:rsidP="00C8621C">
      <w:pPr>
        <w:pStyle w:val="Heading4"/>
      </w:pPr>
      <w:r w:rsidRPr="001533CD">
        <w:t xml:space="preserve">Text: The President of the United States of America should issue an executive order mandating the creation of a bipartisan, independent commission tasked with recommending Congressional solutions for economic engagement policy with </w:t>
      </w:r>
      <w:r>
        <w:t>Mexico</w:t>
      </w:r>
      <w:r w:rsidRPr="001533CD">
        <w:t xml:space="preserve"> in the area of </w:t>
      </w:r>
      <w:r>
        <w:t>intellectual property rights.</w:t>
      </w:r>
      <w:r w:rsidRPr="001533CD">
        <w:t xml:space="preserve"> The commission should recommend that the United States Federal Government</w:t>
      </w:r>
      <w:bookmarkStart w:id="0" w:name="TOC303708395"/>
      <w:bookmarkEnd w:id="0"/>
      <w:r w:rsidRPr="001533CD">
        <w:t xml:space="preserve"> </w:t>
      </w:r>
      <w:bookmarkStart w:id="1" w:name="TOC287019204"/>
      <w:bookmarkEnd w:id="1"/>
      <w:r w:rsidRPr="00765CF2">
        <w:t xml:space="preserve">substantially </w:t>
      </w:r>
      <w:r w:rsidRPr="00A81DD2">
        <w:t>improve Intellectual Property Rights Enforcement efficacy by supporting Foreign Mexican Markets and coordinating international capacity-building and training.</w:t>
      </w:r>
    </w:p>
    <w:p w:rsidR="00C8621C" w:rsidRDefault="00C8621C" w:rsidP="00C8621C"/>
    <w:p w:rsidR="00C8621C" w:rsidRDefault="00C8621C" w:rsidP="00C8621C">
      <w:pPr>
        <w:pStyle w:val="Heading4"/>
      </w:pPr>
      <w:r>
        <w:t>The counter-plan solves and avoids politics</w:t>
      </w:r>
    </w:p>
    <w:p w:rsidR="00C8621C" w:rsidRPr="009A6C2D" w:rsidRDefault="00C8621C" w:rsidP="00C8621C">
      <w:pPr>
        <w:rPr>
          <w:rStyle w:val="StyleStyleBold12pt"/>
        </w:rPr>
      </w:pPr>
      <w:r w:rsidRPr="009A6C2D">
        <w:rPr>
          <w:rStyle w:val="StyleStyleBold12pt"/>
        </w:rPr>
        <w:t>Mayer ’07</w:t>
      </w:r>
    </w:p>
    <w:p w:rsidR="00C8621C" w:rsidRPr="009A6C2D" w:rsidRDefault="00C8621C" w:rsidP="00C8621C">
      <w:r>
        <w:t>(Kenneth,</w:t>
      </w:r>
      <w:r w:rsidRPr="009A6C2D">
        <w:t xml:space="preserve"> professor of political science at the University of Wisconsin, Madison  “THE BASE REALIGNMENT AND CLOSURE PROCESS: IS IT POSSIBLE TO MAKE RATIONAL POLICY?”) </w:t>
      </w:r>
    </w:p>
    <w:p w:rsidR="00C8621C" w:rsidRDefault="00C8621C" w:rsidP="00C8621C">
      <w:pPr>
        <w:jc w:val="both"/>
        <w:rPr>
          <w:b/>
          <w:u w:val="single"/>
        </w:rPr>
      </w:pPr>
    </w:p>
    <w:p w:rsidR="00C8621C" w:rsidRDefault="00C8621C" w:rsidP="00C8621C">
      <w:r w:rsidRPr="00C8621C">
        <w:t xml:space="preserve">The conventional wisdom was that legislators, facing increasing deficits and budget rules that were </w:t>
      </w:r>
    </w:p>
    <w:p w:rsidR="00C8621C" w:rsidRDefault="00C8621C" w:rsidP="00C8621C">
      <w:r>
        <w:t>AND</w:t>
      </w:r>
    </w:p>
    <w:p w:rsidR="00C8621C" w:rsidRPr="00C8621C" w:rsidRDefault="00C8621C" w:rsidP="00C8621C">
      <w:r w:rsidRPr="00C8621C">
        <w:t xml:space="preserve">taking opportunities. None of the disapproval resolutions came anywhere close to passing. </w:t>
      </w:r>
    </w:p>
    <w:p w:rsidR="00C8621C" w:rsidRPr="004F3F6C" w:rsidRDefault="00C8621C" w:rsidP="00C8621C"/>
    <w:p w:rsidR="00C8621C" w:rsidRDefault="00C8621C" w:rsidP="00C8621C">
      <w:pPr>
        <w:pStyle w:val="Heading1"/>
      </w:pPr>
      <w:r>
        <w:lastRenderedPageBreak/>
        <w:t>Case</w:t>
      </w:r>
    </w:p>
    <w:p w:rsidR="00C8621C" w:rsidRDefault="00C8621C" w:rsidP="00C8621C">
      <w:pPr>
        <w:pStyle w:val="Heading2"/>
      </w:pPr>
      <w:r>
        <w:lastRenderedPageBreak/>
        <w:t>Biotechnology</w:t>
      </w:r>
    </w:p>
    <w:p w:rsidR="00C8621C" w:rsidRDefault="00C8621C" w:rsidP="00C8621C">
      <w:pPr>
        <w:pStyle w:val="Heading4"/>
      </w:pPr>
      <w:r>
        <w:t>1. Turn: GMOs independently risk extinction and destroy small farms</w:t>
      </w:r>
    </w:p>
    <w:p w:rsidR="00C8621C" w:rsidRPr="008F28DD" w:rsidRDefault="00C8621C" w:rsidP="00C8621C">
      <w:pPr>
        <w:rPr>
          <w:sz w:val="26"/>
          <w:szCs w:val="26"/>
        </w:rPr>
      </w:pPr>
      <w:r>
        <w:rPr>
          <w:b/>
        </w:rPr>
        <w:t>Yaffe,</w:t>
      </w:r>
      <w:r w:rsidRPr="00021A5F">
        <w:t xml:space="preserve"> </w:t>
      </w:r>
      <w:r>
        <w:t>1</w:t>
      </w:r>
      <w:r w:rsidRPr="00021A5F">
        <w:t>L at King Hall</w:t>
      </w:r>
      <w:r>
        <w:t xml:space="preserve">, </w:t>
      </w:r>
      <w:r>
        <w:rPr>
          <w:b/>
        </w:rPr>
        <w:t xml:space="preserve">’91 </w:t>
      </w:r>
      <w:r>
        <w:t xml:space="preserve">(Joseph, “Agricultural Biotechnology: Implications For the Environment And The Family Farmer”, 1991, </w:t>
      </w:r>
      <w:hyperlink r:id="rId13" w:history="1">
        <w:r w:rsidRPr="000B6952">
          <w:rPr>
            <w:rStyle w:val="Hyperlink"/>
          </w:rPr>
          <w:t>http://environs.law.ucdavis.edu/issues/15/2/articles/yaffe.pdf</w:t>
        </w:r>
      </w:hyperlink>
      <w:r>
        <w:t>, accessed 7/27/13, JF)</w:t>
      </w:r>
    </w:p>
    <w:p w:rsidR="00C8621C" w:rsidRDefault="00C8621C" w:rsidP="00C8621C">
      <w:r w:rsidRPr="00C8621C">
        <w:t xml:space="preserve">But for every possible benefit of biotechnology, there is a corresponding hazard. Biotechnology </w:t>
      </w:r>
    </w:p>
    <w:p w:rsidR="00C8621C" w:rsidRDefault="00C8621C" w:rsidP="00C8621C">
      <w:r>
        <w:t>AND</w:t>
      </w:r>
    </w:p>
    <w:p w:rsidR="00C8621C" w:rsidRPr="00C8621C" w:rsidRDefault="00C8621C" w:rsidP="00C8621C">
      <w:r w:rsidRPr="00C8621C">
        <w:t>but it is uncertain whether biotechnology and the small farm may peacefully coexist.</w:t>
      </w:r>
    </w:p>
    <w:p w:rsidR="00C8621C" w:rsidRDefault="00C8621C" w:rsidP="00C8621C">
      <w:pPr>
        <w:pStyle w:val="Heading4"/>
      </w:pPr>
      <w:r>
        <w:t>2. Turn: IPR Enforcement efforts increase GMO self-policing</w:t>
      </w:r>
    </w:p>
    <w:p w:rsidR="00C8621C" w:rsidRPr="00E87E79" w:rsidRDefault="00C8621C" w:rsidP="00C8621C">
      <w:r>
        <w:rPr>
          <w:b/>
        </w:rPr>
        <w:t xml:space="preserve">Kerle, Columbia Science and Technology Law Review, ’07 </w:t>
      </w:r>
      <w:r>
        <w:t xml:space="preserve">(Clemens, “International IP Protection For GMO – a Biotech Odyssey”, 2007, </w:t>
      </w:r>
      <w:hyperlink r:id="rId14" w:history="1">
        <w:r w:rsidRPr="00087E08">
          <w:rPr>
            <w:rStyle w:val="Hyperlink"/>
          </w:rPr>
          <w:t>http://www.stlr.org/html/volume8/kerle.pdf</w:t>
        </w:r>
      </w:hyperlink>
      <w:r>
        <w:t xml:space="preserve">, accessed 7/24/13, JF) </w:t>
      </w:r>
    </w:p>
    <w:p w:rsidR="00C8621C" w:rsidRDefault="00C8621C" w:rsidP="00C8621C">
      <w:r w:rsidRPr="00C8621C">
        <w:t xml:space="preserve">The analysis so far has shown that patents are essential for private innovations in this </w:t>
      </w:r>
    </w:p>
    <w:p w:rsidR="00C8621C" w:rsidRDefault="00C8621C" w:rsidP="00C8621C">
      <w:r>
        <w:t>AND</w:t>
      </w:r>
    </w:p>
    <w:p w:rsidR="00C8621C" w:rsidRPr="00C8621C" w:rsidRDefault="00C8621C" w:rsidP="00C8621C">
      <w:r w:rsidRPr="00C8621C">
        <w:t xml:space="preserve">ovide the inventor with more control than any legal means could ever do. </w:t>
      </w:r>
    </w:p>
    <w:p w:rsidR="00C8621C" w:rsidRDefault="00C8621C" w:rsidP="00C8621C"/>
    <w:p w:rsidR="00C8621C" w:rsidRDefault="00C8621C" w:rsidP="00C8621C">
      <w:pPr>
        <w:pStyle w:val="Heading4"/>
      </w:pPr>
      <w:r>
        <w:t>3. Self-policing risk instability and starvation</w:t>
      </w:r>
    </w:p>
    <w:p w:rsidR="00C8621C" w:rsidRPr="00FF0DFA" w:rsidRDefault="00C8621C" w:rsidP="00C8621C">
      <w:r>
        <w:rPr>
          <w:b/>
        </w:rPr>
        <w:t xml:space="preserve">Stein, 05 </w:t>
      </w:r>
      <w:r>
        <w:t xml:space="preserve">(Haley, “Intellectual Property and Genetically Modified Seeds: The United States, Trade, and the Developing World”, Spring 2005, Vol. 3, No. 2, </w:t>
      </w:r>
      <w:hyperlink r:id="rId15" w:history="1">
        <w:r w:rsidRPr="00087E08">
          <w:rPr>
            <w:rStyle w:val="Hyperlink"/>
          </w:rPr>
          <w:t>http://www.learningace.com/doc/627723/51f537daf52a9059314a672c3936da0b/stein</w:t>
        </w:r>
      </w:hyperlink>
      <w:r>
        <w:t>, accessed 7/24/13, JF)</w:t>
      </w:r>
    </w:p>
    <w:p w:rsidR="00C8621C" w:rsidRDefault="00C8621C" w:rsidP="00C8621C">
      <w:r w:rsidRPr="00C8621C">
        <w:t xml:space="preserve">One of the major frustrations for the private seed industry is the perseverance of the </w:t>
      </w:r>
    </w:p>
    <w:p w:rsidR="00C8621C" w:rsidRDefault="00C8621C" w:rsidP="00C8621C">
      <w:r>
        <w:t>AND</w:t>
      </w:r>
    </w:p>
    <w:p w:rsidR="00C8621C" w:rsidRPr="00C8621C" w:rsidRDefault="00C8621C" w:rsidP="00C8621C">
      <w:r w:rsidRPr="00C8621C">
        <w:t>developing world farmers, the majority of whom depend on seed saving.103</w:t>
      </w:r>
    </w:p>
    <w:p w:rsidR="00C8621C" w:rsidRDefault="00C8621C" w:rsidP="00C8621C">
      <w:pPr>
        <w:pStyle w:val="Heading4"/>
      </w:pPr>
      <w:r>
        <w:t xml:space="preserve">6. SQUO Solves copycat drugs - Tax incentives </w:t>
      </w:r>
    </w:p>
    <w:p w:rsidR="00C8621C" w:rsidRPr="00FF2082" w:rsidRDefault="00C8621C" w:rsidP="00C8621C">
      <w:r>
        <w:rPr>
          <w:b/>
        </w:rPr>
        <w:t xml:space="preserve">Kaufmann, U.S. Department of State, ’08 </w:t>
      </w:r>
      <w:r>
        <w:t xml:space="preserve">(Judith, “Patented medicines are not to blame for lack of access to life-saving drugs”, 23 April, 2008, </w:t>
      </w:r>
      <w:hyperlink r:id="rId16" w:anchor="axzz2ZG5uBh4Z" w:history="1">
        <w:r w:rsidRPr="00087E08">
          <w:rPr>
            <w:rStyle w:val="Hyperlink"/>
          </w:rPr>
          <w:t>http://iipdigital.usembassy.gov/st/english/publication/2008/04/20080429230451myleen0.4181027.html#axzz2ZG5uBh4Z</w:t>
        </w:r>
      </w:hyperlink>
      <w:r>
        <w:t>, accessed 7/24/13, JF)</w:t>
      </w:r>
    </w:p>
    <w:p w:rsidR="00C8621C" w:rsidRDefault="00C8621C" w:rsidP="00C8621C">
      <w:r w:rsidRPr="00C8621C">
        <w:t xml:space="preserve">There are issues that need to be addressed, including how to encourage even more </w:t>
      </w:r>
    </w:p>
    <w:p w:rsidR="00C8621C" w:rsidRDefault="00C8621C" w:rsidP="00C8621C">
      <w:r>
        <w:t>AND</w:t>
      </w:r>
    </w:p>
    <w:p w:rsidR="00C8621C" w:rsidRPr="00C8621C" w:rsidRDefault="00C8621C" w:rsidP="00C8621C">
      <w:r w:rsidRPr="00C8621C">
        <w:t xml:space="preserve">research, as the National Institutes of Health does in the United States. </w:t>
      </w:r>
    </w:p>
    <w:p w:rsidR="00C8621C" w:rsidRDefault="00C8621C" w:rsidP="00C8621C"/>
    <w:p w:rsidR="00C8621C" w:rsidRPr="00421812" w:rsidRDefault="00C8621C" w:rsidP="00C8621C">
      <w:pPr>
        <w:pStyle w:val="Heading4"/>
      </w:pPr>
      <w:r w:rsidRPr="00421812">
        <w:t>1. Hegemony is resilient – the US is way ahead of everyone else</w:t>
      </w:r>
    </w:p>
    <w:p w:rsidR="00C8621C" w:rsidRPr="00421812" w:rsidRDefault="00C8621C" w:rsidP="00C8621C">
      <w:pPr>
        <w:rPr>
          <w:rFonts w:asciiTheme="majorHAnsi" w:hAnsiTheme="majorHAnsi"/>
        </w:rPr>
      </w:pPr>
      <w:r w:rsidRPr="00421812">
        <w:rPr>
          <w:rStyle w:val="StyleStyleBold12pt"/>
          <w:rFonts w:asciiTheme="majorHAnsi" w:hAnsiTheme="majorHAnsi"/>
        </w:rPr>
        <w:t>Brooks and Wohlforth, 08</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(Stephen G Brooks &amp; William C. Wohlforth Associate Professors in the Department of Government @ Dartmouth College. World Out of Balance, p. 27-31)</w:t>
      </w:r>
    </w:p>
    <w:p w:rsidR="00C8621C" w:rsidRPr="00421812" w:rsidRDefault="00C8621C" w:rsidP="00C8621C">
      <w:pPr>
        <w:rPr>
          <w:rFonts w:asciiTheme="majorHAnsi" w:hAnsiTheme="majorHAnsi"/>
        </w:rPr>
      </w:pPr>
    </w:p>
    <w:p w:rsidR="00C8621C" w:rsidRDefault="00C8621C" w:rsidP="00C8621C">
      <w:r w:rsidRPr="00C8621C">
        <w:t xml:space="preserve">“Nothing has ever existed like this disparity of power; nothing,” historian Paul </w:t>
      </w:r>
    </w:p>
    <w:p w:rsidR="00C8621C" w:rsidRDefault="00C8621C" w:rsidP="00C8621C">
      <w:r>
        <w:t>AND</w:t>
      </w:r>
    </w:p>
    <w:p w:rsidR="00C8621C" w:rsidRPr="00C8621C" w:rsidRDefault="00C8621C" w:rsidP="00C8621C">
      <w:r w:rsidRPr="00C8621C">
        <w:t>one thing; being the world’s single superpower on the cheap is astonishing.”</w:t>
      </w:r>
    </w:p>
    <w:p w:rsidR="00C8621C" w:rsidRPr="00421812" w:rsidRDefault="00C8621C" w:rsidP="00C8621C">
      <w:pPr>
        <w:pStyle w:val="Heading4"/>
      </w:pPr>
      <w:r w:rsidRPr="00421812">
        <w:lastRenderedPageBreak/>
        <w:t>2. US withdrawal won’t cause power wars – forward deployment only encourages NATO growth and Russian expansionism</w:t>
      </w:r>
    </w:p>
    <w:p w:rsidR="00C8621C" w:rsidRPr="00421812" w:rsidRDefault="00C8621C" w:rsidP="00C8621C">
      <w:pPr>
        <w:rPr>
          <w:rFonts w:asciiTheme="majorHAnsi" w:hAnsiTheme="majorHAnsi"/>
        </w:rPr>
      </w:pPr>
      <w:r w:rsidRPr="00421812">
        <w:rPr>
          <w:rStyle w:val="StyleStyleBold12pt"/>
          <w:rFonts w:asciiTheme="majorHAnsi" w:hAnsiTheme="majorHAnsi"/>
        </w:rPr>
        <w:t>Gholz, Press, and Sapolsky, 97</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(Eugene Gholz and Daryl Press, doctoral candidates in political science at MIT. Harvey Sapolsky, professor of public policy at MIT. International Security, Vol. 21, No. 4. Spring 1997)</w:t>
      </w:r>
    </w:p>
    <w:p w:rsidR="00C8621C" w:rsidRPr="00421812" w:rsidRDefault="00C8621C" w:rsidP="00C8621C">
      <w:pPr>
        <w:rPr>
          <w:rFonts w:asciiTheme="majorHAnsi" w:eastAsiaTheme="majorEastAsia" w:hAnsiTheme="majorHAnsi" w:cstheme="majorBidi"/>
          <w:b/>
          <w:bCs/>
          <w:u w:val="single"/>
        </w:rPr>
      </w:pPr>
    </w:p>
    <w:p w:rsidR="00C8621C" w:rsidRDefault="00C8621C" w:rsidP="00C8621C">
      <w:r w:rsidRPr="00C8621C">
        <w:t xml:space="preserve">Several prominent analysts favor a policy of selective engagement. These analysts fear that American </w:t>
      </w:r>
    </w:p>
    <w:p w:rsidR="00C8621C" w:rsidRDefault="00C8621C" w:rsidP="00C8621C">
      <w:r>
        <w:t>AND</w:t>
      </w:r>
    </w:p>
    <w:p w:rsidR="00C8621C" w:rsidRPr="00C8621C" w:rsidRDefault="00C8621C" w:rsidP="00C8621C">
      <w:r w:rsidRPr="00C8621C">
        <w:t>would be German rather than American troops standing guard on the new borders.</w:t>
      </w:r>
    </w:p>
    <w:p w:rsidR="00C8621C" w:rsidRPr="00421812" w:rsidRDefault="00C8621C" w:rsidP="00C8621C">
      <w:pPr>
        <w:pStyle w:val="Heading4"/>
      </w:pPr>
      <w:r w:rsidRPr="00421812">
        <w:t>Economic decline doesn’t kill heg—American leadership is unique and their predictions have been denied for decades</w:t>
      </w:r>
    </w:p>
    <w:p w:rsidR="00C8621C" w:rsidRPr="00421812" w:rsidRDefault="00C8621C" w:rsidP="00C8621C">
      <w:pPr>
        <w:rPr>
          <w:rFonts w:asciiTheme="majorHAnsi" w:hAnsiTheme="majorHAnsi"/>
        </w:rPr>
      </w:pPr>
      <w:r w:rsidRPr="00421812">
        <w:rPr>
          <w:rFonts w:asciiTheme="majorHAnsi" w:eastAsiaTheme="majorEastAsia" w:hAnsiTheme="majorHAnsi" w:cstheme="majorBidi"/>
          <w:b/>
          <w:bCs/>
          <w:iCs/>
          <w:sz w:val="26"/>
        </w:rPr>
        <w:t>Blackwill, 09</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C8621C" w:rsidRPr="00421812" w:rsidRDefault="00C8621C" w:rsidP="00C8621C">
      <w:pPr>
        <w:rPr>
          <w:rFonts w:asciiTheme="majorHAnsi" w:hAnsiTheme="majorHAnsi"/>
        </w:rPr>
      </w:pPr>
    </w:p>
    <w:p w:rsidR="00C8621C" w:rsidRDefault="00C8621C" w:rsidP="00C8621C">
      <w:r w:rsidRPr="00C8621C">
        <w:t xml:space="preserve">First, the United States, five years from today. Did the global recession </w:t>
      </w:r>
    </w:p>
    <w:p w:rsidR="00C8621C" w:rsidRDefault="00C8621C" w:rsidP="00C8621C">
      <w:r>
        <w:t>AND</w:t>
      </w:r>
    </w:p>
    <w:p w:rsidR="00C8621C" w:rsidRPr="00C8621C" w:rsidRDefault="00C8621C" w:rsidP="00C8621C">
      <w:r w:rsidRPr="00C8621C">
        <w:t xml:space="preserve">not least because China and India have adopted their own versions of it. </w:t>
      </w:r>
    </w:p>
    <w:p w:rsidR="00C8621C" w:rsidRPr="00421812" w:rsidRDefault="00C8621C" w:rsidP="00C8621C">
      <w:pPr>
        <w:pStyle w:val="Heading4"/>
      </w:pPr>
      <w:r w:rsidRPr="00421812">
        <w:t>3. Their authors have it backwards – countries will take advantage of U.S. security guarantees to provoke war</w:t>
      </w:r>
    </w:p>
    <w:p w:rsidR="00C8621C" w:rsidRPr="00421812" w:rsidRDefault="00C8621C" w:rsidP="00C8621C">
      <w:pPr>
        <w:rPr>
          <w:rFonts w:asciiTheme="majorHAnsi" w:hAnsiTheme="majorHAnsi"/>
        </w:rPr>
      </w:pPr>
      <w:r w:rsidRPr="00421812">
        <w:rPr>
          <w:rStyle w:val="StyleStyleBold12pt"/>
          <w:rFonts w:asciiTheme="majorHAnsi" w:hAnsiTheme="majorHAnsi"/>
        </w:rPr>
        <w:t>Eland, 02</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(Director of defense policy studies at the Cato Institute (Ivan, “The Empire Strikes Out The "New Imperialism" and Its Fatal Flaws", Cato policy analysis no 459, nov 26)</w:t>
      </w:r>
    </w:p>
    <w:p w:rsidR="00C8621C" w:rsidRPr="00421812" w:rsidRDefault="00C8621C" w:rsidP="00C8621C">
      <w:pPr>
        <w:rPr>
          <w:rFonts w:asciiTheme="majorHAnsi" w:hAnsiTheme="majorHAnsi"/>
          <w:b/>
          <w:u w:val="single"/>
        </w:rPr>
      </w:pPr>
    </w:p>
    <w:p w:rsidR="00C8621C" w:rsidRDefault="00C8621C" w:rsidP="00C8621C">
      <w:r w:rsidRPr="00C8621C">
        <w:t xml:space="preserve">Of course, one way to try to enhance American credibility would be to deploy </w:t>
      </w:r>
    </w:p>
    <w:p w:rsidR="00C8621C" w:rsidRDefault="00C8621C" w:rsidP="00C8621C">
      <w:r>
        <w:t>AND</w:t>
      </w:r>
    </w:p>
    <w:p w:rsidR="00C8621C" w:rsidRPr="00C8621C" w:rsidRDefault="00C8621C" w:rsidP="00C8621C">
      <w:r w:rsidRPr="00C8621C">
        <w:t>can show progress in its efforts to mediate the Israeli-Palestinian conflict.</w:t>
      </w:r>
    </w:p>
    <w:p w:rsidR="00C8621C" w:rsidRPr="00421812" w:rsidRDefault="00C8621C" w:rsidP="00C8621C">
      <w:pPr>
        <w:pStyle w:val="Heading4"/>
      </w:pPr>
      <w:r w:rsidRPr="00421812">
        <w:t>4. Multipolarity solves – U.S. withdrawal makes other powers work together to stabilize hotspots</w:t>
      </w:r>
    </w:p>
    <w:p w:rsidR="00C8621C" w:rsidRPr="00421812" w:rsidRDefault="00C8621C" w:rsidP="00C8621C">
      <w:pPr>
        <w:rPr>
          <w:rFonts w:asciiTheme="majorHAnsi" w:hAnsiTheme="majorHAnsi"/>
        </w:rPr>
      </w:pPr>
      <w:r w:rsidRPr="00421812">
        <w:rPr>
          <w:rStyle w:val="StyleStyleBold12pt"/>
          <w:rFonts w:asciiTheme="majorHAnsi" w:hAnsiTheme="majorHAnsi"/>
        </w:rPr>
        <w:t>Layne et. al, 02</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(Christopher &amp; Ben Schwarz, “A New Grand Strategy”, Atlantic Monthly, Jan 2002, vol. 289, no. 1, p. asp// wyo-tjc)</w:t>
      </w:r>
    </w:p>
    <w:p w:rsidR="00C8621C" w:rsidRPr="00421812" w:rsidRDefault="00C8621C" w:rsidP="00C8621C">
      <w:pPr>
        <w:rPr>
          <w:rFonts w:asciiTheme="majorHAnsi" w:hAnsiTheme="majorHAnsi"/>
        </w:rPr>
      </w:pPr>
    </w:p>
    <w:p w:rsidR="00C8621C" w:rsidRDefault="00C8621C" w:rsidP="00C8621C">
      <w:r w:rsidRPr="00C8621C">
        <w:t xml:space="preserve">With respect to Europe, the United States would endorse the EU's efforts—which </w:t>
      </w:r>
    </w:p>
    <w:p w:rsidR="00C8621C" w:rsidRDefault="00C8621C" w:rsidP="00C8621C">
      <w:r>
        <w:t>AND</w:t>
      </w:r>
    </w:p>
    <w:p w:rsidR="00C8621C" w:rsidRPr="00C8621C" w:rsidRDefault="00C8621C" w:rsidP="00C8621C">
      <w:r w:rsidRPr="00C8621C">
        <w:t>in the region, shifting to others the hard job of stabilizing it.</w:t>
      </w:r>
    </w:p>
    <w:p w:rsidR="00C8621C" w:rsidRDefault="00C8621C" w:rsidP="00C8621C">
      <w:pPr>
        <w:rPr>
          <w:rFonts w:asciiTheme="majorHAnsi" w:hAnsiTheme="majorHAnsi"/>
        </w:rPr>
      </w:pPr>
    </w:p>
    <w:p w:rsidR="00C8621C" w:rsidRPr="00421812" w:rsidRDefault="00C8621C" w:rsidP="00C8621C">
      <w:pPr>
        <w:pStyle w:val="Heading4"/>
      </w:pPr>
      <w:r w:rsidRPr="00421812">
        <w:t>2. Latest studies prove there’s no chance of a mutation – plus, it’s been around since 1959 so it should have happened already</w:t>
      </w:r>
    </w:p>
    <w:p w:rsidR="00C8621C" w:rsidRPr="00421812" w:rsidRDefault="00C8621C" w:rsidP="00C8621C">
      <w:pPr>
        <w:rPr>
          <w:rFonts w:asciiTheme="majorHAnsi" w:hAnsiTheme="majorHAnsi"/>
        </w:rPr>
      </w:pPr>
      <w:r w:rsidRPr="00421812">
        <w:rPr>
          <w:rStyle w:val="StyleStyleBold12pt"/>
          <w:rFonts w:asciiTheme="majorHAnsi" w:hAnsiTheme="majorHAnsi"/>
        </w:rPr>
        <w:t>Fumento, 07</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lastRenderedPageBreak/>
        <w:t>(Michael journalist, and attorney specializing in science and health issues as well as author of BioEvolution: How Biotechnology is Changing Our World, 9/20/07, “more bad news for bird flu chicken littles” )</w:t>
      </w:r>
    </w:p>
    <w:p w:rsidR="00C8621C" w:rsidRPr="00421812" w:rsidRDefault="00C8621C" w:rsidP="00C8621C">
      <w:pPr>
        <w:rPr>
          <w:rFonts w:asciiTheme="majorHAnsi" w:hAnsiTheme="majorHAnsi"/>
        </w:rPr>
      </w:pPr>
    </w:p>
    <w:p w:rsidR="00C8621C" w:rsidRDefault="00C8621C" w:rsidP="00C8621C">
      <w:r w:rsidRPr="00C8621C">
        <w:t xml:space="preserve">Since I began writing on avian flu back in early 1998 and then during the </w:t>
      </w:r>
    </w:p>
    <w:p w:rsidR="00C8621C" w:rsidRDefault="00C8621C" w:rsidP="00C8621C">
      <w:r>
        <w:t>AND</w:t>
      </w:r>
    </w:p>
    <w:p w:rsidR="00C8621C" w:rsidRPr="00C8621C" w:rsidRDefault="00C8621C" w:rsidP="00C8621C">
      <w:r w:rsidRPr="00C8621C">
        <w:t xml:space="preserve">to this thing for half a century and yet it’s refused to go pandemic </w:t>
      </w:r>
    </w:p>
    <w:p w:rsidR="00C8621C" w:rsidRPr="00421812" w:rsidRDefault="00C8621C" w:rsidP="00C8621C">
      <w:pPr>
        <w:pStyle w:val="Heading4"/>
      </w:pPr>
      <w:r w:rsidRPr="00421812">
        <w:t>3. Bird flu poses no risk and current surveillance is adequate – head of the WHO agrees</w:t>
      </w:r>
    </w:p>
    <w:p w:rsidR="00C8621C" w:rsidRPr="00421812" w:rsidRDefault="00C8621C" w:rsidP="00C8621C">
      <w:pPr>
        <w:rPr>
          <w:rFonts w:asciiTheme="majorHAnsi" w:hAnsiTheme="majorHAnsi"/>
        </w:rPr>
      </w:pPr>
      <w:r w:rsidRPr="00421812">
        <w:rPr>
          <w:rStyle w:val="StyleStyleBold12pt"/>
          <w:rFonts w:asciiTheme="majorHAnsi" w:hAnsiTheme="majorHAnsi"/>
        </w:rPr>
        <w:t>AFP, 08</w:t>
      </w:r>
      <w:r w:rsidRPr="00421812">
        <w:rPr>
          <w:rFonts w:asciiTheme="majorHAnsi" w:hAnsiTheme="majorHAnsi"/>
        </w:rPr>
        <w:t xml:space="preserve"> </w:t>
      </w:r>
    </w:p>
    <w:p w:rsidR="00C8621C" w:rsidRPr="00421812" w:rsidRDefault="00C8621C" w:rsidP="00C8621C">
      <w:pPr>
        <w:rPr>
          <w:rFonts w:asciiTheme="majorHAnsi" w:hAnsiTheme="majorHAnsi"/>
        </w:rPr>
      </w:pPr>
      <w:r w:rsidRPr="00421812">
        <w:rPr>
          <w:rFonts w:asciiTheme="majorHAnsi" w:hAnsiTheme="majorHAnsi"/>
        </w:rPr>
        <w:t xml:space="preserve">(1-10-08. http://afp.google.com/article/ALeqM5jpPvXJJ3VTHifJCBo7w3zW8DCzsQ) </w:t>
      </w:r>
    </w:p>
    <w:p w:rsidR="00C8621C" w:rsidRPr="00421812" w:rsidRDefault="00C8621C" w:rsidP="00C8621C">
      <w:pPr>
        <w:rPr>
          <w:rStyle w:val="biz2Char"/>
          <w:rFonts w:asciiTheme="majorHAnsi" w:eastAsia="Calibri" w:hAnsiTheme="majorHAnsi"/>
          <w:highlight w:val="cyan"/>
        </w:rPr>
      </w:pPr>
    </w:p>
    <w:p w:rsidR="00C8621C" w:rsidRDefault="00C8621C" w:rsidP="00C8621C">
      <w:r w:rsidRPr="00C8621C">
        <w:t xml:space="preserve">The H5N1 virus that causes deadly avian flu has proven remarkably stable and action to </w:t>
      </w:r>
    </w:p>
    <w:p w:rsidR="00C8621C" w:rsidRDefault="00C8621C" w:rsidP="00C8621C">
      <w:r>
        <w:t>AND</w:t>
      </w:r>
    </w:p>
    <w:p w:rsidR="00C8621C" w:rsidRPr="00C8621C" w:rsidRDefault="00C8621C" w:rsidP="00C8621C">
      <w:r w:rsidRPr="00C8621C">
        <w:t>enabling outbreaks of H5N1 in poultry flocks to be identified and swiftly eradicated.</w:t>
      </w:r>
    </w:p>
    <w:p w:rsidR="00C8621C" w:rsidRPr="00421812" w:rsidRDefault="00C8621C" w:rsidP="00C8621C">
      <w:pPr>
        <w:rPr>
          <w:rFonts w:asciiTheme="majorHAnsi" w:hAnsiTheme="majorHAnsi"/>
        </w:rPr>
      </w:pPr>
    </w:p>
    <w:p w:rsidR="00C8621C" w:rsidRDefault="00C8621C" w:rsidP="00C8621C">
      <w:pPr>
        <w:pStyle w:val="Heading2"/>
      </w:pPr>
      <w:r>
        <w:lastRenderedPageBreak/>
        <w:t>Pharmaceuticals</w:t>
      </w:r>
    </w:p>
    <w:p w:rsidR="00C8621C" w:rsidRDefault="00C8621C" w:rsidP="00C8621C">
      <w:pPr>
        <w:pStyle w:val="Heading4"/>
      </w:pPr>
      <w:r w:rsidRPr="000B18C5">
        <w:t xml:space="preserve">IPR harmonization prevents access to affordable medicines </w:t>
      </w:r>
      <w:r>
        <w:t>that curb the spread of disease—C/a to The Pharma Advantage</w:t>
      </w:r>
    </w:p>
    <w:p w:rsidR="00C8621C" w:rsidRPr="000B18C5" w:rsidRDefault="00C8621C" w:rsidP="00C8621C">
      <w:r w:rsidRPr="000B18C5">
        <w:rPr>
          <w:rStyle w:val="StyleStyleBold12pt"/>
        </w:rPr>
        <w:t>Seeratan 01</w:t>
      </w:r>
      <w:r w:rsidRPr="000B18C5">
        <w:t>(Nadia Natasha, J.D., St. Mary's University School of Law, Honors. The Scholar: St. Mary's Law Review on Minority Issues. 3 Scholar 339. Spring p.L/N)</w:t>
      </w:r>
    </w:p>
    <w:p w:rsidR="00C8621C" w:rsidRDefault="00C8621C" w:rsidP="00C8621C">
      <w:r w:rsidRPr="00C8621C">
        <w:t xml:space="preserve">In its 1999 World Health Report, the WHO recognized that reducing the burden of </w:t>
      </w:r>
    </w:p>
    <w:p w:rsidR="00C8621C" w:rsidRDefault="00C8621C" w:rsidP="00C8621C">
      <w:r>
        <w:t>AND</w:t>
      </w:r>
    </w:p>
    <w:p w:rsidR="00C8621C" w:rsidRPr="00C8621C" w:rsidRDefault="00C8621C" w:rsidP="00C8621C">
      <w:r w:rsidRPr="00C8621C">
        <w:t>this time led by the industrialized nations, must choose to make a difference</w:t>
      </w:r>
    </w:p>
    <w:p w:rsidR="00C8621C" w:rsidRDefault="00C8621C" w:rsidP="00C8621C"/>
    <w:p w:rsidR="00C8621C" w:rsidRDefault="00C8621C" w:rsidP="00C8621C">
      <w:pPr>
        <w:pStyle w:val="Heading4"/>
      </w:pPr>
      <w:r>
        <w:t>Extinction</w:t>
      </w:r>
    </w:p>
    <w:p w:rsidR="00C8621C" w:rsidRPr="002F5190" w:rsidRDefault="00C8621C" w:rsidP="00C8621C">
      <w:r>
        <w:rPr>
          <w:rStyle w:val="StyleStyleBold12pt"/>
        </w:rPr>
        <w:t>SCMP 96</w:t>
      </w:r>
      <w:r>
        <w:t xml:space="preserve"> </w:t>
      </w:r>
      <w:r w:rsidRPr="002F5190">
        <w:t xml:space="preserve">((Hong Kong) </w:t>
      </w:r>
      <w:r>
        <w:t xml:space="preserve">South China Morning Post </w:t>
      </w:r>
      <w:r w:rsidRPr="002F5190">
        <w:t>January 4, 1996 SECTION: Pg. 15 HEADLINE: Leading the way to a cure for AIDS BYLINE: Kavita Daswani meets a scientist working on a super vaccine to fight AIDS and more deadly viruses yet to come, l/n)</w:t>
      </w:r>
    </w:p>
    <w:p w:rsidR="00C8621C" w:rsidRDefault="00C8621C" w:rsidP="00C8621C">
      <w:r w:rsidRPr="00C8621C">
        <w:t xml:space="preserve">Despite the importance of the discovery of the "facilitating" cell, it is </w:t>
      </w:r>
    </w:p>
    <w:p w:rsidR="00C8621C" w:rsidRDefault="00C8621C" w:rsidP="00C8621C">
      <w:r>
        <w:t>AND</w:t>
      </w:r>
    </w:p>
    <w:p w:rsidR="00C8621C" w:rsidRPr="00C8621C" w:rsidRDefault="00C8621C" w:rsidP="00C8621C">
      <w:r w:rsidRPr="00C8621C">
        <w:t>large scale and imperil the survival of the human race," he said.</w:t>
      </w:r>
    </w:p>
    <w:p w:rsidR="00C8621C" w:rsidRDefault="00C8621C" w:rsidP="00C8621C"/>
    <w:p w:rsidR="00C8621C" w:rsidRDefault="00C8621C" w:rsidP="00C8621C"/>
    <w:p w:rsidR="00C8621C" w:rsidRDefault="00C8621C" w:rsidP="00C8621C">
      <w:pPr>
        <w:pStyle w:val="Heading2"/>
      </w:pPr>
      <w:r>
        <w:lastRenderedPageBreak/>
        <w:t>Solvency</w:t>
      </w:r>
    </w:p>
    <w:p w:rsidR="00C8621C" w:rsidRDefault="00C8621C" w:rsidP="00C8621C">
      <w:pPr>
        <w:pStyle w:val="Heading4"/>
      </w:pPr>
      <w:r>
        <w:t>Hold the line they have NO evidence that says other countries will model worldwide.  Their solvency evidence says that cooperation is key, not that other countries will model.</w:t>
      </w:r>
    </w:p>
    <w:p w:rsidR="00C8621C" w:rsidRPr="00CF07C2" w:rsidRDefault="00C8621C" w:rsidP="00C8621C">
      <w:pPr>
        <w:pStyle w:val="Heading4"/>
      </w:pPr>
      <w:r w:rsidRPr="00CF07C2">
        <w:t>Chinese noncompliance is inevitbale</w:t>
      </w:r>
    </w:p>
    <w:p w:rsidR="00C8621C" w:rsidRPr="00FD2E34" w:rsidRDefault="00C8621C" w:rsidP="00C8621C">
      <w:r>
        <w:rPr>
          <w:b/>
        </w:rPr>
        <w:t xml:space="preserve">Levick, Forbes, ’12 </w:t>
      </w:r>
      <w:r>
        <w:t xml:space="preserve">(Richard, “Obama’s Case against China: The U.S. Has a WTO Credibility Case”, 9/18/12, </w:t>
      </w:r>
      <w:hyperlink r:id="rId17" w:history="1">
        <w:r w:rsidRPr="00A61F26">
          <w:rPr>
            <w:rStyle w:val="Hyperlink"/>
          </w:rPr>
          <w:t>http://www.forbes.com/sites/richardlevick/2012/09/18/obamas-case-against-china-the-u-s-has-a-wto-credibility-gap/</w:t>
        </w:r>
      </w:hyperlink>
      <w:r>
        <w:t>, accessed 7/25/13, JF)</w:t>
      </w:r>
    </w:p>
    <w:p w:rsidR="00C8621C" w:rsidRDefault="00C8621C" w:rsidP="00C8621C">
      <w:r w:rsidRPr="00C8621C">
        <w:t xml:space="preserve">The Chinese have two good reasons to scoff dismissively at the Obama administration’s </w:t>
      </w:r>
      <w:hyperlink r:id="rId18" w:history="1">
        <w:r w:rsidRPr="00C8621C">
          <w:rPr>
            <w:rStyle w:val="Hyperlink"/>
          </w:rPr>
          <w:t>trade case</w:t>
        </w:r>
      </w:hyperlink>
    </w:p>
    <w:p w:rsidR="00C8621C" w:rsidRDefault="00C8621C" w:rsidP="00C8621C">
      <w:r>
        <w:t>AND</w:t>
      </w:r>
    </w:p>
    <w:p w:rsidR="00C8621C" w:rsidRPr="00C8621C" w:rsidRDefault="00C8621C" w:rsidP="00C8621C">
      <w:r w:rsidRPr="00C8621C">
        <w:t>ignore the rules or simply stonewall when called to task for doing so.</w:t>
      </w:r>
    </w:p>
    <w:p w:rsidR="00C8621C" w:rsidRDefault="00C8621C" w:rsidP="00C8621C">
      <w:pPr>
        <w:pStyle w:val="Heading4"/>
      </w:pPr>
      <w:r>
        <w:t>Non-compliance makes their impact inevitable</w:t>
      </w:r>
    </w:p>
    <w:p w:rsidR="00C8621C" w:rsidRDefault="00C8621C" w:rsidP="00C8621C">
      <w:pPr>
        <w:pStyle w:val="CardIndented"/>
        <w:ind w:left="0"/>
      </w:pPr>
      <w:r w:rsidRPr="00EE745C">
        <w:rPr>
          <w:rStyle w:val="StyleStyleBold12pt"/>
        </w:rPr>
        <w:t>Petelin 6</w:t>
      </w:r>
      <w:r>
        <w:t xml:space="preserve">     Brandon Petelin, J.D. Candidate, Thomas M. Cooley Law School,        Thomas M. Cooley Law Review  2006     23 T.M. Cooley L. Rev. 545     COMMENT: THE UNITED STATES AND INTERNATIONAL TRADE: THE IMPLICATIONS OF NONCOMPLIANCE WITH DISPUTE SETTLEMENT PANEL RULINGS    </w:t>
      </w:r>
      <w:r w:rsidRPr="001E492F">
        <w:t>http://www.lexisnexis.com/hottopics/lnacademic/</w:t>
      </w:r>
    </w:p>
    <w:p w:rsidR="00C8621C" w:rsidRDefault="00C8621C" w:rsidP="00C8621C">
      <w:pPr>
        <w:pStyle w:val="CardIndented"/>
      </w:pPr>
      <w:r>
        <w:t>A. Developing Trend</w:t>
      </w:r>
    </w:p>
    <w:p w:rsidR="00C8621C" w:rsidRDefault="00C8621C" w:rsidP="00C8621C">
      <w:r w:rsidRPr="00C8621C">
        <w:t xml:space="preserve">As is apparent, the creation of a dispute settlement panel under both the WTO </w:t>
      </w:r>
    </w:p>
    <w:p w:rsidR="00C8621C" w:rsidRDefault="00C8621C" w:rsidP="00C8621C">
      <w:r>
        <w:t>AND</w:t>
      </w:r>
    </w:p>
    <w:p w:rsidR="00C8621C" w:rsidRPr="00C8621C" w:rsidRDefault="00C8621C" w:rsidP="00C8621C">
      <w:bookmarkStart w:id="2" w:name="_GoBack"/>
      <w:bookmarkEnd w:id="2"/>
      <w:r w:rsidRPr="00C8621C">
        <w:t>motivation, it could have negative implications both now and into the future.</w:t>
      </w:r>
    </w:p>
    <w:p w:rsidR="00C8621C" w:rsidRPr="00FF05C2" w:rsidRDefault="00C8621C" w:rsidP="00C8621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F85" w:rsidRDefault="00DB2F85" w:rsidP="005F5576">
      <w:r>
        <w:separator/>
      </w:r>
    </w:p>
  </w:endnote>
  <w:endnote w:type="continuationSeparator" w:id="0">
    <w:p w:rsidR="00DB2F85" w:rsidRDefault="00DB2F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F85" w:rsidRDefault="00DB2F85" w:rsidP="005F5576">
      <w:r>
        <w:separator/>
      </w:r>
    </w:p>
  </w:footnote>
  <w:footnote w:type="continuationSeparator" w:id="0">
    <w:p w:rsidR="00DB2F85" w:rsidRDefault="00DB2F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528"/>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8621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F8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621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tagnderlin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C8621C"/>
    <w:rPr>
      <w:rFonts w:asciiTheme="majorHAnsi" w:eastAsiaTheme="majorEastAsia" w:hAnsiTheme="majorHAnsi" w:cstheme="majorBidi"/>
      <w:color w:val="243F60" w:themeColor="accent1" w:themeShade="7F"/>
    </w:rPr>
  </w:style>
  <w:style w:type="paragraph" w:customStyle="1" w:styleId="tag">
    <w:name w:val="tag"/>
    <w:basedOn w:val="Normal"/>
    <w:next w:val="Normal"/>
    <w:rsid w:val="00C8621C"/>
    <w:rPr>
      <w:rFonts w:ascii="Times New Roman" w:eastAsia="Calibri" w:hAnsi="Times New Roman" w:cs="Times New Roman"/>
      <w:b/>
    </w:rPr>
  </w:style>
  <w:style w:type="character" w:customStyle="1" w:styleId="cite">
    <w:name w:val="cite"/>
    <w:rsid w:val="00C8621C"/>
    <w:rPr>
      <w:rFonts w:ascii="Times New Roman" w:hAnsi="Times New Roman"/>
      <w:b/>
      <w:sz w:val="24"/>
    </w:rPr>
  </w:style>
  <w:style w:type="paragraph" w:customStyle="1" w:styleId="card">
    <w:name w:val="card"/>
    <w:basedOn w:val="Normal"/>
    <w:next w:val="Normal"/>
    <w:qFormat/>
    <w:rsid w:val="00C8621C"/>
    <w:pPr>
      <w:ind w:left="288" w:right="288"/>
    </w:pPr>
    <w:rPr>
      <w:rFonts w:ascii="Times New Roman" w:eastAsia="Calibri" w:hAnsi="Times New Roman" w:cs="Times New Roman"/>
    </w:rPr>
  </w:style>
  <w:style w:type="character" w:customStyle="1" w:styleId="underline">
    <w:name w:val="underline"/>
    <w:qFormat/>
    <w:rsid w:val="00C8621C"/>
    <w:rPr>
      <w:b/>
      <w:u w:val="single"/>
    </w:rPr>
  </w:style>
  <w:style w:type="character" w:customStyle="1" w:styleId="Emphasis2">
    <w:name w:val="Emphasis2"/>
    <w:rsid w:val="00C8621C"/>
    <w:rPr>
      <w:rFonts w:ascii="Franklin Gothic Heavy" w:hAnsi="Franklin Gothic Heavy"/>
      <w:iCs/>
      <w:u w:val="single"/>
    </w:rPr>
  </w:style>
  <w:style w:type="paragraph" w:styleId="EndnoteText">
    <w:name w:val="endnote text"/>
    <w:basedOn w:val="Normal"/>
    <w:link w:val="EndnoteTextChar"/>
    <w:semiHidden/>
    <w:unhideWhenUsed/>
    <w:rsid w:val="00C8621C"/>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C8621C"/>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C8621C"/>
    <w:rPr>
      <w:vertAlign w:val="superscript"/>
    </w:rPr>
  </w:style>
  <w:style w:type="paragraph" w:customStyle="1" w:styleId="Style3">
    <w:name w:val="Style3"/>
    <w:basedOn w:val="Normal"/>
    <w:link w:val="Style3Char"/>
    <w:rsid w:val="00C8621C"/>
    <w:rPr>
      <w:rFonts w:ascii="Times New Roman" w:eastAsia="Times New Roman" w:hAnsi="Times New Roman"/>
      <w:b/>
      <w:sz w:val="20"/>
      <w:szCs w:val="24"/>
      <w:lang w:val="x-none" w:eastAsia="x-none"/>
    </w:rPr>
  </w:style>
  <w:style w:type="character" w:customStyle="1" w:styleId="Style3Char">
    <w:name w:val="Style3 Char"/>
    <w:link w:val="Style3"/>
    <w:rsid w:val="00C8621C"/>
    <w:rPr>
      <w:rFonts w:ascii="Times New Roman" w:eastAsia="Times New Roman" w:hAnsi="Times New Roman" w:cs="Calibri"/>
      <w:b/>
      <w:sz w:val="20"/>
      <w:szCs w:val="24"/>
      <w:lang w:val="x-none" w:eastAsia="x-none"/>
    </w:rPr>
  </w:style>
  <w:style w:type="character" w:customStyle="1" w:styleId="TitleChar">
    <w:name w:val="Title Char"/>
    <w:aliases w:val="Cites and Cards Char,UNDERLINE Char,Bold Underlined Char"/>
    <w:link w:val="Title"/>
    <w:uiPriority w:val="6"/>
    <w:qFormat/>
    <w:rsid w:val="00C8621C"/>
    <w:rPr>
      <w:b/>
      <w:bCs/>
      <w:u w:val="single"/>
    </w:rPr>
  </w:style>
  <w:style w:type="paragraph" w:styleId="Title">
    <w:name w:val="Title"/>
    <w:aliases w:val="Cites and Cards,UNDERLINE,Bold Underlined"/>
    <w:basedOn w:val="Normal"/>
    <w:link w:val="TitleChar"/>
    <w:uiPriority w:val="6"/>
    <w:qFormat/>
    <w:rsid w:val="00C8621C"/>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8621C"/>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C8621C"/>
    <w:rPr>
      <w:rFonts w:ascii="Times New Roman" w:eastAsia="Malgun Gothic" w:hAnsi="Times New Roman"/>
      <w:sz w:val="24"/>
      <w:szCs w:val="24"/>
      <w:u w:val="single"/>
    </w:rPr>
  </w:style>
  <w:style w:type="paragraph" w:customStyle="1" w:styleId="underlined">
    <w:name w:val="underlined"/>
    <w:next w:val="Normal"/>
    <w:link w:val="underlinedChar"/>
    <w:autoRedefine/>
    <w:rsid w:val="00C8621C"/>
    <w:pPr>
      <w:spacing w:after="0" w:line="240" w:lineRule="auto"/>
      <w:contextualSpacing/>
    </w:pPr>
    <w:rPr>
      <w:rFonts w:ascii="Times New Roman" w:eastAsia="Malgun Gothic" w:hAnsi="Times New Roman"/>
      <w:sz w:val="24"/>
      <w:szCs w:val="24"/>
      <w:u w:val="single"/>
    </w:rPr>
  </w:style>
  <w:style w:type="paragraph" w:customStyle="1" w:styleId="textbold">
    <w:name w:val="text bold"/>
    <w:basedOn w:val="Normal"/>
    <w:link w:val="Emphasis"/>
    <w:uiPriority w:val="7"/>
    <w:qFormat/>
    <w:rsid w:val="00C8621C"/>
    <w:pPr>
      <w:ind w:left="720"/>
      <w:jc w:val="both"/>
    </w:pPr>
    <w:rPr>
      <w:b/>
      <w:iCs/>
      <w:u w:val="single"/>
      <w:bdr w:val="single" w:sz="18" w:space="0" w:color="auto"/>
    </w:rPr>
  </w:style>
  <w:style w:type="character" w:customStyle="1" w:styleId="UnderlineBold">
    <w:name w:val="Underline + Bold"/>
    <w:basedOn w:val="DefaultParagraphFont"/>
    <w:uiPriority w:val="1"/>
    <w:qFormat/>
    <w:rsid w:val="00C8621C"/>
    <w:rPr>
      <w:rFonts w:ascii="Garamond" w:hAnsi="Garamond"/>
      <w:b/>
      <w:bCs/>
      <w:sz w:val="24"/>
      <w:szCs w:val="24"/>
      <w:u w:val="thick"/>
    </w:rPr>
  </w:style>
  <w:style w:type="character" w:customStyle="1" w:styleId="FontStyle63">
    <w:name w:val="Font Style63"/>
    <w:basedOn w:val="DefaultParagraphFont"/>
    <w:uiPriority w:val="99"/>
    <w:rsid w:val="00C8621C"/>
    <w:rPr>
      <w:rFonts w:ascii="Times New Roman" w:hAnsi="Times New Roman" w:cs="Times New Roman"/>
      <w:sz w:val="16"/>
      <w:szCs w:val="16"/>
    </w:rPr>
  </w:style>
  <w:style w:type="character" w:customStyle="1" w:styleId="FontStyle72">
    <w:name w:val="Font Style72"/>
    <w:basedOn w:val="DefaultParagraphFont"/>
    <w:uiPriority w:val="99"/>
    <w:rsid w:val="00C8621C"/>
    <w:rPr>
      <w:rFonts w:ascii="Times New Roman" w:hAnsi="Times New Roman" w:cs="Times New Roman"/>
      <w:sz w:val="18"/>
      <w:szCs w:val="18"/>
    </w:rPr>
  </w:style>
  <w:style w:type="character" w:customStyle="1" w:styleId="FontStyle73">
    <w:name w:val="Font Style73"/>
    <w:basedOn w:val="DefaultParagraphFont"/>
    <w:uiPriority w:val="99"/>
    <w:rsid w:val="00C8621C"/>
    <w:rPr>
      <w:rFonts w:ascii="Times New Roman" w:hAnsi="Times New Roman" w:cs="Times New Roman"/>
      <w:b/>
      <w:bCs/>
      <w:sz w:val="18"/>
      <w:szCs w:val="18"/>
    </w:rPr>
  </w:style>
  <w:style w:type="character" w:customStyle="1" w:styleId="FontStyle59">
    <w:name w:val="Font Style59"/>
    <w:basedOn w:val="DefaultParagraphFont"/>
    <w:uiPriority w:val="99"/>
    <w:rsid w:val="00C8621C"/>
    <w:rPr>
      <w:rFonts w:ascii="Times New Roman" w:hAnsi="Times New Roman" w:cs="Times New Roman"/>
      <w:sz w:val="12"/>
      <w:szCs w:val="12"/>
    </w:rPr>
  </w:style>
  <w:style w:type="paragraph" w:customStyle="1" w:styleId="CardIndented">
    <w:name w:val="Card (Indented)"/>
    <w:basedOn w:val="Normal"/>
    <w:qFormat/>
    <w:rsid w:val="00C8621C"/>
    <w:pPr>
      <w:ind w:left="288"/>
    </w:pPr>
    <w:rPr>
      <w:sz w:val="20"/>
    </w:rPr>
  </w:style>
  <w:style w:type="character" w:customStyle="1" w:styleId="StyleUnderline">
    <w:name w:val="Style Underline"/>
    <w:basedOn w:val="DefaultParagraphFont"/>
    <w:rsid w:val="00C8621C"/>
    <w:rPr>
      <w:u w:val="thick"/>
    </w:rPr>
  </w:style>
  <w:style w:type="paragraph" w:customStyle="1" w:styleId="Biz">
    <w:name w:val="Biz"/>
    <w:basedOn w:val="Normal"/>
    <w:link w:val="BizChar"/>
    <w:rsid w:val="00C8621C"/>
    <w:rPr>
      <w:rFonts w:ascii="Times New Roman" w:eastAsia="Times New Roman" w:hAnsi="Times New Roman" w:cs="Times New Roman"/>
      <w:sz w:val="20"/>
      <w:u w:val="single"/>
    </w:rPr>
  </w:style>
  <w:style w:type="character" w:customStyle="1" w:styleId="BizChar">
    <w:name w:val="Biz Char"/>
    <w:link w:val="Biz"/>
    <w:rsid w:val="00C8621C"/>
    <w:rPr>
      <w:rFonts w:ascii="Times New Roman" w:eastAsia="Times New Roman" w:hAnsi="Times New Roman" w:cs="Times New Roman"/>
      <w:sz w:val="20"/>
      <w:u w:val="single"/>
    </w:rPr>
  </w:style>
  <w:style w:type="paragraph" w:customStyle="1" w:styleId="biz2">
    <w:name w:val="biz 2"/>
    <w:basedOn w:val="Normal"/>
    <w:link w:val="biz2Char"/>
    <w:rsid w:val="00C8621C"/>
    <w:rPr>
      <w:rFonts w:ascii="Times New Roman" w:eastAsia="Times New Roman" w:hAnsi="Times New Roman" w:cs="Times New Roman"/>
      <w:b/>
      <w:sz w:val="20"/>
      <w:u w:val="single"/>
    </w:rPr>
  </w:style>
  <w:style w:type="character" w:customStyle="1" w:styleId="biz2Char">
    <w:name w:val="biz 2 Char"/>
    <w:link w:val="biz2"/>
    <w:rsid w:val="00C8621C"/>
    <w:rPr>
      <w:rFonts w:ascii="Times New Roman" w:eastAsia="Times New Roman" w:hAnsi="Times New Roman" w:cs="Times New Roman"/>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621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tagnderlin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C8621C"/>
    <w:rPr>
      <w:rFonts w:asciiTheme="majorHAnsi" w:eastAsiaTheme="majorEastAsia" w:hAnsiTheme="majorHAnsi" w:cstheme="majorBidi"/>
      <w:color w:val="243F60" w:themeColor="accent1" w:themeShade="7F"/>
    </w:rPr>
  </w:style>
  <w:style w:type="paragraph" w:customStyle="1" w:styleId="tag">
    <w:name w:val="tag"/>
    <w:basedOn w:val="Normal"/>
    <w:next w:val="Normal"/>
    <w:rsid w:val="00C8621C"/>
    <w:rPr>
      <w:rFonts w:ascii="Times New Roman" w:eastAsia="Calibri" w:hAnsi="Times New Roman" w:cs="Times New Roman"/>
      <w:b/>
    </w:rPr>
  </w:style>
  <w:style w:type="character" w:customStyle="1" w:styleId="cite">
    <w:name w:val="cite"/>
    <w:rsid w:val="00C8621C"/>
    <w:rPr>
      <w:rFonts w:ascii="Times New Roman" w:hAnsi="Times New Roman"/>
      <w:b/>
      <w:sz w:val="24"/>
    </w:rPr>
  </w:style>
  <w:style w:type="paragraph" w:customStyle="1" w:styleId="card">
    <w:name w:val="card"/>
    <w:basedOn w:val="Normal"/>
    <w:next w:val="Normal"/>
    <w:qFormat/>
    <w:rsid w:val="00C8621C"/>
    <w:pPr>
      <w:ind w:left="288" w:right="288"/>
    </w:pPr>
    <w:rPr>
      <w:rFonts w:ascii="Times New Roman" w:eastAsia="Calibri" w:hAnsi="Times New Roman" w:cs="Times New Roman"/>
    </w:rPr>
  </w:style>
  <w:style w:type="character" w:customStyle="1" w:styleId="underline">
    <w:name w:val="underline"/>
    <w:qFormat/>
    <w:rsid w:val="00C8621C"/>
    <w:rPr>
      <w:b/>
      <w:u w:val="single"/>
    </w:rPr>
  </w:style>
  <w:style w:type="character" w:customStyle="1" w:styleId="Emphasis2">
    <w:name w:val="Emphasis2"/>
    <w:rsid w:val="00C8621C"/>
    <w:rPr>
      <w:rFonts w:ascii="Franklin Gothic Heavy" w:hAnsi="Franklin Gothic Heavy"/>
      <w:iCs/>
      <w:u w:val="single"/>
    </w:rPr>
  </w:style>
  <w:style w:type="paragraph" w:styleId="EndnoteText">
    <w:name w:val="endnote text"/>
    <w:basedOn w:val="Normal"/>
    <w:link w:val="EndnoteTextChar"/>
    <w:semiHidden/>
    <w:unhideWhenUsed/>
    <w:rsid w:val="00C8621C"/>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C8621C"/>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C8621C"/>
    <w:rPr>
      <w:vertAlign w:val="superscript"/>
    </w:rPr>
  </w:style>
  <w:style w:type="paragraph" w:customStyle="1" w:styleId="Style3">
    <w:name w:val="Style3"/>
    <w:basedOn w:val="Normal"/>
    <w:link w:val="Style3Char"/>
    <w:rsid w:val="00C8621C"/>
    <w:rPr>
      <w:rFonts w:ascii="Times New Roman" w:eastAsia="Times New Roman" w:hAnsi="Times New Roman"/>
      <w:b/>
      <w:sz w:val="20"/>
      <w:szCs w:val="24"/>
      <w:lang w:val="x-none" w:eastAsia="x-none"/>
    </w:rPr>
  </w:style>
  <w:style w:type="character" w:customStyle="1" w:styleId="Style3Char">
    <w:name w:val="Style3 Char"/>
    <w:link w:val="Style3"/>
    <w:rsid w:val="00C8621C"/>
    <w:rPr>
      <w:rFonts w:ascii="Times New Roman" w:eastAsia="Times New Roman" w:hAnsi="Times New Roman" w:cs="Calibri"/>
      <w:b/>
      <w:sz w:val="20"/>
      <w:szCs w:val="24"/>
      <w:lang w:val="x-none" w:eastAsia="x-none"/>
    </w:rPr>
  </w:style>
  <w:style w:type="character" w:customStyle="1" w:styleId="TitleChar">
    <w:name w:val="Title Char"/>
    <w:aliases w:val="Cites and Cards Char,UNDERLINE Char,Bold Underlined Char"/>
    <w:link w:val="Title"/>
    <w:uiPriority w:val="6"/>
    <w:qFormat/>
    <w:rsid w:val="00C8621C"/>
    <w:rPr>
      <w:b/>
      <w:bCs/>
      <w:u w:val="single"/>
    </w:rPr>
  </w:style>
  <w:style w:type="paragraph" w:styleId="Title">
    <w:name w:val="Title"/>
    <w:aliases w:val="Cites and Cards,UNDERLINE,Bold Underlined"/>
    <w:basedOn w:val="Normal"/>
    <w:link w:val="TitleChar"/>
    <w:uiPriority w:val="6"/>
    <w:qFormat/>
    <w:rsid w:val="00C8621C"/>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8621C"/>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C8621C"/>
    <w:rPr>
      <w:rFonts w:ascii="Times New Roman" w:eastAsia="Malgun Gothic" w:hAnsi="Times New Roman"/>
      <w:sz w:val="24"/>
      <w:szCs w:val="24"/>
      <w:u w:val="single"/>
    </w:rPr>
  </w:style>
  <w:style w:type="paragraph" w:customStyle="1" w:styleId="underlined">
    <w:name w:val="underlined"/>
    <w:next w:val="Normal"/>
    <w:link w:val="underlinedChar"/>
    <w:autoRedefine/>
    <w:rsid w:val="00C8621C"/>
    <w:pPr>
      <w:spacing w:after="0" w:line="240" w:lineRule="auto"/>
      <w:contextualSpacing/>
    </w:pPr>
    <w:rPr>
      <w:rFonts w:ascii="Times New Roman" w:eastAsia="Malgun Gothic" w:hAnsi="Times New Roman"/>
      <w:sz w:val="24"/>
      <w:szCs w:val="24"/>
      <w:u w:val="single"/>
    </w:rPr>
  </w:style>
  <w:style w:type="paragraph" w:customStyle="1" w:styleId="textbold">
    <w:name w:val="text bold"/>
    <w:basedOn w:val="Normal"/>
    <w:link w:val="Emphasis"/>
    <w:uiPriority w:val="7"/>
    <w:qFormat/>
    <w:rsid w:val="00C8621C"/>
    <w:pPr>
      <w:ind w:left="720"/>
      <w:jc w:val="both"/>
    </w:pPr>
    <w:rPr>
      <w:b/>
      <w:iCs/>
      <w:u w:val="single"/>
      <w:bdr w:val="single" w:sz="18" w:space="0" w:color="auto"/>
    </w:rPr>
  </w:style>
  <w:style w:type="character" w:customStyle="1" w:styleId="UnderlineBold">
    <w:name w:val="Underline + Bold"/>
    <w:basedOn w:val="DefaultParagraphFont"/>
    <w:uiPriority w:val="1"/>
    <w:qFormat/>
    <w:rsid w:val="00C8621C"/>
    <w:rPr>
      <w:rFonts w:ascii="Garamond" w:hAnsi="Garamond"/>
      <w:b/>
      <w:bCs/>
      <w:sz w:val="24"/>
      <w:szCs w:val="24"/>
      <w:u w:val="thick"/>
    </w:rPr>
  </w:style>
  <w:style w:type="character" w:customStyle="1" w:styleId="FontStyle63">
    <w:name w:val="Font Style63"/>
    <w:basedOn w:val="DefaultParagraphFont"/>
    <w:uiPriority w:val="99"/>
    <w:rsid w:val="00C8621C"/>
    <w:rPr>
      <w:rFonts w:ascii="Times New Roman" w:hAnsi="Times New Roman" w:cs="Times New Roman"/>
      <w:sz w:val="16"/>
      <w:szCs w:val="16"/>
    </w:rPr>
  </w:style>
  <w:style w:type="character" w:customStyle="1" w:styleId="FontStyle72">
    <w:name w:val="Font Style72"/>
    <w:basedOn w:val="DefaultParagraphFont"/>
    <w:uiPriority w:val="99"/>
    <w:rsid w:val="00C8621C"/>
    <w:rPr>
      <w:rFonts w:ascii="Times New Roman" w:hAnsi="Times New Roman" w:cs="Times New Roman"/>
      <w:sz w:val="18"/>
      <w:szCs w:val="18"/>
    </w:rPr>
  </w:style>
  <w:style w:type="character" w:customStyle="1" w:styleId="FontStyle73">
    <w:name w:val="Font Style73"/>
    <w:basedOn w:val="DefaultParagraphFont"/>
    <w:uiPriority w:val="99"/>
    <w:rsid w:val="00C8621C"/>
    <w:rPr>
      <w:rFonts w:ascii="Times New Roman" w:hAnsi="Times New Roman" w:cs="Times New Roman"/>
      <w:b/>
      <w:bCs/>
      <w:sz w:val="18"/>
      <w:szCs w:val="18"/>
    </w:rPr>
  </w:style>
  <w:style w:type="character" w:customStyle="1" w:styleId="FontStyle59">
    <w:name w:val="Font Style59"/>
    <w:basedOn w:val="DefaultParagraphFont"/>
    <w:uiPriority w:val="99"/>
    <w:rsid w:val="00C8621C"/>
    <w:rPr>
      <w:rFonts w:ascii="Times New Roman" w:hAnsi="Times New Roman" w:cs="Times New Roman"/>
      <w:sz w:val="12"/>
      <w:szCs w:val="12"/>
    </w:rPr>
  </w:style>
  <w:style w:type="paragraph" w:customStyle="1" w:styleId="CardIndented">
    <w:name w:val="Card (Indented)"/>
    <w:basedOn w:val="Normal"/>
    <w:qFormat/>
    <w:rsid w:val="00C8621C"/>
    <w:pPr>
      <w:ind w:left="288"/>
    </w:pPr>
    <w:rPr>
      <w:sz w:val="20"/>
    </w:rPr>
  </w:style>
  <w:style w:type="character" w:customStyle="1" w:styleId="StyleUnderline">
    <w:name w:val="Style Underline"/>
    <w:basedOn w:val="DefaultParagraphFont"/>
    <w:rsid w:val="00C8621C"/>
    <w:rPr>
      <w:u w:val="thick"/>
    </w:rPr>
  </w:style>
  <w:style w:type="paragraph" w:customStyle="1" w:styleId="Biz">
    <w:name w:val="Biz"/>
    <w:basedOn w:val="Normal"/>
    <w:link w:val="BizChar"/>
    <w:rsid w:val="00C8621C"/>
    <w:rPr>
      <w:rFonts w:ascii="Times New Roman" w:eastAsia="Times New Roman" w:hAnsi="Times New Roman" w:cs="Times New Roman"/>
      <w:sz w:val="20"/>
      <w:u w:val="single"/>
    </w:rPr>
  </w:style>
  <w:style w:type="character" w:customStyle="1" w:styleId="BizChar">
    <w:name w:val="Biz Char"/>
    <w:link w:val="Biz"/>
    <w:rsid w:val="00C8621C"/>
    <w:rPr>
      <w:rFonts w:ascii="Times New Roman" w:eastAsia="Times New Roman" w:hAnsi="Times New Roman" w:cs="Times New Roman"/>
      <w:sz w:val="20"/>
      <w:u w:val="single"/>
    </w:rPr>
  </w:style>
  <w:style w:type="paragraph" w:customStyle="1" w:styleId="biz2">
    <w:name w:val="biz 2"/>
    <w:basedOn w:val="Normal"/>
    <w:link w:val="biz2Char"/>
    <w:rsid w:val="00C8621C"/>
    <w:rPr>
      <w:rFonts w:ascii="Times New Roman" w:eastAsia="Times New Roman" w:hAnsi="Times New Roman" w:cs="Times New Roman"/>
      <w:b/>
      <w:sz w:val="20"/>
      <w:u w:val="single"/>
    </w:rPr>
  </w:style>
  <w:style w:type="character" w:customStyle="1" w:styleId="biz2Char">
    <w:name w:val="biz 2 Char"/>
    <w:link w:val="biz2"/>
    <w:rsid w:val="00C8621C"/>
    <w:rPr>
      <w:rFonts w:ascii="Times New Roman" w:eastAsia="Times New Roman" w:hAnsi="Times New Roman" w:cs="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virons.law.ucdavis.edu/issues/15/2/articles/yaffe.pdf" TargetMode="External"/><Relationship Id="rId18" Type="http://schemas.openxmlformats.org/officeDocument/2006/relationships/hyperlink" Target="http://www.nytimes.com/2012/09/17/business/united-states-to-file-wto-case-against-china-over-cars.html?_r=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pa.org/pdfs/Message_to_Debaters_6-7-13.pdf" TargetMode="External"/><Relationship Id="rId17" Type="http://schemas.openxmlformats.org/officeDocument/2006/relationships/hyperlink" Target="http://www.forbes.com/sites/richardlevick/2012/09/18/obamas-case-against-china-the-u-s-has-a-wto-credibility-gap/" TargetMode="External"/><Relationship Id="rId2" Type="http://schemas.openxmlformats.org/officeDocument/2006/relationships/customXml" Target="../customXml/item2.xml"/><Relationship Id="rId16" Type="http://schemas.openxmlformats.org/officeDocument/2006/relationships/hyperlink" Target="http://iipdigital.usembassy.gov/st/english/publication/2008/04/20080429230451myleen0.418102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esstv.ir/detail/2013/11/13/334544/global-nuclear-war-likely-if-iran-talks-fail/" TargetMode="External"/><Relationship Id="rId5" Type="http://schemas.microsoft.com/office/2007/relationships/stylesWithEffects" Target="stylesWithEffects.xml"/><Relationship Id="rId15" Type="http://schemas.openxmlformats.org/officeDocument/2006/relationships/hyperlink" Target="http://www.learningace.com/doc/627723/51f537daf52a9059314a672c3936da0b/stein" TargetMode="External"/><Relationship Id="rId10" Type="http://schemas.openxmlformats.org/officeDocument/2006/relationships/hyperlink" Target="http://ir.lawnet.fordham.edu/cgi/viewcontent.cgi?article=1873&amp;context=ilj"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lr.org/html/volume8/ker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2014-02-12T02:07:00Z</dcterms:created>
  <dcterms:modified xsi:type="dcterms:W3CDTF">2014-02-12T02:08:00Z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