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A8F" w:rsidRPr="00135DC6" w:rsidRDefault="00C45A8F" w:rsidP="00D17C4E">
      <w:pPr>
        <w:rPr>
          <w:rStyle w:val="StyleStyleBold12pt"/>
        </w:rPr>
      </w:pPr>
    </w:p>
    <w:p w:rsidR="00C45A8F" w:rsidRPr="00135DC6" w:rsidRDefault="009A3853" w:rsidP="00C45A8F">
      <w:pPr>
        <w:pStyle w:val="Heading1"/>
        <w:rPr>
          <w:rStyle w:val="StyleStyleBold12pt"/>
        </w:rPr>
      </w:pPr>
      <w:r w:rsidRPr="00135DC6">
        <w:rPr>
          <w:rStyle w:val="StyleStyleBold12pt"/>
        </w:rPr>
        <w:lastRenderedPageBreak/>
        <w:t>1</w:t>
      </w:r>
    </w:p>
    <w:p w:rsidR="00D2133B" w:rsidRPr="00135DC6" w:rsidRDefault="00D2133B" w:rsidP="00D2133B">
      <w:pPr>
        <w:pStyle w:val="Heading4"/>
        <w:rPr>
          <w:rStyle w:val="StyleStyleBold12pt"/>
        </w:rPr>
      </w:pPr>
      <w:r w:rsidRPr="00135DC6">
        <w:rPr>
          <w:rStyle w:val="StyleStyleBold12pt"/>
        </w:rPr>
        <w:t xml:space="preserve">Congress is pushing for new sanctions against Iran – PC is key to stop them or they’ll derail the deal with Iran </w:t>
      </w:r>
    </w:p>
    <w:p w:rsidR="00D2133B" w:rsidRPr="00135DC6" w:rsidRDefault="00D2133B" w:rsidP="00D2133B">
      <w:pPr>
        <w:rPr>
          <w:rStyle w:val="StyleStyleBold12pt"/>
        </w:rPr>
      </w:pPr>
      <w:r w:rsidRPr="00135DC6">
        <w:rPr>
          <w:rStyle w:val="StyleStyleBold12pt"/>
        </w:rPr>
        <w:t xml:space="preserve">Dennis 11/24 (Steven, Roll Call, “Obama Faces Skeptical Congress as Iran Nuclear Deal Reached (Updated),” 11/24/2013, </w:t>
      </w:r>
      <w:hyperlink r:id="rId10" w:history="1">
        <w:r w:rsidRPr="00135DC6">
          <w:rPr>
            <w:rStyle w:val="StyleStyleBold12pt"/>
          </w:rPr>
          <w:t>http://blogs.rollcall.com/wgdb/obama-announces-iran-nuclear-deal/</w:t>
        </w:r>
      </w:hyperlink>
      <w:r w:rsidRPr="00135DC6">
        <w:rPr>
          <w:rStyle w:val="StyleStyleBold12pt"/>
        </w:rPr>
        <w:t>)</w:t>
      </w:r>
    </w:p>
    <w:p w:rsidR="00D2133B" w:rsidRPr="00135DC6" w:rsidRDefault="00D2133B" w:rsidP="00D2133B">
      <w:pPr>
        <w:pStyle w:val="Heading4"/>
        <w:rPr>
          <w:rStyle w:val="StyleStyleBold12pt"/>
        </w:rPr>
      </w:pPr>
      <w:r w:rsidRPr="00135DC6">
        <w:rPr>
          <w:rStyle w:val="StyleStyleBold12pt"/>
        </w:rPr>
        <w:t>Plan costs capital</w:t>
      </w:r>
    </w:p>
    <w:p w:rsidR="00D2133B" w:rsidRPr="00135DC6" w:rsidRDefault="00D2133B" w:rsidP="00D2133B">
      <w:pPr>
        <w:rPr>
          <w:rStyle w:val="StyleStyleBold12pt"/>
        </w:rPr>
      </w:pPr>
      <w:r w:rsidRPr="00135DC6">
        <w:rPr>
          <w:rStyle w:val="StyleStyleBold12pt"/>
        </w:rPr>
        <w:t xml:space="preserve">Aho 13 (Matthew Aho, Inter-American Dialogue's Latin America Advisor, What Does Obama's Second Term Hold for U.S.-Cuba Relations?, </w:t>
      </w:r>
      <w:hyperlink r:id="rId11" w:history="1">
        <w:r w:rsidRPr="00135DC6">
          <w:rPr>
            <w:rStyle w:val="StyleStyleBold12pt"/>
          </w:rPr>
          <w:t>http://www.cubastudygroup.org/index.cfm/newsroom?ContentRecord_id=2c202b27-1916-4509-b1b7-00d7ed8f4914</w:t>
        </w:r>
      </w:hyperlink>
      <w:r w:rsidRPr="00135DC6">
        <w:rPr>
          <w:rStyle w:val="StyleStyleBold12pt"/>
        </w:rPr>
        <w:t>, 1/23/13)</w:t>
      </w:r>
    </w:p>
    <w:p w:rsidR="00D2133B" w:rsidRPr="00135DC6" w:rsidRDefault="00D2133B" w:rsidP="00D2133B">
      <w:pPr>
        <w:pStyle w:val="Heading4"/>
        <w:rPr>
          <w:rStyle w:val="StyleStyleBold12pt"/>
        </w:rPr>
      </w:pPr>
      <w:r w:rsidRPr="00135DC6">
        <w:rPr>
          <w:rStyle w:val="StyleStyleBold12pt"/>
        </w:rPr>
        <w:t xml:space="preserve">Obama’s PC is vital to secure relief from sanctions – keeps Iran at the table to secure a deal </w:t>
      </w:r>
    </w:p>
    <w:p w:rsidR="00D2133B" w:rsidRPr="00135DC6" w:rsidRDefault="00D2133B" w:rsidP="00D2133B">
      <w:pPr>
        <w:rPr>
          <w:rStyle w:val="StyleStyleBold12pt"/>
        </w:rPr>
      </w:pPr>
      <w:r w:rsidRPr="00135DC6">
        <w:rPr>
          <w:rStyle w:val="StyleStyleBold12pt"/>
        </w:rPr>
        <w:t xml:space="preserve">Cockburn 11/11 (Patrick, Irish journalist who has been a Middle East correspondent since 1979 for the Financial Times, “Why Iran’s Concessions Won’t Lead to a Nuclear Agreement,” </w:t>
      </w:r>
      <w:hyperlink r:id="rId12" w:history="1">
        <w:r w:rsidRPr="00135DC6">
          <w:rPr>
            <w:rStyle w:val="StyleStyleBold12pt"/>
          </w:rPr>
          <w:t>http://www.counterpunch.org/2013/11/11/why-irans-concessions-wont-lead-to-a-nuclear-agreement/</w:t>
        </w:r>
      </w:hyperlink>
      <w:r w:rsidRPr="00135DC6">
        <w:rPr>
          <w:rStyle w:val="StyleStyleBold12pt"/>
        </w:rPr>
        <w:t xml:space="preserve">) </w:t>
      </w:r>
    </w:p>
    <w:p w:rsidR="00D2133B" w:rsidRPr="00135DC6" w:rsidRDefault="00D2133B" w:rsidP="00D2133B">
      <w:pPr>
        <w:rPr>
          <w:rStyle w:val="StyleStyleBold12pt"/>
        </w:rPr>
      </w:pPr>
    </w:p>
    <w:p w:rsidR="00D2133B" w:rsidRPr="00135DC6" w:rsidRDefault="00D2133B" w:rsidP="00D2133B">
      <w:pPr>
        <w:pStyle w:val="Heading4"/>
        <w:rPr>
          <w:rStyle w:val="StyleStyleBold12pt"/>
        </w:rPr>
      </w:pPr>
      <w:r w:rsidRPr="00135DC6">
        <w:rPr>
          <w:rStyle w:val="StyleStyleBold12pt"/>
        </w:rPr>
        <w:t>Global nuclear war in a month if talks fail – US sanctions will wreck diplomacy</w:t>
      </w:r>
    </w:p>
    <w:p w:rsidR="00D2133B" w:rsidRPr="00135DC6" w:rsidRDefault="00D2133B" w:rsidP="00D2133B">
      <w:pPr>
        <w:rPr>
          <w:rStyle w:val="StyleStyleBold12pt"/>
        </w:rPr>
      </w:pPr>
      <w:r w:rsidRPr="00135DC6">
        <w:rPr>
          <w:rStyle w:val="StyleStyleBold12pt"/>
        </w:rPr>
        <w:t xml:space="preserve">Press TV 11/13 “Global nuclear conflict between US, Russia, China likely if Iran talks fail”, </w:t>
      </w:r>
      <w:hyperlink r:id="rId13" w:history="1">
        <w:r w:rsidRPr="00135DC6">
          <w:rPr>
            <w:rStyle w:val="StyleStyleBold12pt"/>
          </w:rPr>
          <w:t>http://www.presstv.ir/detail/2013/11/13/334544/global-nuclear-war-likely-if-iran-talks-fail/</w:t>
        </w:r>
      </w:hyperlink>
    </w:p>
    <w:p w:rsidR="00704104" w:rsidRPr="00135DC6" w:rsidRDefault="00704104" w:rsidP="00704104">
      <w:pPr>
        <w:rPr>
          <w:rStyle w:val="StyleStyleBold12pt"/>
        </w:rPr>
      </w:pPr>
    </w:p>
    <w:p w:rsidR="0045135A" w:rsidRPr="00135DC6" w:rsidRDefault="0045135A" w:rsidP="0045135A">
      <w:pPr>
        <w:pStyle w:val="Heading1"/>
        <w:rPr>
          <w:rStyle w:val="StyleStyleBold12pt"/>
        </w:rPr>
      </w:pPr>
      <w:r w:rsidRPr="00135DC6">
        <w:rPr>
          <w:rStyle w:val="StyleStyleBold12pt"/>
        </w:rPr>
        <w:lastRenderedPageBreak/>
        <w:t>2</w:t>
      </w:r>
    </w:p>
    <w:p w:rsidR="00C45A8F" w:rsidRPr="00135DC6" w:rsidRDefault="00C45A8F" w:rsidP="00C45A8F">
      <w:pPr>
        <w:rPr>
          <w:rStyle w:val="StyleStyleBold12pt"/>
        </w:rPr>
      </w:pPr>
    </w:p>
    <w:p w:rsidR="00C45A8F" w:rsidRPr="00135DC6" w:rsidRDefault="00C45A8F" w:rsidP="00C45A8F">
      <w:pPr>
        <w:pStyle w:val="Heading4"/>
        <w:rPr>
          <w:rStyle w:val="StyleStyleBold12pt"/>
        </w:rPr>
      </w:pPr>
      <w:r w:rsidRPr="00135DC6">
        <w:rPr>
          <w:rStyle w:val="StyleStyleBold12pt"/>
        </w:rPr>
        <w:t>A. The aff is not topical - only the executive can perform economic engagement – court action risks making the topic bidirectional</w:t>
      </w:r>
    </w:p>
    <w:p w:rsidR="00C45A8F" w:rsidRPr="00135DC6" w:rsidRDefault="00C45A8F" w:rsidP="00C45A8F">
      <w:pPr>
        <w:rPr>
          <w:rStyle w:val="StyleStyleBold12pt"/>
        </w:rPr>
      </w:pPr>
      <w:r w:rsidRPr="00135DC6">
        <w:rPr>
          <w:rStyle w:val="StyleStyleBold12pt"/>
        </w:rPr>
        <w:t xml:space="preserve">UNITED STATES COURT OF APPEALS FOR THE NINTH CIRCUIT, 2006 (“CYNTHIA CORRIE and CRAIG CORRIE, et al. v CATERPILLAR INC”, </w:t>
      </w:r>
      <w:hyperlink r:id="rId14" w:history="1">
        <w:r w:rsidRPr="00135DC6">
          <w:rPr>
            <w:rStyle w:val="StyleStyleBold12pt"/>
          </w:rPr>
          <w:t>http://www.state.gov/documents/organization/98377.pdf</w:t>
        </w:r>
      </w:hyperlink>
      <w:r w:rsidRPr="00135DC6">
        <w:rPr>
          <w:rStyle w:val="StyleStyleBold12pt"/>
        </w:rPr>
        <w:t>)</w:t>
      </w:r>
    </w:p>
    <w:p w:rsidR="00C45A8F" w:rsidRPr="00135DC6" w:rsidRDefault="00C45A8F" w:rsidP="00135DC6">
      <w:pPr>
        <w:pStyle w:val="Heading4"/>
        <w:rPr>
          <w:rStyle w:val="StyleStyleBold12pt"/>
        </w:rPr>
      </w:pPr>
    </w:p>
    <w:p w:rsidR="00C45A8F" w:rsidRPr="00135DC6" w:rsidRDefault="0045135A" w:rsidP="00C45A8F">
      <w:pPr>
        <w:pStyle w:val="Heading1"/>
        <w:rPr>
          <w:rStyle w:val="StyleStyleBold12pt"/>
        </w:rPr>
      </w:pPr>
      <w:r w:rsidRPr="00135DC6">
        <w:rPr>
          <w:rStyle w:val="StyleStyleBold12pt"/>
        </w:rPr>
        <w:lastRenderedPageBreak/>
        <w:t>3</w:t>
      </w:r>
    </w:p>
    <w:p w:rsidR="00C45A8F" w:rsidRPr="00135DC6" w:rsidRDefault="00C45A8F" w:rsidP="00C45A8F">
      <w:pPr>
        <w:rPr>
          <w:rStyle w:val="StyleStyleBold12pt"/>
        </w:rPr>
      </w:pPr>
    </w:p>
    <w:p w:rsidR="00C45A8F" w:rsidRPr="00135DC6" w:rsidRDefault="00C45A8F" w:rsidP="00C45A8F">
      <w:pPr>
        <w:pStyle w:val="Heading4"/>
        <w:numPr>
          <w:ilvl w:val="0"/>
          <w:numId w:val="1"/>
        </w:numPr>
        <w:rPr>
          <w:rStyle w:val="StyleStyleBold12pt"/>
        </w:rPr>
      </w:pPr>
      <w:r w:rsidRPr="00135DC6">
        <w:rPr>
          <w:rStyle w:val="StyleStyleBold12pt"/>
        </w:rPr>
        <w:t>The Court will narrowly rule on affirmative action in the upcoming Schuette decision now:</w:t>
      </w:r>
    </w:p>
    <w:p w:rsidR="00C45A8F" w:rsidRPr="00135DC6" w:rsidRDefault="00C45A8F" w:rsidP="00C45A8F">
      <w:pPr>
        <w:ind w:left="720"/>
        <w:rPr>
          <w:rStyle w:val="StyleStyleBold12pt"/>
        </w:rPr>
      </w:pPr>
      <w:r w:rsidRPr="00135DC6">
        <w:rPr>
          <w:rStyle w:val="StyleStyleBold12pt"/>
        </w:rPr>
        <w:t xml:space="preserve">Scott Lemieux, 7/9/2013 (assistant professor of political science at the College of Saint Rose, “Affirmative Action's Ominous Future,” </w:t>
      </w:r>
      <w:hyperlink r:id="rId15" w:history="1">
        <w:r w:rsidRPr="00135DC6">
          <w:rPr>
            <w:rStyle w:val="StyleStyleBold12pt"/>
          </w:rPr>
          <w:t>http://prospect.org/article/affirmative-actions-ominous-future</w:t>
        </w:r>
      </w:hyperlink>
      <w:r w:rsidRPr="00135DC6">
        <w:rPr>
          <w:rStyle w:val="StyleStyleBold12pt"/>
        </w:rPr>
        <w:t>, Accessed 7/25/2013, rwg)</w:t>
      </w:r>
    </w:p>
    <w:p w:rsidR="00C45A8F" w:rsidRPr="00135DC6" w:rsidRDefault="00C45A8F" w:rsidP="00C45A8F">
      <w:pPr>
        <w:pStyle w:val="Heading4"/>
        <w:numPr>
          <w:ilvl w:val="0"/>
          <w:numId w:val="1"/>
        </w:numPr>
        <w:rPr>
          <w:rStyle w:val="StyleStyleBold12pt"/>
        </w:rPr>
      </w:pPr>
      <w:r w:rsidRPr="00135DC6">
        <w:rPr>
          <w:rStyle w:val="StyleStyleBold12pt"/>
        </w:rPr>
        <w:t>Conservatives oppose more energetic enforcement of customary international law:</w:t>
      </w:r>
    </w:p>
    <w:p w:rsidR="00C45A8F" w:rsidRPr="00135DC6" w:rsidRDefault="00C45A8F" w:rsidP="00C45A8F">
      <w:pPr>
        <w:ind w:left="360"/>
        <w:rPr>
          <w:rStyle w:val="StyleStyleBold12pt"/>
        </w:rPr>
      </w:pPr>
      <w:r w:rsidRPr="00135DC6">
        <w:rPr>
          <w:rStyle w:val="StyleStyleBold12pt"/>
        </w:rPr>
        <w:t>Edward Purcell, 2011 (professor @ New York Law School, in International Law in the U.S. Supreme Court, David L. Sloss (editor), accessed via google books, pg. 501)</w:t>
      </w:r>
    </w:p>
    <w:p w:rsidR="00C45A8F" w:rsidRPr="00135DC6" w:rsidRDefault="00C45A8F" w:rsidP="00C45A8F">
      <w:pPr>
        <w:pStyle w:val="Heading4"/>
        <w:numPr>
          <w:ilvl w:val="0"/>
          <w:numId w:val="1"/>
        </w:numPr>
        <w:rPr>
          <w:rStyle w:val="StyleStyleBold12pt"/>
        </w:rPr>
      </w:pPr>
      <w:r w:rsidRPr="00135DC6">
        <w:rPr>
          <w:rStyle w:val="StyleStyleBold12pt"/>
        </w:rPr>
        <w:t>Decisions that anger powerful social movements will cause the Court to make decisions that realign themselves with that movement—if the Court angers Conservatives, they’ll do something to get back in their good graces:</w:t>
      </w:r>
    </w:p>
    <w:p w:rsidR="00C45A8F" w:rsidRPr="00135DC6" w:rsidRDefault="00C45A8F" w:rsidP="00C45A8F">
      <w:pPr>
        <w:ind w:firstLine="720"/>
        <w:rPr>
          <w:rStyle w:val="StyleStyleBold12pt"/>
        </w:rPr>
      </w:pPr>
      <w:r w:rsidRPr="00135DC6">
        <w:rPr>
          <w:rStyle w:val="StyleStyleBold12pt"/>
        </w:rPr>
        <w:t>Richard H. Fallon, 2005  Jr., Professor of Constitutional Law, Harvard Law School, April 2005</w:t>
      </w:r>
    </w:p>
    <w:p w:rsidR="00C45A8F" w:rsidRPr="00135DC6" w:rsidRDefault="00C45A8F" w:rsidP="00C45A8F">
      <w:pPr>
        <w:pStyle w:val="BodyText2"/>
        <w:ind w:left="720"/>
        <w:rPr>
          <w:rStyle w:val="StyleStyleBold12pt"/>
        </w:rPr>
      </w:pPr>
      <w:r w:rsidRPr="00135DC6">
        <w:rPr>
          <w:rStyle w:val="StyleStyleBold12pt"/>
        </w:rPr>
        <w:t xml:space="preserve">[“Legitimacy and the Constitution,” </w:t>
      </w:r>
      <w:hyperlink r:id="rId16" w:history="1">
        <w:r w:rsidRPr="00135DC6">
          <w:rPr>
            <w:rStyle w:val="StyleStyleBold12pt"/>
          </w:rPr>
          <w:t>http://web.lexis-nexis.com/universe/document?_m=be00e4b6d189ddb647d9365044a5571c&amp;_docnum=1&amp;wchp=dGLbVzb-zSkVb&amp;_md5=7105aae1669b5f945e6a9318b42fc69d</w:t>
        </w:r>
      </w:hyperlink>
      <w:r w:rsidRPr="00135DC6">
        <w:rPr>
          <w:rStyle w:val="StyleStyleBold12pt"/>
        </w:rPr>
        <w:t>, rwg]</w:t>
      </w:r>
    </w:p>
    <w:p w:rsidR="00C45A8F" w:rsidRPr="00135DC6" w:rsidRDefault="00C45A8F" w:rsidP="00C45A8F">
      <w:pPr>
        <w:pStyle w:val="Heading4"/>
        <w:numPr>
          <w:ilvl w:val="0"/>
          <w:numId w:val="1"/>
        </w:numPr>
        <w:rPr>
          <w:rStyle w:val="StyleStyleBold12pt"/>
        </w:rPr>
      </w:pPr>
      <w:r w:rsidRPr="00135DC6">
        <w:rPr>
          <w:rStyle w:val="StyleStyleBold12pt"/>
        </w:rPr>
        <w:t>Conservatives want to overturn Affirmative Action—returning the US back to the Jim Crow era:</w:t>
      </w:r>
    </w:p>
    <w:p w:rsidR="00C45A8F" w:rsidRPr="00135DC6" w:rsidRDefault="00C45A8F" w:rsidP="00C45A8F">
      <w:pPr>
        <w:ind w:left="720"/>
        <w:rPr>
          <w:rStyle w:val="StyleStyleBold12pt"/>
        </w:rPr>
      </w:pPr>
      <w:r w:rsidRPr="00135DC6">
        <w:rPr>
          <w:rStyle w:val="StyleStyleBold12pt"/>
        </w:rPr>
        <w:t>Cho, 2005 professor, DePaul University College of Law, 2005 (Sumi, University of Pennsylvania Journal of Constitutional Law, February, 2005, 7 U. Pa. J. Const. L. 809; Lexis)</w:t>
      </w:r>
    </w:p>
    <w:p w:rsidR="00C45A8F" w:rsidRPr="00135DC6" w:rsidRDefault="00C45A8F" w:rsidP="00C45A8F">
      <w:pPr>
        <w:pStyle w:val="Heading4"/>
        <w:numPr>
          <w:ilvl w:val="0"/>
          <w:numId w:val="1"/>
        </w:numPr>
        <w:rPr>
          <w:rStyle w:val="StyleStyleBold12pt"/>
        </w:rPr>
      </w:pPr>
      <w:r w:rsidRPr="00135DC6">
        <w:rPr>
          <w:rStyle w:val="StyleStyleBold12pt"/>
        </w:rPr>
        <w:t>Affirmative action is key to military readiness:</w:t>
      </w:r>
    </w:p>
    <w:p w:rsidR="00C45A8F" w:rsidRPr="00135DC6" w:rsidRDefault="00C45A8F" w:rsidP="00C45A8F">
      <w:pPr>
        <w:ind w:firstLine="720"/>
        <w:rPr>
          <w:rStyle w:val="StyleStyleBold12pt"/>
        </w:rPr>
      </w:pPr>
      <w:r w:rsidRPr="00135DC6">
        <w:rPr>
          <w:rStyle w:val="StyleStyleBold12pt"/>
        </w:rPr>
        <w:t>TODD NICHOLS, 2003 3/24/2003 (staff writer, “Don't undo good done by affirmative action,”</w:t>
      </w:r>
    </w:p>
    <w:p w:rsidR="00C45A8F" w:rsidRPr="00135DC6" w:rsidRDefault="00B0621A" w:rsidP="00C45A8F">
      <w:pPr>
        <w:ind w:left="720"/>
        <w:rPr>
          <w:rStyle w:val="StyleStyleBold12pt"/>
        </w:rPr>
      </w:pPr>
      <w:hyperlink r:id="rId17" w:history="1">
        <w:r w:rsidR="00C45A8F" w:rsidRPr="00135DC6">
          <w:rPr>
            <w:rStyle w:val="StyleStyleBold12pt"/>
          </w:rPr>
          <w:t>http://www.seattlepi.com/news/article/Don-t-undo-good-done-by-affirmative-action-1110489.php</w:t>
        </w:r>
      </w:hyperlink>
      <w:r w:rsidR="00C45A8F" w:rsidRPr="00135DC6">
        <w:rPr>
          <w:rStyle w:val="StyleStyleBold12pt"/>
        </w:rPr>
        <w:t>, rwg)</w:t>
      </w:r>
    </w:p>
    <w:p w:rsidR="00C45A8F" w:rsidRPr="00135DC6" w:rsidRDefault="00C45A8F" w:rsidP="00C45A8F">
      <w:pPr>
        <w:pStyle w:val="Heading4"/>
        <w:numPr>
          <w:ilvl w:val="0"/>
          <w:numId w:val="1"/>
        </w:numPr>
        <w:rPr>
          <w:rStyle w:val="StyleStyleBold12pt"/>
        </w:rPr>
      </w:pPr>
      <w:r w:rsidRPr="00135DC6">
        <w:rPr>
          <w:rStyle w:val="StyleStyleBold12pt"/>
        </w:rPr>
        <w:t>Readiness solves nuclear war:</w:t>
      </w:r>
    </w:p>
    <w:p w:rsidR="00C45A8F" w:rsidRPr="00135DC6" w:rsidRDefault="00C45A8F" w:rsidP="00C45A8F">
      <w:pPr>
        <w:ind w:left="360"/>
        <w:rPr>
          <w:rStyle w:val="StyleStyleBold12pt"/>
        </w:rPr>
      </w:pPr>
      <w:r w:rsidRPr="00135DC6">
        <w:rPr>
          <w:rStyle w:val="StyleStyleBold12pt"/>
        </w:rPr>
        <w:t xml:space="preserve">Kagan, 2007 (Robert, senior fellow at the Carnegie Endowment for International Peace, “End of Dreams, Return of History”, 7/19, </w:t>
      </w:r>
      <w:hyperlink r:id="rId18" w:history="1">
        <w:r w:rsidRPr="00135DC6">
          <w:rPr>
            <w:rStyle w:val="StyleStyleBold12pt"/>
          </w:rPr>
          <w:t>http://www.hoover.org/publications/policyreview/8552512.html</w:t>
        </w:r>
      </w:hyperlink>
      <w:r w:rsidRPr="00135DC6">
        <w:rPr>
          <w:rStyle w:val="StyleStyleBold12pt"/>
        </w:rPr>
        <w:t>)</w:t>
      </w:r>
    </w:p>
    <w:p w:rsidR="00C45A8F" w:rsidRPr="00135DC6" w:rsidRDefault="0045135A" w:rsidP="00C45A8F">
      <w:pPr>
        <w:pStyle w:val="Heading1"/>
        <w:rPr>
          <w:rStyle w:val="StyleStyleBold12pt"/>
        </w:rPr>
      </w:pPr>
      <w:r w:rsidRPr="00135DC6">
        <w:rPr>
          <w:rStyle w:val="StyleStyleBold12pt"/>
        </w:rPr>
        <w:lastRenderedPageBreak/>
        <w:t>4</w:t>
      </w:r>
    </w:p>
    <w:p w:rsidR="00C45A8F" w:rsidRPr="00135DC6" w:rsidRDefault="00C45A8F" w:rsidP="00C45A8F">
      <w:pPr>
        <w:rPr>
          <w:rStyle w:val="StyleStyleBold12pt"/>
        </w:rPr>
      </w:pPr>
    </w:p>
    <w:p w:rsidR="00C45A8F" w:rsidRPr="00135DC6" w:rsidRDefault="00C45A8F" w:rsidP="00C45A8F">
      <w:pPr>
        <w:pStyle w:val="Heading4"/>
        <w:numPr>
          <w:ilvl w:val="0"/>
          <w:numId w:val="2"/>
        </w:numPr>
        <w:rPr>
          <w:rStyle w:val="StyleStyleBold12pt"/>
        </w:rPr>
      </w:pPr>
      <w:r w:rsidRPr="00135DC6">
        <w:rPr>
          <w:rStyle w:val="StyleStyleBold12pt"/>
        </w:rPr>
        <w:t>The Roberts Court is engaged in a strategy to carefully preserve its legitimacy now:</w:t>
      </w:r>
    </w:p>
    <w:p w:rsidR="00C45A8F" w:rsidRPr="00135DC6" w:rsidRDefault="00C45A8F" w:rsidP="00C45A8F">
      <w:pPr>
        <w:ind w:left="720"/>
        <w:rPr>
          <w:rStyle w:val="StyleStyleBold12pt"/>
        </w:rPr>
      </w:pPr>
      <w:r w:rsidRPr="00135DC6">
        <w:rPr>
          <w:rStyle w:val="StyleStyleBold12pt"/>
        </w:rPr>
        <w:t xml:space="preserve">John Cassidy, 6/26/2013 (“What the G.O.P. Can Learn From DOMA and the Roberts Court,” </w:t>
      </w:r>
      <w:hyperlink r:id="rId19" w:history="1">
        <w:r w:rsidRPr="00135DC6">
          <w:rPr>
            <w:rStyle w:val="StyleStyleBold12pt"/>
          </w:rPr>
          <w:t>http://www.newyorker.com/online/blogs/johncassidy/2013/06/what-john-roberts-can-teach-conservatives.html</w:t>
        </w:r>
      </w:hyperlink>
      <w:r w:rsidRPr="00135DC6">
        <w:rPr>
          <w:rStyle w:val="StyleStyleBold12pt"/>
        </w:rPr>
        <w:t>, Accessed 7/25/2013)</w:t>
      </w:r>
    </w:p>
    <w:p w:rsidR="00C45A8F" w:rsidRPr="00135DC6" w:rsidRDefault="00C45A8F" w:rsidP="00C45A8F">
      <w:pPr>
        <w:pStyle w:val="Heading4"/>
        <w:rPr>
          <w:rStyle w:val="StyleStyleBold12pt"/>
        </w:rPr>
      </w:pPr>
      <w:r w:rsidRPr="00135DC6">
        <w:rPr>
          <w:rStyle w:val="StyleStyleBold12pt"/>
        </w:rPr>
        <w:t>B) Use of customary international law undermines Supreme Court legitimacy:</w:t>
      </w:r>
    </w:p>
    <w:p w:rsidR="00C45A8F" w:rsidRPr="00135DC6" w:rsidRDefault="00C45A8F" w:rsidP="00C45A8F">
      <w:pPr>
        <w:pStyle w:val="NormalWeb"/>
        <w:ind w:left="720"/>
        <w:rPr>
          <w:rStyle w:val="StyleStyleBold12pt"/>
        </w:rPr>
      </w:pPr>
      <w:r w:rsidRPr="00135DC6">
        <w:rPr>
          <w:rStyle w:val="StyleStyleBold12pt"/>
        </w:rPr>
        <w:t>T. Alexander Aleinikoff, 2004 (Associate Dean for research @ Georgetown University Law Center, Jan, 98 A.J.I.L. 91, Lexis, Accessed, 7/23/2013, rwg)</w:t>
      </w:r>
    </w:p>
    <w:p w:rsidR="00C45A8F" w:rsidRPr="00135DC6" w:rsidRDefault="00C45A8F" w:rsidP="00C45A8F">
      <w:pPr>
        <w:rPr>
          <w:rStyle w:val="StyleStyleBold12pt"/>
        </w:rPr>
      </w:pPr>
    </w:p>
    <w:p w:rsidR="00C45A8F" w:rsidRPr="00135DC6" w:rsidRDefault="00C45A8F" w:rsidP="00C45A8F">
      <w:pPr>
        <w:pStyle w:val="Heading4"/>
        <w:rPr>
          <w:rStyle w:val="StyleStyleBold12pt"/>
        </w:rPr>
      </w:pPr>
      <w:bookmarkStart w:id="0" w:name="_Toc236309429"/>
      <w:bookmarkStart w:id="1" w:name="_Toc236372236"/>
      <w:bookmarkStart w:id="2" w:name="_Toc236390625"/>
      <w:r w:rsidRPr="00135DC6">
        <w:rPr>
          <w:rStyle w:val="StyleStyleBold12pt"/>
        </w:rPr>
        <w:t>C)  Loss of legitimacy prevents court from checking military, ensuring nuclear war.</w:t>
      </w:r>
      <w:bookmarkEnd w:id="0"/>
      <w:bookmarkEnd w:id="1"/>
      <w:bookmarkEnd w:id="2"/>
    </w:p>
    <w:p w:rsidR="00C45A8F" w:rsidRPr="00135DC6" w:rsidRDefault="00C45A8F" w:rsidP="00C45A8F">
      <w:pPr>
        <w:pStyle w:val="Nothing"/>
        <w:ind w:firstLine="720"/>
        <w:rPr>
          <w:rStyle w:val="StyleStyleBold12pt"/>
        </w:rPr>
      </w:pPr>
      <w:r w:rsidRPr="00135DC6">
        <w:rPr>
          <w:rStyle w:val="StyleStyleBold12pt"/>
        </w:rPr>
        <w:t>Kellman, prof of law @ DePaul, 1989</w:t>
      </w:r>
    </w:p>
    <w:p w:rsidR="00C45A8F" w:rsidRPr="00135DC6" w:rsidRDefault="00C45A8F" w:rsidP="00C45A8F">
      <w:pPr>
        <w:pStyle w:val="Nothing"/>
        <w:ind w:left="720"/>
        <w:rPr>
          <w:rStyle w:val="StyleStyleBold12pt"/>
        </w:rPr>
      </w:pPr>
      <w:r w:rsidRPr="00135DC6">
        <w:rPr>
          <w:rStyle w:val="StyleStyleBold12pt"/>
        </w:rPr>
        <w:t>(Barry Kellman, prof of law @ DePaul, Dec 1989, “JUDICIAL ABDICATION OF MILITARY TORT ACCOUNTABILITY: BUT WHO IS TO GUARD THE GUARDS THEMSELVES?” 1989 Duke L.J. 1597)</w:t>
      </w:r>
    </w:p>
    <w:p w:rsidR="00C45A8F" w:rsidRPr="00135DC6" w:rsidRDefault="0045135A" w:rsidP="00C45A8F">
      <w:pPr>
        <w:pStyle w:val="Heading1"/>
        <w:rPr>
          <w:rStyle w:val="StyleStyleBold12pt"/>
        </w:rPr>
      </w:pPr>
      <w:r w:rsidRPr="00135DC6">
        <w:rPr>
          <w:rStyle w:val="StyleStyleBold12pt"/>
        </w:rPr>
        <w:lastRenderedPageBreak/>
        <w:t>5</w:t>
      </w:r>
    </w:p>
    <w:p w:rsidR="0045135A" w:rsidRPr="00135DC6" w:rsidRDefault="0045135A" w:rsidP="0045135A">
      <w:pPr>
        <w:rPr>
          <w:rStyle w:val="StyleStyleBold12pt"/>
        </w:rPr>
      </w:pPr>
      <w:r w:rsidRPr="00135DC6">
        <w:rPr>
          <w:rStyle w:val="StyleStyleBold12pt"/>
        </w:rPr>
        <w:t>CP Text: The president of the United States should issue an executive order to substantially increase its economic engagement toward Cuba by ruling that the United States’ occupation of Guantanamo Bay violates international law.</w:t>
      </w:r>
    </w:p>
    <w:p w:rsidR="0045135A" w:rsidRPr="00135DC6" w:rsidRDefault="0045135A" w:rsidP="0045135A">
      <w:pPr>
        <w:pStyle w:val="Heading4"/>
        <w:rPr>
          <w:rStyle w:val="StyleStyleBold12pt"/>
        </w:rPr>
      </w:pPr>
      <w:r w:rsidRPr="00135DC6">
        <w:rPr>
          <w:rStyle w:val="StyleStyleBold12pt"/>
        </w:rPr>
        <w:t>The President is the sole channel of foreign intercourse</w:t>
      </w:r>
    </w:p>
    <w:p w:rsidR="0045135A" w:rsidRPr="00135DC6" w:rsidRDefault="0045135A" w:rsidP="0045135A">
      <w:pPr>
        <w:rPr>
          <w:rStyle w:val="StyleStyleBold12pt"/>
        </w:rPr>
      </w:pPr>
      <w:r w:rsidRPr="00135DC6">
        <w:rPr>
          <w:rStyle w:val="StyleStyleBold12pt"/>
        </w:rPr>
        <w:t>Prakash and Ramsey, 2001</w:t>
      </w:r>
    </w:p>
    <w:p w:rsidR="0045135A" w:rsidRPr="00135DC6" w:rsidRDefault="0045135A" w:rsidP="0045135A">
      <w:pPr>
        <w:rPr>
          <w:rStyle w:val="StyleStyleBold12pt"/>
        </w:rPr>
      </w:pPr>
      <w:r w:rsidRPr="00135DC6">
        <w:rPr>
          <w:rStyle w:val="StyleStyleBold12pt"/>
        </w:rPr>
        <w:t xml:space="preserve">(Saikrishna B and Michael D, The Executive Power over Foreign Affairs, </w:t>
      </w:r>
      <w:hyperlink r:id="rId20" w:history="1">
        <w:r w:rsidRPr="00135DC6">
          <w:rPr>
            <w:rStyle w:val="StyleStyleBold12pt"/>
          </w:rPr>
          <w:t>http://www.yalelawjournal.org/pdf/111-2/PrakashFINAL.pdf</w:t>
        </w:r>
      </w:hyperlink>
      <w:r w:rsidRPr="00135DC6">
        <w:rPr>
          <w:rStyle w:val="StyleStyleBold12pt"/>
        </w:rPr>
        <w:t>, Accessed 7-9-13, RRR)</w:t>
      </w:r>
    </w:p>
    <w:p w:rsidR="0045135A" w:rsidRPr="00135DC6" w:rsidRDefault="0045135A" w:rsidP="0045135A">
      <w:pPr>
        <w:pStyle w:val="Heading4"/>
        <w:rPr>
          <w:rStyle w:val="StyleStyleBold12pt"/>
        </w:rPr>
      </w:pPr>
      <w:r w:rsidRPr="00135DC6">
        <w:rPr>
          <w:rStyle w:val="StyleStyleBold12pt"/>
        </w:rPr>
        <w:t xml:space="preserve">Exectutive action avoids the politics DA – doesn’t spend political capital. </w:t>
      </w:r>
    </w:p>
    <w:p w:rsidR="0045135A" w:rsidRPr="00135DC6" w:rsidRDefault="0045135A" w:rsidP="00135DC6">
      <w:pPr>
        <w:rPr>
          <w:rStyle w:val="StyleStyleBold12pt"/>
        </w:rPr>
      </w:pPr>
      <w:r w:rsidRPr="00135DC6">
        <w:rPr>
          <w:rStyle w:val="StyleStyleBold12pt"/>
        </w:rPr>
        <w:t xml:space="preserve">Howell, Associate Professor of Government @ Harvard University, 5 (William G., Associate Professor of Government @ Harvard University, “Unilateral Powers: A Brief </w:t>
      </w:r>
    </w:p>
    <w:p w:rsidR="00735BAE" w:rsidRPr="00135DC6" w:rsidRDefault="00735BAE" w:rsidP="00C45A8F">
      <w:pPr>
        <w:rPr>
          <w:rStyle w:val="StyleStyleBold12pt"/>
        </w:rPr>
      </w:pPr>
    </w:p>
    <w:p w:rsidR="00735BAE" w:rsidRPr="00135DC6" w:rsidRDefault="00735BAE" w:rsidP="00735BAE">
      <w:pPr>
        <w:pStyle w:val="Heading1"/>
        <w:rPr>
          <w:rStyle w:val="StyleStyleBold12pt"/>
        </w:rPr>
      </w:pPr>
      <w:r w:rsidRPr="00135DC6">
        <w:rPr>
          <w:rStyle w:val="StyleStyleBold12pt"/>
        </w:rPr>
        <w:lastRenderedPageBreak/>
        <w:t>K</w:t>
      </w:r>
    </w:p>
    <w:p w:rsidR="00735BAE" w:rsidRPr="00135DC6" w:rsidRDefault="00735BAE" w:rsidP="00735BAE">
      <w:pPr>
        <w:rPr>
          <w:rStyle w:val="StyleStyleBold12pt"/>
        </w:rPr>
      </w:pPr>
    </w:p>
    <w:p w:rsidR="00735BAE" w:rsidRPr="00135DC6" w:rsidRDefault="00735BAE" w:rsidP="00735BAE">
      <w:pPr>
        <w:rPr>
          <w:rStyle w:val="StyleStyleBold12pt"/>
        </w:rPr>
      </w:pPr>
    </w:p>
    <w:p w:rsidR="00654FB9" w:rsidRPr="00135DC6" w:rsidRDefault="00654FB9" w:rsidP="00654FB9">
      <w:pPr>
        <w:pStyle w:val="Heading4"/>
        <w:rPr>
          <w:rStyle w:val="StyleStyleBold12pt"/>
        </w:rPr>
      </w:pPr>
      <w:r w:rsidRPr="00135DC6">
        <w:rPr>
          <w:rStyle w:val="StyleStyleBold12pt"/>
        </w:rPr>
        <w:t xml:space="preserve">The 1AC 's problem-solution rhetoric addresses danger from a managerial perspective. This way of being educates us in to believing that the earth and humans are disposable tools. </w:t>
      </w:r>
    </w:p>
    <w:p w:rsidR="00654FB9" w:rsidRPr="00135DC6" w:rsidRDefault="00654FB9" w:rsidP="00654FB9">
      <w:pPr>
        <w:rPr>
          <w:rStyle w:val="StyleStyleBold12pt"/>
        </w:rPr>
      </w:pPr>
    </w:p>
    <w:p w:rsidR="00654FB9" w:rsidRPr="00135DC6" w:rsidRDefault="00654FB9" w:rsidP="00654FB9">
      <w:pPr>
        <w:rPr>
          <w:rStyle w:val="StyleStyleBold12pt"/>
        </w:rPr>
      </w:pPr>
      <w:r w:rsidRPr="00135DC6">
        <w:rPr>
          <w:rStyle w:val="StyleStyleBold12pt"/>
        </w:rPr>
        <w:t>McWhorter 92 (Ladelle, Heidegger and the Earth Essays in Environmental Philosophy, Thomas Jefferson University Press, pg.6)</w:t>
      </w:r>
    </w:p>
    <w:p w:rsidR="00654FB9" w:rsidRPr="00135DC6" w:rsidRDefault="00654FB9" w:rsidP="00654FB9">
      <w:pPr>
        <w:rPr>
          <w:rStyle w:val="StyleStyleBold12pt"/>
        </w:rPr>
      </w:pPr>
    </w:p>
    <w:p w:rsidR="00735BAE" w:rsidRPr="00135DC6" w:rsidRDefault="00735BAE" w:rsidP="00735BAE">
      <w:pPr>
        <w:pStyle w:val="Heading4"/>
        <w:rPr>
          <w:rStyle w:val="StyleStyleBold12pt"/>
        </w:rPr>
      </w:pPr>
      <w:r w:rsidRPr="00135DC6">
        <w:rPr>
          <w:rStyle w:val="StyleStyleBold12pt"/>
        </w:rPr>
        <w:t>Moral discourse is a link – it reaffirms power over the Earth and polices us in to a technological mindset.</w:t>
      </w:r>
    </w:p>
    <w:p w:rsidR="00735BAE" w:rsidRPr="00135DC6" w:rsidRDefault="00735BAE" w:rsidP="00735BAE">
      <w:pPr>
        <w:autoSpaceDE w:val="0"/>
        <w:jc w:val="both"/>
        <w:rPr>
          <w:rStyle w:val="StyleStyleBold12pt"/>
        </w:rPr>
      </w:pPr>
      <w:r w:rsidRPr="00135DC6">
        <w:rPr>
          <w:rStyle w:val="StyleStyleBold12pt"/>
          <w:highlight w:val="lightGray"/>
        </w:rPr>
        <w:t>McWhorter '92</w:t>
      </w:r>
      <w:r w:rsidRPr="00135DC6">
        <w:rPr>
          <w:rStyle w:val="StyleStyleBold12pt"/>
        </w:rPr>
        <w:t xml:space="preserve"> [Assistant Professor of Philosophy at Northeast Missouri State University (Ladelle, Heidegger and the Earth, ed. by Ladelle McWhorter)JRC]</w:t>
      </w:r>
    </w:p>
    <w:p w:rsidR="00735BAE" w:rsidRPr="00135DC6" w:rsidRDefault="00735BAE" w:rsidP="00735BAE">
      <w:pPr>
        <w:autoSpaceDE w:val="0"/>
        <w:jc w:val="both"/>
        <w:rPr>
          <w:rStyle w:val="StyleStyleBold12pt"/>
        </w:rPr>
      </w:pPr>
      <w:r w:rsidRPr="00135DC6">
        <w:rPr>
          <w:rStyle w:val="StyleStyleBold12pt"/>
          <w:highlight w:val="lightGray"/>
        </w:rPr>
        <w:t>the earth is not a change of heart but is rather a perpetuation of human domination.'</w:t>
      </w:r>
    </w:p>
    <w:p w:rsidR="00735BAE" w:rsidRPr="00135DC6" w:rsidRDefault="00735BAE" w:rsidP="00735BAE">
      <w:pPr>
        <w:rPr>
          <w:rStyle w:val="StyleStyleBold12pt"/>
        </w:rPr>
      </w:pPr>
    </w:p>
    <w:p w:rsidR="00735BAE" w:rsidRPr="00135DC6" w:rsidRDefault="00735BAE" w:rsidP="00735BAE">
      <w:pPr>
        <w:pStyle w:val="Heading4"/>
        <w:rPr>
          <w:rStyle w:val="StyleStyleBold12pt"/>
        </w:rPr>
      </w:pPr>
      <w:r w:rsidRPr="00135DC6">
        <w:rPr>
          <w:rStyle w:val="StyleStyleBold12pt"/>
        </w:rPr>
        <w:t>In order to find a different relationship to technology the alternative is to do nothing because only doing nothing allows for a new destining of being.</w:t>
      </w:r>
    </w:p>
    <w:p w:rsidR="00735BAE" w:rsidRPr="00135DC6" w:rsidRDefault="00735BAE" w:rsidP="00735BAE">
      <w:pPr>
        <w:rPr>
          <w:rStyle w:val="StyleStyleBold12pt"/>
        </w:rPr>
      </w:pPr>
    </w:p>
    <w:p w:rsidR="00735BAE" w:rsidRPr="00135DC6" w:rsidRDefault="00735BAE" w:rsidP="00735BAE">
      <w:pPr>
        <w:rPr>
          <w:rStyle w:val="StyleStyleBold12pt"/>
        </w:rPr>
      </w:pPr>
      <w:r w:rsidRPr="00135DC6">
        <w:rPr>
          <w:rStyle w:val="StyleStyleBold12pt"/>
        </w:rPr>
        <w:t xml:space="preserve">Harman in 09 (Graham, Professor of Philosophy @ American University in Cairo, “Cambridge Journal of Economics”, 2009, Vol. 34(1), Technology, objects and things in Heidegger p.17-25) </w:t>
      </w:r>
    </w:p>
    <w:p w:rsidR="00735BAE" w:rsidRPr="00135DC6" w:rsidRDefault="00735BAE" w:rsidP="00735BAE">
      <w:pPr>
        <w:rPr>
          <w:rStyle w:val="StyleStyleBold12pt"/>
        </w:rPr>
      </w:pPr>
    </w:p>
    <w:p w:rsidR="00735BAE" w:rsidRPr="00135DC6" w:rsidRDefault="00735BAE" w:rsidP="00735BAE">
      <w:pPr>
        <w:rPr>
          <w:rStyle w:val="StyleStyleBold12pt"/>
        </w:rPr>
      </w:pPr>
    </w:p>
    <w:p w:rsidR="00C45A8F" w:rsidRPr="00135DC6" w:rsidRDefault="00C45A8F" w:rsidP="00C45A8F">
      <w:pPr>
        <w:pStyle w:val="Heading1"/>
        <w:rPr>
          <w:rStyle w:val="StyleStyleBold12pt"/>
        </w:rPr>
      </w:pPr>
      <w:r w:rsidRPr="00135DC6">
        <w:rPr>
          <w:rStyle w:val="StyleStyleBold12pt"/>
        </w:rPr>
        <w:lastRenderedPageBreak/>
        <w:t>Case</w:t>
      </w:r>
    </w:p>
    <w:p w:rsidR="00C45A8F" w:rsidRPr="00135DC6" w:rsidRDefault="00C45A8F" w:rsidP="00C45A8F">
      <w:pPr>
        <w:keepNext/>
        <w:keepLines/>
        <w:spacing w:before="200"/>
        <w:outlineLvl w:val="4"/>
        <w:rPr>
          <w:rStyle w:val="StyleStyleBold12pt"/>
        </w:rPr>
      </w:pPr>
      <w:r w:rsidRPr="00135DC6">
        <w:rPr>
          <w:rStyle w:val="StyleStyleBold12pt"/>
        </w:rPr>
        <w:t>1. Nuclear weapons cause extinction</w:t>
      </w:r>
    </w:p>
    <w:p w:rsidR="00C45A8F" w:rsidRPr="00135DC6" w:rsidRDefault="00C45A8F" w:rsidP="00C45A8F">
      <w:pPr>
        <w:rPr>
          <w:rStyle w:val="StyleStyleBold12pt"/>
        </w:rPr>
      </w:pPr>
      <w:r w:rsidRPr="00135DC6">
        <w:rPr>
          <w:rStyle w:val="StyleStyleBold12pt"/>
        </w:rPr>
        <w:t>Nissani 1992 (Associate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C45A8F" w:rsidRPr="00135DC6" w:rsidRDefault="00C45A8F" w:rsidP="00C45A8F">
      <w:pPr>
        <w:rPr>
          <w:rStyle w:val="StyleStyleBold12pt"/>
        </w:rPr>
      </w:pPr>
      <w:r w:rsidRPr="00135DC6">
        <w:rPr>
          <w:rStyle w:val="StyleStyleBold12pt"/>
        </w:rPr>
        <w:t>2. Great Power War is a real global threat- their ev is wishful thinking</w:t>
      </w:r>
    </w:p>
    <w:p w:rsidR="00C45A8F" w:rsidRPr="00135DC6" w:rsidRDefault="00C45A8F" w:rsidP="00C45A8F">
      <w:pPr>
        <w:rPr>
          <w:rStyle w:val="StyleStyleBold12pt"/>
        </w:rPr>
      </w:pPr>
      <w:r w:rsidRPr="00135DC6">
        <w:rPr>
          <w:rStyle w:val="StyleStyleBold12pt"/>
        </w:rPr>
        <w:t>Ross 9 (Douglas,  Founding director ofthe Canadian Centre for Arms Controland Disarmament in 1983 and served onthe national policy advisory group forthe Canadian Ambassadors forDisarmament from 1986 to 1993. He is aprofessor in the Political ScienceDepartment at SFU “ Weapons of Mass Destruction and the End of War?” 2009  Violence and its Alternatives—The Continuing Series www.humanities-online.ca/index.php/humanities/article/view/60/62)</w:t>
      </w:r>
    </w:p>
    <w:p w:rsidR="00C45A8F" w:rsidRPr="00135DC6" w:rsidRDefault="00C45A8F" w:rsidP="00C45A8F">
      <w:pPr>
        <w:pStyle w:val="Cards"/>
        <w:rPr>
          <w:rStyle w:val="StyleStyleBold12pt"/>
        </w:rPr>
      </w:pPr>
      <w:r w:rsidRPr="00135DC6">
        <w:rPr>
          <w:rStyle w:val="StyleStyleBold12pt"/>
        </w:rPr>
        <w:t xml:space="preserve"> </w:t>
      </w:r>
    </w:p>
    <w:p w:rsidR="00C45A8F" w:rsidRPr="00135DC6" w:rsidRDefault="00C45A8F" w:rsidP="00C45A8F">
      <w:pPr>
        <w:keepNext/>
        <w:keepLines/>
        <w:spacing w:before="200"/>
        <w:outlineLvl w:val="4"/>
        <w:rPr>
          <w:rStyle w:val="StyleStyleBold12pt"/>
        </w:rPr>
      </w:pPr>
      <w:r w:rsidRPr="00135DC6">
        <w:rPr>
          <w:rStyle w:val="StyleStyleBold12pt"/>
        </w:rPr>
        <w:t>3. Nuclear taboo doesn’t check back against a deliberate war</w:t>
      </w:r>
    </w:p>
    <w:p w:rsidR="00C45A8F" w:rsidRPr="00135DC6" w:rsidRDefault="00C45A8F" w:rsidP="00C45A8F">
      <w:pPr>
        <w:pStyle w:val="CardIndented"/>
        <w:ind w:left="0"/>
        <w:rPr>
          <w:rStyle w:val="StyleStyleBold12pt"/>
        </w:rPr>
      </w:pPr>
    </w:p>
    <w:p w:rsidR="00C45A8F" w:rsidRPr="00135DC6" w:rsidRDefault="00C45A8F" w:rsidP="00C45A8F">
      <w:pPr>
        <w:keepNext/>
        <w:keepLines/>
        <w:spacing w:before="200"/>
        <w:outlineLvl w:val="3"/>
        <w:rPr>
          <w:rStyle w:val="StyleStyleBold12pt"/>
        </w:rPr>
      </w:pPr>
      <w:r w:rsidRPr="00135DC6">
        <w:rPr>
          <w:rStyle w:val="StyleStyleBold12pt"/>
        </w:rPr>
        <w:t>4. Even a small nuclear conflict could cause extinction and turn warming. Plus nuclear deterrence fails.</w:t>
      </w:r>
    </w:p>
    <w:p w:rsidR="00C45A8F" w:rsidRPr="00135DC6" w:rsidRDefault="00C45A8F" w:rsidP="00C45A8F">
      <w:pPr>
        <w:rPr>
          <w:rStyle w:val="StyleStyleBold12pt"/>
        </w:rPr>
      </w:pPr>
      <w:r w:rsidRPr="00135DC6">
        <w:rPr>
          <w:rStyle w:val="StyleStyleBold12pt"/>
        </w:rPr>
        <w:t xml:space="preserve">Starr no date(Director of the Clinical Laboratory Science Program at the University of Missouri)(Deadly Climate Change From Nuclear War: A threat to human existence, Steven Starr, Senior Scientist with Physicians for Social Responsibility, </w:t>
      </w:r>
      <w:hyperlink r:id="rId21" w:history="1">
        <w:r w:rsidRPr="00135DC6">
          <w:rPr>
            <w:rStyle w:val="StyleStyleBold12pt"/>
          </w:rPr>
          <w:t>http://www.nuclearfiles.org/menu/key-issues/nuclear-weapons/issues/effects/PDFs/starr_climate_change.pdf</w:t>
        </w:r>
      </w:hyperlink>
      <w:r w:rsidRPr="00135DC6">
        <w:rPr>
          <w:rStyle w:val="StyleStyleBold12pt"/>
        </w:rPr>
        <w:t>, posted to nucleardarkness.org)</w:t>
      </w:r>
    </w:p>
    <w:p w:rsidR="00C45A8F" w:rsidRPr="00135DC6" w:rsidRDefault="00C45A8F" w:rsidP="00C45A8F">
      <w:pPr>
        <w:keepNext/>
        <w:keepLines/>
        <w:spacing w:before="200"/>
        <w:outlineLvl w:val="4"/>
        <w:rPr>
          <w:rStyle w:val="StyleStyleBold12pt"/>
        </w:rPr>
      </w:pPr>
      <w:r w:rsidRPr="00135DC6">
        <w:rPr>
          <w:rStyle w:val="StyleStyleBold12pt"/>
        </w:rPr>
        <w:t>5. Turn: can’t solve accidents – that causes nuclear war and extinction</w:t>
      </w:r>
    </w:p>
    <w:p w:rsidR="00C45A8F" w:rsidRPr="00135DC6" w:rsidRDefault="00C45A8F" w:rsidP="00C45A8F">
      <w:pPr>
        <w:rPr>
          <w:rStyle w:val="StyleStyleBold12pt"/>
        </w:rPr>
      </w:pPr>
      <w:r w:rsidRPr="00135DC6">
        <w:rPr>
          <w:rStyle w:val="StyleStyleBold12pt"/>
        </w:rPr>
        <w:t>Nissani 1992 (Associate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C45A8F" w:rsidRPr="00135DC6" w:rsidRDefault="00C45A8F" w:rsidP="00C45A8F">
      <w:pPr>
        <w:pStyle w:val="CardIndented"/>
        <w:ind w:left="0"/>
        <w:rPr>
          <w:rStyle w:val="StyleStyleBold12pt"/>
        </w:rPr>
      </w:pPr>
    </w:p>
    <w:p w:rsidR="00C45A8F" w:rsidRPr="00135DC6" w:rsidRDefault="00C45A8F" w:rsidP="00C45A8F">
      <w:pPr>
        <w:keepNext/>
        <w:keepLines/>
        <w:spacing w:before="200"/>
        <w:outlineLvl w:val="4"/>
        <w:rPr>
          <w:rStyle w:val="StyleStyleBold12pt"/>
        </w:rPr>
      </w:pPr>
      <w:r w:rsidRPr="00135DC6">
        <w:rPr>
          <w:rStyle w:val="StyleStyleBold12pt"/>
        </w:rPr>
        <w:t>6. Can’t solve nuclear proliferation – that causes nuclear war and extinction</w:t>
      </w:r>
    </w:p>
    <w:p w:rsidR="00C45A8F" w:rsidRPr="00135DC6" w:rsidRDefault="00C45A8F" w:rsidP="00C45A8F">
      <w:pPr>
        <w:rPr>
          <w:rStyle w:val="StyleStyleBold12pt"/>
        </w:rPr>
      </w:pPr>
      <w:r w:rsidRPr="00135DC6">
        <w:rPr>
          <w:rStyle w:val="StyleStyleBold12pt"/>
        </w:rPr>
        <w:t xml:space="preserve">Nissani 1992 (Associate Professor of genetics, campaign financing, environmental science and politics, greenhouse effect, English, media studies, cold war history, </w:t>
      </w:r>
      <w:r w:rsidRPr="00135DC6">
        <w:rPr>
          <w:rStyle w:val="StyleStyleBold12pt"/>
        </w:rPr>
        <w:lastRenderedPageBreak/>
        <w:t>critical thinking, philosophy, cognitive psychology) (Moti “Lives in the Balance: the Cold War and American Politics” ch 2 http://www.is.wayne.edu/mnissani/PAGEPUB/CH2.html)</w:t>
      </w:r>
    </w:p>
    <w:p w:rsidR="00735BAE" w:rsidRPr="00135DC6" w:rsidRDefault="00735BAE" w:rsidP="00735BAE">
      <w:pPr>
        <w:pStyle w:val="Heading4"/>
        <w:rPr>
          <w:rStyle w:val="StyleStyleBold12pt"/>
        </w:rPr>
      </w:pPr>
      <w:r w:rsidRPr="00135DC6">
        <w:rPr>
          <w:rStyle w:val="StyleStyleBold12pt"/>
        </w:rPr>
        <w:t>Obama pushing for Gitmo closure</w:t>
      </w:r>
    </w:p>
    <w:p w:rsidR="00735BAE" w:rsidRPr="00135DC6" w:rsidRDefault="00735BAE" w:rsidP="00735BAE">
      <w:pPr>
        <w:rPr>
          <w:rStyle w:val="StyleStyleBold12pt"/>
        </w:rPr>
      </w:pPr>
      <w:r w:rsidRPr="00135DC6">
        <w:rPr>
          <w:rStyle w:val="StyleStyleBold12pt"/>
        </w:rPr>
        <w:t xml:space="preserve">WUSA, 13 (“President Obama Reiterates Need To Close Guantanamo Bay”, 2:25 PM, Apr 30, 2013, Online, </w:t>
      </w:r>
      <w:hyperlink r:id="rId22" w:history="1">
        <w:r w:rsidRPr="00135DC6">
          <w:rPr>
            <w:rStyle w:val="StyleStyleBold12pt"/>
          </w:rPr>
          <w:t>http://www.wusa9.com/news/local/story.aspx?storyid=257227</w:t>
        </w:r>
      </w:hyperlink>
      <w:r w:rsidRPr="00135DC6">
        <w:rPr>
          <w:rStyle w:val="StyleStyleBold12pt"/>
        </w:rPr>
        <w:t>, accessed 7/23/13) PE</w:t>
      </w:r>
    </w:p>
    <w:p w:rsidR="00735BAE" w:rsidRPr="00135DC6" w:rsidRDefault="00735BAE" w:rsidP="00735BAE">
      <w:pPr>
        <w:rPr>
          <w:rStyle w:val="StyleStyleBold12pt"/>
        </w:rPr>
      </w:pPr>
    </w:p>
    <w:p w:rsidR="00735BAE" w:rsidRPr="00135DC6" w:rsidRDefault="00735BAE" w:rsidP="00735BAE">
      <w:pPr>
        <w:pStyle w:val="Heading4"/>
        <w:rPr>
          <w:rStyle w:val="StyleStyleBold12pt"/>
        </w:rPr>
      </w:pPr>
      <w:r w:rsidRPr="00135DC6">
        <w:rPr>
          <w:rStyle w:val="StyleStyleBold12pt"/>
        </w:rPr>
        <w:t>No law stops Obama from closing Gitmo</w:t>
      </w:r>
    </w:p>
    <w:p w:rsidR="00735BAE" w:rsidRPr="00135DC6" w:rsidRDefault="00735BAE" w:rsidP="00735BAE">
      <w:pPr>
        <w:rPr>
          <w:rStyle w:val="StyleStyleBold12pt"/>
        </w:rPr>
      </w:pPr>
      <w:r w:rsidRPr="00135DC6">
        <w:rPr>
          <w:rStyle w:val="StyleStyleBold12pt"/>
        </w:rPr>
        <w:t>Posner, 2013 (Eric Posner, Eric Posner, a professor at the University of Chicago Law School, is a co-author of The Executive Unbound: After the Madisonian Republic and Climate Change Justice, “President Obama Can Shut Guantanamo Whenever He Wants”, Slate, 5/2/13, http://www.slate.com/articles/news_and_politics/view_from_chicago/2013/05/president_obama_can_shut_guantanamo_whenever_he_wants_to.html)</w:t>
      </w:r>
    </w:p>
    <w:p w:rsidR="00735BAE" w:rsidRPr="00135DC6" w:rsidRDefault="00735BAE" w:rsidP="00735BAE">
      <w:pPr>
        <w:rPr>
          <w:rStyle w:val="StyleStyleBold12pt"/>
        </w:rPr>
      </w:pPr>
    </w:p>
    <w:p w:rsidR="00735BAE" w:rsidRPr="00135DC6" w:rsidRDefault="00735BAE" w:rsidP="00735BAE">
      <w:pPr>
        <w:pStyle w:val="Heading4"/>
        <w:rPr>
          <w:rStyle w:val="StyleStyleBold12pt"/>
        </w:rPr>
      </w:pPr>
      <w:r w:rsidRPr="00135DC6">
        <w:rPr>
          <w:rStyle w:val="StyleStyleBold12pt"/>
        </w:rPr>
        <w:t>Obama pushing to close Gitmo</w:t>
      </w:r>
    </w:p>
    <w:p w:rsidR="00735BAE" w:rsidRPr="00135DC6" w:rsidRDefault="00735BAE" w:rsidP="00735BAE">
      <w:pPr>
        <w:rPr>
          <w:rStyle w:val="StyleStyleBold12pt"/>
        </w:rPr>
      </w:pPr>
      <w:r w:rsidRPr="00135DC6">
        <w:rPr>
          <w:rStyle w:val="StyleStyleBold12pt"/>
        </w:rPr>
        <w:t>Dougherty, 2013 (Jill Dougherty, the foreign affairs correspondent for CNN. Based in the network’s Washington, D.C., bureau, Dougherty covers U.S. foreign policy. In addition to reporting on news developments from the State Department, she provides analysis on international issues across multiple CNN platforms and has traveled widely with Secretary of State Hillary Clinton to Europe, Asia and the Middle East. She has reported from more than 50 countries, including Afghanistan, Iraq and North Korea, “Obama to name D.C. lawyer to lead Guantanamo Bay closure”, CNN, 6/17/13, http://politicalticker.blogs.cnn.com/2013/06/17/obama-to-name-d-c-lawyer-to-lead-guantanamo-bay-closure/)</w:t>
      </w:r>
    </w:p>
    <w:p w:rsidR="00C45A8F" w:rsidRPr="00135DC6" w:rsidRDefault="00C45A8F" w:rsidP="00C45A8F">
      <w:pPr>
        <w:pStyle w:val="Heading4"/>
        <w:rPr>
          <w:rStyle w:val="StyleStyleBold12pt"/>
        </w:rPr>
      </w:pPr>
      <w:r w:rsidRPr="00135DC6">
        <w:rPr>
          <w:rStyle w:val="StyleStyleBold12pt"/>
        </w:rPr>
        <w:t>The means/ends distinction is inevitable and a moral cop out. There are no absolutes. You have to weigh comparative risks</w:t>
      </w:r>
    </w:p>
    <w:p w:rsidR="00C45A8F" w:rsidRPr="00135DC6" w:rsidRDefault="00C45A8F" w:rsidP="00C45A8F">
      <w:pPr>
        <w:rPr>
          <w:rStyle w:val="StyleStyleBold12pt"/>
        </w:rPr>
      </w:pPr>
      <w:r w:rsidRPr="00135DC6">
        <w:rPr>
          <w:rStyle w:val="StyleStyleBold12pt"/>
        </w:rPr>
        <w:t xml:space="preserve">Saul D. </w:t>
      </w:r>
      <w:r w:rsidRPr="00135DC6">
        <w:rPr>
          <w:rStyle w:val="StyleStyleBold12pt"/>
          <w:highlight w:val="yellow"/>
        </w:rPr>
        <w:t>Alinsky</w:t>
      </w:r>
      <w:r w:rsidRPr="00135DC6">
        <w:rPr>
          <w:rStyle w:val="StyleStyleBold12pt"/>
        </w:rPr>
        <w:t xml:space="preserve">, Activist, Professor, and Social Organizer with International Fame, Founder of the Industrial Areas Foundation, Rules for Radicals, </w:t>
      </w:r>
      <w:r w:rsidRPr="00135DC6">
        <w:rPr>
          <w:rStyle w:val="StyleStyleBold12pt"/>
          <w:highlight w:val="yellow"/>
        </w:rPr>
        <w:t>-71</w:t>
      </w:r>
      <w:r w:rsidRPr="00135DC6">
        <w:rPr>
          <w:rStyle w:val="StyleStyleBold12pt"/>
        </w:rPr>
        <w:t>, p. 24-27</w:t>
      </w:r>
    </w:p>
    <w:p w:rsidR="00C45A8F" w:rsidRPr="00135DC6" w:rsidRDefault="00C45A8F" w:rsidP="00C45A8F">
      <w:pPr>
        <w:rPr>
          <w:rStyle w:val="StyleStyleBold12pt"/>
        </w:rPr>
      </w:pPr>
      <w:bookmarkStart w:id="3" w:name="_GoBack"/>
      <w:bookmarkEnd w:id="3"/>
    </w:p>
    <w:p w:rsidR="00C45A8F" w:rsidRPr="00135DC6" w:rsidRDefault="00C45A8F" w:rsidP="00C45A8F">
      <w:pPr>
        <w:rPr>
          <w:rStyle w:val="StyleStyleBold12pt"/>
        </w:rPr>
      </w:pPr>
    </w:p>
    <w:sectPr w:rsidR="00C45A8F" w:rsidRPr="00135D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21A" w:rsidRDefault="00B0621A" w:rsidP="005F5576">
      <w:r>
        <w:separator/>
      </w:r>
    </w:p>
  </w:endnote>
  <w:endnote w:type="continuationSeparator" w:id="0">
    <w:p w:rsidR="00B0621A" w:rsidRDefault="00B062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21A" w:rsidRDefault="00B0621A" w:rsidP="005F5576">
      <w:r>
        <w:separator/>
      </w:r>
    </w:p>
  </w:footnote>
  <w:footnote w:type="continuationSeparator" w:id="0">
    <w:p w:rsidR="00B0621A" w:rsidRDefault="00B062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B53E1"/>
    <w:multiLevelType w:val="hybridMultilevel"/>
    <w:tmpl w:val="23C838AA"/>
    <w:lvl w:ilvl="0" w:tplc="DF1237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866D0"/>
    <w:multiLevelType w:val="hybridMultilevel"/>
    <w:tmpl w:val="97423546"/>
    <w:lvl w:ilvl="0" w:tplc="39CCB11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DC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E7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35A"/>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4FB9"/>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104"/>
    <w:rsid w:val="00711FE2"/>
    <w:rsid w:val="00712649"/>
    <w:rsid w:val="007149F2"/>
    <w:rsid w:val="00714BC9"/>
    <w:rsid w:val="00723F91"/>
    <w:rsid w:val="00725623"/>
    <w:rsid w:val="00735BA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85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21A"/>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5A8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3B"/>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1D9D"/>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83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34BA54-8569-478A-A129-C02A93E2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35DC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5D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5D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5D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tags,Heading 2 Char2 Char,TAG,Card"/>
    <w:basedOn w:val="Normal"/>
    <w:next w:val="Normal"/>
    <w:link w:val="Heading4Char"/>
    <w:uiPriority w:val="4"/>
    <w:qFormat/>
    <w:rsid w:val="00135D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35D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DC6"/>
  </w:style>
  <w:style w:type="character" w:customStyle="1" w:styleId="Heading1Char">
    <w:name w:val="Heading 1 Char"/>
    <w:aliases w:val="Pocket Char"/>
    <w:basedOn w:val="DefaultParagraphFont"/>
    <w:link w:val="Heading1"/>
    <w:uiPriority w:val="1"/>
    <w:rsid w:val="00135D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5D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
    <w:basedOn w:val="DefaultParagraphFont"/>
    <w:link w:val="textbold"/>
    <w:uiPriority w:val="7"/>
    <w:qFormat/>
    <w:rsid w:val="00135D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5DC6"/>
    <w:rPr>
      <w:b/>
      <w:bCs/>
    </w:rPr>
  </w:style>
  <w:style w:type="character" w:customStyle="1" w:styleId="Heading3Char">
    <w:name w:val="Heading 3 Char"/>
    <w:aliases w:val="Block Char"/>
    <w:basedOn w:val="DefaultParagraphFont"/>
    <w:link w:val="Heading3"/>
    <w:uiPriority w:val="3"/>
    <w:rsid w:val="00135DC6"/>
    <w:rPr>
      <w:rFonts w:ascii="Calibri" w:eastAsiaTheme="majorEastAsia" w:hAnsi="Calibri" w:cstheme="majorBidi"/>
      <w:b/>
      <w:bCs/>
      <w:sz w:val="32"/>
      <w:u w:val="single"/>
    </w:rPr>
  </w:style>
  <w:style w:type="character" w:customStyle="1" w:styleId="TitleChar">
    <w:name w:val="Title Char"/>
    <w:aliases w:val="Cites and Cards Char,UNDERLINE Char,Bold Underlined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5DC6"/>
    <w:rPr>
      <w:b/>
      <w:bCs/>
      <w:sz w:val="26"/>
      <w:u w:val="none"/>
    </w:rPr>
  </w:style>
  <w:style w:type="paragraph" w:styleId="Header">
    <w:name w:val="header"/>
    <w:basedOn w:val="Normal"/>
    <w:link w:val="HeaderChar"/>
    <w:uiPriority w:val="99"/>
    <w:semiHidden/>
    <w:rsid w:val="00135DC6"/>
    <w:pPr>
      <w:tabs>
        <w:tab w:val="center" w:pos="4680"/>
        <w:tab w:val="right" w:pos="9360"/>
      </w:tabs>
    </w:pPr>
  </w:style>
  <w:style w:type="character" w:customStyle="1" w:styleId="HeaderChar">
    <w:name w:val="Header Char"/>
    <w:basedOn w:val="DefaultParagraphFont"/>
    <w:link w:val="Header"/>
    <w:uiPriority w:val="99"/>
    <w:semiHidden/>
    <w:rsid w:val="00135DC6"/>
    <w:rPr>
      <w:rFonts w:ascii="Calibri" w:hAnsi="Calibri" w:cs="Calibri"/>
    </w:rPr>
  </w:style>
  <w:style w:type="paragraph" w:styleId="Footer">
    <w:name w:val="footer"/>
    <w:basedOn w:val="Normal"/>
    <w:link w:val="FooterChar"/>
    <w:uiPriority w:val="99"/>
    <w:semiHidden/>
    <w:rsid w:val="00135DC6"/>
    <w:pPr>
      <w:tabs>
        <w:tab w:val="center" w:pos="4680"/>
        <w:tab w:val="right" w:pos="9360"/>
      </w:tabs>
    </w:pPr>
  </w:style>
  <w:style w:type="character" w:customStyle="1" w:styleId="FooterChar">
    <w:name w:val="Footer Char"/>
    <w:basedOn w:val="DefaultParagraphFont"/>
    <w:link w:val="Footer"/>
    <w:uiPriority w:val="99"/>
    <w:semiHidden/>
    <w:rsid w:val="00135DC6"/>
    <w:rPr>
      <w:rFonts w:ascii="Calibri" w:hAnsi="Calibri" w:cs="Calibri"/>
    </w:rPr>
  </w:style>
  <w:style w:type="character" w:styleId="Hyperlink">
    <w:name w:val="Hyperlink"/>
    <w:aliases w:val="heading 1 (block title),Important,Read,Card Text,Internet Link"/>
    <w:basedOn w:val="DefaultParagraphFont"/>
    <w:uiPriority w:val="99"/>
    <w:rsid w:val="00135DC6"/>
    <w:rPr>
      <w:color w:val="auto"/>
      <w:u w:val="none"/>
    </w:rPr>
  </w:style>
  <w:style w:type="character" w:styleId="FollowedHyperlink">
    <w:name w:val="FollowedHyperlink"/>
    <w:basedOn w:val="DefaultParagraphFont"/>
    <w:uiPriority w:val="99"/>
    <w:semiHidden/>
    <w:rsid w:val="00135DC6"/>
    <w:rPr>
      <w:color w:val="auto"/>
      <w:u w:val="non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rsid w:val="00135DC6"/>
    <w:rPr>
      <w:rFonts w:ascii="Calibri" w:eastAsiaTheme="majorEastAsia" w:hAnsi="Calibri" w:cstheme="majorBidi"/>
      <w:b/>
      <w:bCs/>
      <w:iCs/>
      <w:sz w:val="26"/>
    </w:rPr>
  </w:style>
  <w:style w:type="paragraph" w:styleId="BodyText2">
    <w:name w:val="Body Text 2"/>
    <w:basedOn w:val="Normal"/>
    <w:link w:val="BodyText2Char"/>
    <w:rsid w:val="00C45A8F"/>
    <w:rPr>
      <w:rFonts w:eastAsia="Times New Roman"/>
      <w:szCs w:val="24"/>
    </w:rPr>
  </w:style>
  <w:style w:type="character" w:customStyle="1" w:styleId="BodyText2Char">
    <w:name w:val="Body Text 2 Char"/>
    <w:basedOn w:val="DefaultParagraphFont"/>
    <w:link w:val="BodyText2"/>
    <w:rsid w:val="00C45A8F"/>
    <w:rPr>
      <w:rFonts w:ascii="Calibri" w:eastAsia="Times New Roman" w:hAnsi="Calibri" w:cs="Calibri"/>
      <w:szCs w:val="24"/>
    </w:rPr>
  </w:style>
  <w:style w:type="character" w:customStyle="1" w:styleId="underline">
    <w:name w:val="underline"/>
    <w:basedOn w:val="DefaultParagraphFont"/>
    <w:qFormat/>
    <w:rsid w:val="00C45A8F"/>
    <w:rPr>
      <w:u w:val="single"/>
    </w:rPr>
  </w:style>
  <w:style w:type="paragraph" w:customStyle="1" w:styleId="card">
    <w:name w:val="card"/>
    <w:basedOn w:val="Normal"/>
    <w:next w:val="Normal"/>
    <w:link w:val="cardChar"/>
    <w:qFormat/>
    <w:rsid w:val="00C45A8F"/>
    <w:pPr>
      <w:ind w:left="288" w:right="288"/>
    </w:pPr>
    <w:rPr>
      <w:rFonts w:ascii="Verdana" w:eastAsia="Times New Roman" w:hAnsi="Verdana"/>
      <w:szCs w:val="20"/>
    </w:rPr>
  </w:style>
  <w:style w:type="character" w:customStyle="1" w:styleId="cardChar">
    <w:name w:val="card Char"/>
    <w:basedOn w:val="DefaultParagraphFont"/>
    <w:link w:val="card"/>
    <w:rsid w:val="00C45A8F"/>
    <w:rPr>
      <w:rFonts w:ascii="Verdana" w:eastAsia="Times New Roman" w:hAnsi="Verdana"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45A8F"/>
    <w:pPr>
      <w:spacing w:before="100" w:beforeAutospacing="1" w:after="100" w:afterAutospacing="1"/>
    </w:pPr>
    <w:rPr>
      <w:rFonts w:eastAsia="Times New Roman"/>
      <w:sz w:val="17"/>
      <w:szCs w:val="17"/>
    </w:rPr>
  </w:style>
  <w:style w:type="paragraph" w:customStyle="1" w:styleId="Nothing">
    <w:name w:val="Nothing"/>
    <w:link w:val="NothingChar"/>
    <w:qFormat/>
    <w:rsid w:val="00C45A8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C45A8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C45A8F"/>
    <w:rPr>
      <w:rFonts w:ascii="Times New Roman" w:hAnsi="Times New Roman"/>
      <w:sz w:val="24"/>
      <w:u w:val="thick"/>
    </w:rPr>
  </w:style>
  <w:style w:type="character" w:customStyle="1" w:styleId="Author-Date">
    <w:name w:val="Author-Date"/>
    <w:qFormat/>
    <w:rsid w:val="00C45A8F"/>
    <w:rPr>
      <w:b/>
      <w:sz w:val="24"/>
    </w:rPr>
  </w:style>
  <w:style w:type="character" w:customStyle="1" w:styleId="verdana">
    <w:name w:val="verdana"/>
    <w:basedOn w:val="DefaultParagraphFont"/>
    <w:rsid w:val="00C45A8F"/>
  </w:style>
  <w:style w:type="character" w:customStyle="1" w:styleId="hit">
    <w:name w:val="hit"/>
    <w:basedOn w:val="DefaultParagraphFont"/>
    <w:rsid w:val="00C45A8F"/>
  </w:style>
  <w:style w:type="character" w:customStyle="1" w:styleId="NothingChar">
    <w:name w:val="Nothing Char"/>
    <w:basedOn w:val="DefaultParagraphFont"/>
    <w:link w:val="Nothing"/>
    <w:rsid w:val="00C45A8F"/>
    <w:rPr>
      <w:rFonts w:ascii="Times New Roman" w:eastAsia="Times New Roman" w:hAnsi="Times New Roman" w:cs="Times New Roman"/>
      <w:sz w:val="20"/>
      <w:szCs w:val="24"/>
    </w:rPr>
  </w:style>
  <w:style w:type="character" w:customStyle="1" w:styleId="CardsChar">
    <w:name w:val="Cards Char"/>
    <w:basedOn w:val="DefaultParagraphFont"/>
    <w:link w:val="Cards"/>
    <w:rsid w:val="00C45A8F"/>
    <w:rPr>
      <w:rFonts w:ascii="Times New Roman" w:eastAsia="Times New Roman" w:hAnsi="Times New Roman" w:cs="Times New Roman"/>
      <w:sz w:val="20"/>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45A8F"/>
    <w:rPr>
      <w:rFonts w:ascii="Calibri" w:eastAsia="Times New Roman" w:hAnsi="Calibri" w:cs="Calibri"/>
      <w:sz w:val="17"/>
      <w:szCs w:val="17"/>
    </w:rPr>
  </w:style>
  <w:style w:type="paragraph" w:customStyle="1" w:styleId="CardIndented">
    <w:name w:val="Card (Indented)"/>
    <w:basedOn w:val="Normal"/>
    <w:qFormat/>
    <w:rsid w:val="00C45A8F"/>
    <w:pPr>
      <w:ind w:left="288"/>
    </w:pPr>
  </w:style>
  <w:style w:type="character" w:customStyle="1" w:styleId="StyleUnderline">
    <w:name w:val="Style Underline"/>
    <w:basedOn w:val="DefaultParagraphFont"/>
    <w:rsid w:val="00C45A8F"/>
    <w:rPr>
      <w:u w:val="thick"/>
    </w:rPr>
  </w:style>
  <w:style w:type="paragraph" w:styleId="Title">
    <w:name w:val="Title"/>
    <w:aliases w:val="Cites and Cards,UNDERLINE,Bold Underlined"/>
    <w:basedOn w:val="Normal"/>
    <w:next w:val="Normal"/>
    <w:link w:val="TitleChar"/>
    <w:uiPriority w:val="6"/>
    <w:qFormat/>
    <w:rsid w:val="00735BAE"/>
    <w:pPr>
      <w:pBdr>
        <w:bottom w:val="single" w:sz="8" w:space="4" w:color="4F81BD" w:themeColor="accent1"/>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35BAE"/>
    <w:rPr>
      <w:rFonts w:asciiTheme="majorHAnsi" w:eastAsiaTheme="majorEastAsia" w:hAnsiTheme="majorHAnsi" w:cstheme="majorBidi"/>
      <w:spacing w:val="-10"/>
      <w:kern w:val="28"/>
      <w:sz w:val="56"/>
      <w:szCs w:val="56"/>
    </w:rPr>
  </w:style>
  <w:style w:type="character" w:customStyle="1" w:styleId="cite">
    <w:name w:val="cite"/>
    <w:rsid w:val="00735BAE"/>
    <w:rPr>
      <w:rFonts w:ascii="Times New Roman" w:hAnsi="Times New Roman"/>
      <w:b/>
      <w:sz w:val="24"/>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135DC6"/>
    <w:rPr>
      <w:b w:val="0"/>
      <w:bCs/>
      <w:sz w:val="22"/>
      <w:u w:val="single"/>
    </w:rPr>
  </w:style>
  <w:style w:type="paragraph" w:customStyle="1" w:styleId="textbold">
    <w:name w:val="text bold"/>
    <w:basedOn w:val="Normal"/>
    <w:link w:val="Emphasis"/>
    <w:uiPriority w:val="7"/>
    <w:qFormat/>
    <w:rsid w:val="00D2133B"/>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92893">
      <w:bodyDiv w:val="1"/>
      <w:marLeft w:val="0"/>
      <w:marRight w:val="0"/>
      <w:marTop w:val="0"/>
      <w:marBottom w:val="0"/>
      <w:divBdr>
        <w:top w:val="none" w:sz="0" w:space="0" w:color="auto"/>
        <w:left w:val="none" w:sz="0" w:space="0" w:color="auto"/>
        <w:bottom w:val="none" w:sz="0" w:space="0" w:color="auto"/>
        <w:right w:val="none" w:sz="0" w:space="0" w:color="auto"/>
      </w:divBdr>
    </w:div>
    <w:div w:id="9884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esstv.ir/detail/2013/11/13/334544/global-nuclear-war-likely-if-iran-talks-fail/" TargetMode="External"/><Relationship Id="rId18" Type="http://schemas.openxmlformats.org/officeDocument/2006/relationships/hyperlink" Target="http://www.hoover.org/publications/policyreview/8552512.html" TargetMode="External"/><Relationship Id="rId3" Type="http://schemas.openxmlformats.org/officeDocument/2006/relationships/customXml" Target="../customXml/item3.xml"/><Relationship Id="rId21" Type="http://schemas.openxmlformats.org/officeDocument/2006/relationships/hyperlink" Target="http://www.nuclearfiles.org/menu/key-issues/nuclear-weapons/issues/effects/PDFs/starr_climate_change.pdf" TargetMode="External"/><Relationship Id="rId7" Type="http://schemas.openxmlformats.org/officeDocument/2006/relationships/webSettings" Target="webSettings.xml"/><Relationship Id="rId12" Type="http://schemas.openxmlformats.org/officeDocument/2006/relationships/hyperlink" Target="http://www.counterpunch.org/2013/11/11/why-irans-concessions-wont-lead-to-a-nuclear-agreement/" TargetMode="External"/><Relationship Id="rId17" Type="http://schemas.openxmlformats.org/officeDocument/2006/relationships/hyperlink" Target="http://www.seattlepi.com/news/article/Don-t-undo-good-done-by-affirmative-action-1110489.php" TargetMode="External"/><Relationship Id="rId2" Type="http://schemas.openxmlformats.org/officeDocument/2006/relationships/customXml" Target="../customXml/item2.xml"/><Relationship Id="rId16" Type="http://schemas.openxmlformats.org/officeDocument/2006/relationships/hyperlink" Target="http://web.lexis-nexis.com/universe/document?_m=be00e4b6d189ddb647d9365044a5571c&amp;_docnum=1&amp;wchp=dGLbVzb-zSkVb&amp;_md5=7105aae1669b5f945e6a9318b42fc69d" TargetMode="External"/><Relationship Id="rId20" Type="http://schemas.openxmlformats.org/officeDocument/2006/relationships/hyperlink" Target="http://www.yalelawjournal.org/pdf/111-2/Prakash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ubastudygroup.org/index.cfm/newsroom?ContentRecord_id=2c202b27-1916-4509-b1b7-00d7ed8f4914"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prospect.org/article/affirmative-actions-ominous-future" TargetMode="External"/><Relationship Id="rId23" Type="http://schemas.openxmlformats.org/officeDocument/2006/relationships/fontTable" Target="fontTable.xml"/><Relationship Id="rId10" Type="http://schemas.openxmlformats.org/officeDocument/2006/relationships/hyperlink" Target="http://blogs.rollcall.com/wgdb/obama-announces-iran-nuclear-deal/" TargetMode="External"/><Relationship Id="rId19" Type="http://schemas.openxmlformats.org/officeDocument/2006/relationships/hyperlink" Target="http://www.newyorker.com/online/blogs/johncassidy/2013/06/what-john-roberts-can-teach-conservativ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tate.gov/documents/organization/98377.pdf" TargetMode="External"/><Relationship Id="rId22" Type="http://schemas.openxmlformats.org/officeDocument/2006/relationships/hyperlink" Target="http://www.wusa9.com/news/local/story.aspx?storyid=2572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Carol</dc:creator>
  <cp:keywords>Verbatim</cp:keywords>
  <dc:description>Verbatim 4.6</dc:description>
  <cp:lastModifiedBy>Lizzie Prete</cp:lastModifiedBy>
  <cp:revision>2</cp:revision>
  <dcterms:created xsi:type="dcterms:W3CDTF">2013-12-09T20:43:00Z</dcterms:created>
  <dcterms:modified xsi:type="dcterms:W3CDTF">2013-12-09T20:43:00Z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