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5D1CE" w14:textId="77777777" w:rsidR="002B1232" w:rsidRDefault="002B1232" w:rsidP="002B1232">
      <w:pPr>
        <w:pStyle w:val="Heading1"/>
      </w:pPr>
    </w:p>
    <w:p w14:paraId="766EB52F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>US economic involvement in Mexico is profit-driven and hurts the Mexican people and economy</w:t>
      </w:r>
    </w:p>
    <w:p w14:paraId="1029B4C1" w14:textId="77777777" w:rsidR="002B1232" w:rsidRPr="00F17D30" w:rsidRDefault="002B1232" w:rsidP="002B1232">
      <w:pPr>
        <w:rPr>
          <w:sz w:val="16"/>
          <w:szCs w:val="16"/>
        </w:rPr>
      </w:pPr>
      <w:r w:rsidRPr="002B1232">
        <w:rPr>
          <w:rStyle w:val="StyleStyleBold12pt"/>
          <w:sz w:val="22"/>
          <w:szCs w:val="22"/>
        </w:rPr>
        <w:t>Cooney</w:t>
      </w:r>
      <w:r w:rsidRPr="00F17D30">
        <w:rPr>
          <w:sz w:val="16"/>
          <w:szCs w:val="16"/>
        </w:rPr>
        <w:t xml:space="preserve">, environmental and economic research at the Center for the Biology of Natural Systems, Queens College, City University of New York, </w:t>
      </w:r>
      <w:r w:rsidRPr="002B1232">
        <w:rPr>
          <w:rStyle w:val="StyleStyleBold12pt"/>
          <w:sz w:val="22"/>
          <w:szCs w:val="22"/>
        </w:rPr>
        <w:t>01</w:t>
      </w:r>
      <w:r w:rsidRPr="00F17D30">
        <w:rPr>
          <w:sz w:val="16"/>
          <w:szCs w:val="16"/>
        </w:rPr>
        <w:t xml:space="preserve"> (Paul, “The Mexican Crisis and the Maquiladora Boom A Paradox of Development or the Logic of Neoliberalism?</w:t>
      </w:r>
      <w:proofErr w:type="gramStart"/>
      <w:r w:rsidRPr="00F17D30">
        <w:rPr>
          <w:sz w:val="16"/>
          <w:szCs w:val="16"/>
        </w:rPr>
        <w:t>”,</w:t>
      </w:r>
      <w:proofErr w:type="gramEnd"/>
      <w:r w:rsidRPr="00F17D30">
        <w:rPr>
          <w:sz w:val="16"/>
          <w:szCs w:val="16"/>
        </w:rPr>
        <w:t xml:space="preserve"> Latin American Perspectives 28:55, 2001, Sage Publications)//AS</w:t>
      </w:r>
    </w:p>
    <w:p w14:paraId="2B07FA26" w14:textId="77777777" w:rsidR="00B45FE9" w:rsidRDefault="002B1232" w:rsidP="002B1232">
      <w:pPr>
        <w:rPr>
          <w:rStyle w:val="StyleBoldUnderline"/>
          <w:b w:val="0"/>
        </w:rPr>
      </w:pPr>
      <w:r w:rsidRPr="001B7877">
        <w:rPr>
          <w:rStyle w:val="StyleBoldUnderline"/>
          <w:b w:val="0"/>
        </w:rPr>
        <w:t>Supporters of the maquiladora industry argue that transnational corpora</w:t>
      </w:r>
    </w:p>
    <w:p w14:paraId="6C1459D2" w14:textId="77777777" w:rsidR="002B1232" w:rsidRDefault="002B1232" w:rsidP="002B1232">
      <w:pPr>
        <w:rPr>
          <w:rStyle w:val="StyleBoldUnderline"/>
          <w:b w:val="0"/>
        </w:rPr>
      </w:pPr>
    </w:p>
    <w:p w14:paraId="63C6BB35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>Try or die—capitalism causes resource wars, economic collapses, population crises, ecological degradation, kills value to life, and magnifies all secondary antagonisms</w:t>
      </w:r>
    </w:p>
    <w:p w14:paraId="5A08CC13" w14:textId="77777777" w:rsidR="002B1232" w:rsidRPr="00F17D30" w:rsidRDefault="002B1232" w:rsidP="002B1232">
      <w:r w:rsidRPr="00F17D30">
        <w:rPr>
          <w:b/>
          <w:bCs/>
          <w:sz w:val="26"/>
        </w:rPr>
        <w:t>Parr ’13</w:t>
      </w:r>
      <w:r w:rsidRPr="00F17D30">
        <w:t xml:space="preserve"> </w:t>
      </w:r>
      <w:r w:rsidRPr="002B1232">
        <w:rPr>
          <w:sz w:val="16"/>
          <w:szCs w:val="16"/>
        </w:rPr>
        <w:t>(Adrian Parr, The Wrath of Capital, 2013, p. 145-147)//VP</w:t>
      </w:r>
    </w:p>
    <w:p w14:paraId="1E89DD5B" w14:textId="77777777" w:rsidR="002B1232" w:rsidRDefault="002B1232" w:rsidP="002B1232">
      <w:pPr>
        <w:rPr>
          <w:bCs/>
          <w:u w:val="single"/>
        </w:rPr>
      </w:pPr>
      <w:r w:rsidRPr="00F17D30">
        <w:rPr>
          <w:bCs/>
          <w:u w:val="single"/>
        </w:rPr>
        <w:t xml:space="preserve">A quick snapshot </w:t>
      </w:r>
      <w:r w:rsidRPr="002B1232">
        <w:rPr>
          <w:bCs/>
          <w:u w:val="single"/>
        </w:rPr>
        <w:t>of the twenty-first century so far</w:t>
      </w:r>
    </w:p>
    <w:p w14:paraId="29FDA77A" w14:textId="77777777" w:rsidR="002B1232" w:rsidRDefault="002B1232" w:rsidP="002B1232">
      <w:pPr>
        <w:rPr>
          <w:bCs/>
          <w:u w:val="single"/>
        </w:rPr>
      </w:pPr>
    </w:p>
    <w:p w14:paraId="030ECEBD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 xml:space="preserve">The alternative is to reject the 1ac to interrogate neoliberal economic engagement with </w:t>
      </w:r>
      <w:proofErr w:type="spellStart"/>
      <w:r w:rsidRPr="002B1232">
        <w:rPr>
          <w:rFonts w:ascii="Georgia" w:hAnsi="Georgia"/>
          <w:sz w:val="22"/>
          <w:szCs w:val="22"/>
        </w:rPr>
        <w:t>latin</w:t>
      </w:r>
      <w:proofErr w:type="spellEnd"/>
      <w:r w:rsidRPr="002B1232">
        <w:rPr>
          <w:rFonts w:ascii="Georgia" w:hAnsi="Georgia"/>
          <w:sz w:val="22"/>
          <w:szCs w:val="22"/>
        </w:rPr>
        <w:t xml:space="preserve"> America from the starting point of knowledge production- that is a prerequisite to breaking down neoliberalism</w:t>
      </w:r>
    </w:p>
    <w:p w14:paraId="6A1DCCD9" w14:textId="77777777" w:rsidR="002B1232" w:rsidRPr="002B1232" w:rsidRDefault="002B1232" w:rsidP="002B1232">
      <w:pPr>
        <w:rPr>
          <w:sz w:val="16"/>
          <w:szCs w:val="16"/>
        </w:rPr>
      </w:pPr>
      <w:r w:rsidRPr="002B1232">
        <w:rPr>
          <w:b/>
          <w:szCs w:val="22"/>
        </w:rPr>
        <w:t>Walsh, 12</w:t>
      </w:r>
      <w:r w:rsidRPr="002B1232">
        <w:rPr>
          <w:szCs w:val="22"/>
        </w:rPr>
        <w:t xml:space="preserve"> –</w:t>
      </w:r>
      <w:r w:rsidRPr="00F76389">
        <w:t xml:space="preserve"> </w:t>
      </w:r>
      <w:proofErr w:type="spellStart"/>
      <w:r w:rsidRPr="002B1232">
        <w:rPr>
          <w:sz w:val="16"/>
          <w:szCs w:val="16"/>
        </w:rPr>
        <w:t>Estudios</w:t>
      </w:r>
      <w:proofErr w:type="spellEnd"/>
      <w:r w:rsidRPr="002B1232">
        <w:rPr>
          <w:sz w:val="16"/>
          <w:szCs w:val="16"/>
        </w:rPr>
        <w:t xml:space="preserve"> </w:t>
      </w:r>
      <w:proofErr w:type="spellStart"/>
      <w:r w:rsidRPr="002B1232">
        <w:rPr>
          <w:sz w:val="16"/>
          <w:szCs w:val="16"/>
        </w:rPr>
        <w:t>Culturales</w:t>
      </w:r>
      <w:proofErr w:type="spellEnd"/>
      <w:r w:rsidRPr="002B1232">
        <w:rPr>
          <w:sz w:val="16"/>
          <w:szCs w:val="16"/>
        </w:rPr>
        <w:t xml:space="preserve"> </w:t>
      </w:r>
      <w:proofErr w:type="spellStart"/>
      <w:r w:rsidRPr="002B1232">
        <w:rPr>
          <w:sz w:val="16"/>
          <w:szCs w:val="16"/>
        </w:rPr>
        <w:t>Latinoamericanos</w:t>
      </w:r>
      <w:proofErr w:type="spellEnd"/>
      <w:r w:rsidRPr="002B1232">
        <w:rPr>
          <w:sz w:val="16"/>
          <w:szCs w:val="16"/>
        </w:rPr>
        <w:t xml:space="preserve"> de la Universidad </w:t>
      </w:r>
      <w:proofErr w:type="spellStart"/>
      <w:r w:rsidRPr="002B1232">
        <w:rPr>
          <w:sz w:val="16"/>
          <w:szCs w:val="16"/>
        </w:rPr>
        <w:t>Andina</w:t>
      </w:r>
      <w:proofErr w:type="spellEnd"/>
      <w:r w:rsidRPr="002B1232">
        <w:rPr>
          <w:sz w:val="16"/>
          <w:szCs w:val="16"/>
        </w:rPr>
        <w:t xml:space="preserve"> </w:t>
      </w:r>
      <w:proofErr w:type="spellStart"/>
      <w:r w:rsidRPr="002B1232">
        <w:rPr>
          <w:sz w:val="16"/>
          <w:szCs w:val="16"/>
        </w:rPr>
        <w:t>Simón</w:t>
      </w:r>
      <w:proofErr w:type="spellEnd"/>
      <w:r w:rsidRPr="002B1232">
        <w:rPr>
          <w:sz w:val="16"/>
          <w:szCs w:val="16"/>
        </w:rPr>
        <w:t xml:space="preserve"> Bolívar (Catherine, “The Politics of Naming”, Cultural Studies, 26.1, Project Muse)//VP</w:t>
      </w:r>
    </w:p>
    <w:p w14:paraId="144896C6" w14:textId="77777777" w:rsidR="002B1232" w:rsidRDefault="002B1232" w:rsidP="002B1232">
      <w:pPr>
        <w:rPr>
          <w:szCs w:val="22"/>
          <w:u w:val="single"/>
        </w:rPr>
      </w:pPr>
      <w:r w:rsidRPr="002B1232">
        <w:rPr>
          <w:szCs w:val="22"/>
          <w:u w:val="single"/>
        </w:rPr>
        <w:t>Cultural Studies, in our project, is constructed and understood as more than a field of ‘study’</w:t>
      </w:r>
    </w:p>
    <w:p w14:paraId="3FCCF0AA" w14:textId="77777777" w:rsidR="002B1232" w:rsidRDefault="002B1232" w:rsidP="002B1232">
      <w:pPr>
        <w:rPr>
          <w:szCs w:val="22"/>
          <w:u w:val="single"/>
        </w:rPr>
      </w:pPr>
    </w:p>
    <w:p w14:paraId="34396F38" w14:textId="77777777" w:rsidR="002B1232" w:rsidRDefault="002B1232" w:rsidP="002B1232">
      <w:pPr>
        <w:rPr>
          <w:szCs w:val="22"/>
          <w:u w:val="single"/>
        </w:rPr>
      </w:pPr>
    </w:p>
    <w:p w14:paraId="1A6C796F" w14:textId="77777777" w:rsidR="002B1232" w:rsidRDefault="002B1232" w:rsidP="002B1232">
      <w:pPr>
        <w:pStyle w:val="Heading1"/>
      </w:pPr>
    </w:p>
    <w:p w14:paraId="4E7B52BE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 xml:space="preserve">Immigration will pass now – momentum </w:t>
      </w:r>
    </w:p>
    <w:p w14:paraId="6C221E6F" w14:textId="77777777" w:rsidR="002B1232" w:rsidRPr="002B1232" w:rsidRDefault="002B1232" w:rsidP="002B1232">
      <w:pPr>
        <w:rPr>
          <w:b/>
          <w:sz w:val="16"/>
          <w:szCs w:val="16"/>
        </w:rPr>
      </w:pPr>
      <w:proofErr w:type="spellStart"/>
      <w:r w:rsidRPr="002B1232">
        <w:rPr>
          <w:rStyle w:val="StyleStyleBold12pt"/>
          <w:sz w:val="22"/>
          <w:szCs w:val="22"/>
        </w:rPr>
        <w:t>Parnes</w:t>
      </w:r>
      <w:proofErr w:type="spellEnd"/>
      <w:r w:rsidRPr="002B1232">
        <w:rPr>
          <w:rStyle w:val="StyleStyleBold12pt"/>
          <w:sz w:val="22"/>
          <w:szCs w:val="22"/>
        </w:rPr>
        <w:t xml:space="preserve"> 10/18 </w:t>
      </w:r>
      <w:r w:rsidRPr="002B1232">
        <w:rPr>
          <w:sz w:val="16"/>
          <w:szCs w:val="16"/>
        </w:rPr>
        <w:t>A</w:t>
      </w:r>
      <w:r w:rsidRPr="002B1232">
        <w:rPr>
          <w:sz w:val="16"/>
          <w:szCs w:val="16"/>
        </w:rPr>
        <w:t>mie, The Hill, Obama’s hollow debt victory, 10/18/13, http://thehill.com/homenews/administration/329219-obamas-hollow-debt-victory</w:t>
      </w:r>
    </w:p>
    <w:p w14:paraId="73F6793D" w14:textId="77777777" w:rsidR="002B1232" w:rsidRDefault="002B1232" w:rsidP="002B1232">
      <w:r>
        <w:t>Another former White House official saw things differently and argued</w:t>
      </w:r>
    </w:p>
    <w:p w14:paraId="51960F2C" w14:textId="77777777" w:rsidR="002B1232" w:rsidRDefault="002B1232" w:rsidP="002B1232"/>
    <w:p w14:paraId="04D0E820" w14:textId="77777777" w:rsidR="002B1232" w:rsidRPr="009D499C" w:rsidRDefault="002B1232" w:rsidP="002B1232">
      <w:pPr>
        <w:rPr>
          <w:b/>
        </w:rPr>
      </w:pPr>
      <w:r w:rsidRPr="009D499C">
        <w:rPr>
          <w:b/>
        </w:rPr>
        <w:t xml:space="preserve">The plan puts border security before the rest of immigration reform – kills the deal </w:t>
      </w:r>
    </w:p>
    <w:p w14:paraId="5D65BEA2" w14:textId="77777777" w:rsidR="002B1232" w:rsidRPr="00BF22E7" w:rsidRDefault="002B1232" w:rsidP="002B1232">
      <w:r w:rsidRPr="00BF22E7">
        <w:rPr>
          <w:b/>
        </w:rPr>
        <w:t>Grant, 13</w:t>
      </w:r>
      <w:r w:rsidRPr="00BF22E7">
        <w:t xml:space="preserve"> (</w:t>
      </w:r>
      <w:r w:rsidRPr="002B1232">
        <w:rPr>
          <w:sz w:val="16"/>
          <w:szCs w:val="16"/>
        </w:rPr>
        <w:t xml:space="preserve">4-27, David, Politics for the Christian Science Monitor, “How </w:t>
      </w:r>
      <w:r w:rsidRPr="002B1232">
        <w:rPr>
          <w:sz w:val="16"/>
          <w:szCs w:val="16"/>
        </w:rPr>
        <w:t>border security 'trigger' could stop immigration reform.</w:t>
      </w:r>
      <w:r w:rsidRPr="002B1232">
        <w:rPr>
          <w:sz w:val="16"/>
          <w:szCs w:val="16"/>
        </w:rPr>
        <w:t xml:space="preserve">” The CSM, 4/27/13 </w:t>
      </w:r>
      <w:proofErr w:type="spellStart"/>
      <w:r w:rsidRPr="002B1232">
        <w:rPr>
          <w:sz w:val="16"/>
          <w:szCs w:val="16"/>
        </w:rPr>
        <w:t>ln</w:t>
      </w:r>
      <w:proofErr w:type="spellEnd"/>
      <w:r w:rsidRPr="002B1232">
        <w:rPr>
          <w:sz w:val="16"/>
          <w:szCs w:val="16"/>
        </w:rPr>
        <w:t>//GBS-JV)</w:t>
      </w:r>
    </w:p>
    <w:p w14:paraId="234F30BC" w14:textId="77777777" w:rsidR="002B1232" w:rsidRDefault="002B1232" w:rsidP="002B1232">
      <w:pPr>
        <w:rPr>
          <w:rStyle w:val="StyleBoldUnderline"/>
          <w:b w:val="0"/>
          <w:szCs w:val="22"/>
          <w:u w:val="none"/>
        </w:rPr>
      </w:pPr>
      <w:r w:rsidRPr="002B1232">
        <w:rPr>
          <w:szCs w:val="22"/>
        </w:rPr>
        <w:t>Congressional negotiators say</w:t>
      </w:r>
      <w:r w:rsidRPr="002B1232">
        <w:rPr>
          <w:b/>
          <w:szCs w:val="22"/>
        </w:rPr>
        <w:t xml:space="preserve"> </w:t>
      </w:r>
      <w:r w:rsidRPr="002B1232">
        <w:rPr>
          <w:rStyle w:val="StyleBoldUnderline"/>
          <w:b w:val="0"/>
          <w:szCs w:val="22"/>
          <w:u w:val="none"/>
        </w:rPr>
        <w:t>immigration reform will</w:t>
      </w:r>
    </w:p>
    <w:p w14:paraId="300D54A5" w14:textId="77777777" w:rsidR="002B1232" w:rsidRDefault="002B1232" w:rsidP="002B1232">
      <w:pPr>
        <w:rPr>
          <w:rStyle w:val="StyleBoldUnderline"/>
          <w:b w:val="0"/>
          <w:szCs w:val="22"/>
          <w:u w:val="none"/>
        </w:rPr>
      </w:pPr>
    </w:p>
    <w:p w14:paraId="0A750833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 xml:space="preserve">Capital is key – allows Obama to thread the needle – there’s </w:t>
      </w:r>
      <w:proofErr w:type="spellStart"/>
      <w:r w:rsidRPr="002B1232">
        <w:rPr>
          <w:rFonts w:ascii="Georgia" w:hAnsi="Georgia"/>
          <w:sz w:val="22"/>
          <w:szCs w:val="22"/>
        </w:rPr>
        <w:t>momemtum</w:t>
      </w:r>
      <w:proofErr w:type="spellEnd"/>
      <w:r w:rsidRPr="002B1232">
        <w:rPr>
          <w:rFonts w:ascii="Georgia" w:hAnsi="Georgia"/>
          <w:sz w:val="22"/>
          <w:szCs w:val="22"/>
        </w:rPr>
        <w:t xml:space="preserve"> now </w:t>
      </w:r>
    </w:p>
    <w:p w14:paraId="46C8403A" w14:textId="77777777" w:rsidR="002B1232" w:rsidRPr="002B1232" w:rsidRDefault="002B1232" w:rsidP="002B1232">
      <w:pPr>
        <w:rPr>
          <w:b/>
          <w:sz w:val="16"/>
          <w:szCs w:val="16"/>
        </w:rPr>
      </w:pPr>
      <w:proofErr w:type="spellStart"/>
      <w:r w:rsidRPr="002B1232">
        <w:rPr>
          <w:rStyle w:val="StyleStyleBold12pt"/>
          <w:sz w:val="22"/>
          <w:szCs w:val="22"/>
        </w:rPr>
        <w:t>McMorris</w:t>
      </w:r>
      <w:proofErr w:type="spellEnd"/>
      <w:r w:rsidRPr="002B1232">
        <w:rPr>
          <w:rStyle w:val="StyleStyleBold12pt"/>
          <w:sz w:val="22"/>
          <w:szCs w:val="22"/>
        </w:rPr>
        <w:t xml:space="preserve">-Santoro 10/15 </w:t>
      </w:r>
      <w:r w:rsidRPr="002B1232">
        <w:rPr>
          <w:sz w:val="16"/>
          <w:szCs w:val="16"/>
        </w:rPr>
        <w:t xml:space="preserve">Evan, </w:t>
      </w:r>
      <w:proofErr w:type="spellStart"/>
      <w:r w:rsidRPr="002B1232">
        <w:rPr>
          <w:sz w:val="16"/>
          <w:szCs w:val="16"/>
        </w:rPr>
        <w:t>BuzzFeed</w:t>
      </w:r>
      <w:proofErr w:type="spellEnd"/>
      <w:r w:rsidRPr="002B1232">
        <w:rPr>
          <w:sz w:val="16"/>
          <w:szCs w:val="16"/>
        </w:rPr>
        <w:t xml:space="preserve"> Staff, Obama Has Already Won The Shutdown Fight And He’s Coming For Immigration Next, 10/15/13, http://www.buzzfeed.com/evanmcsan/obama-has-already-won-the-shutdown-fight-and-hes-coming-for</w:t>
      </w:r>
    </w:p>
    <w:p w14:paraId="0B54D7A7" w14:textId="77777777" w:rsidR="002B1232" w:rsidRDefault="002B1232" w:rsidP="002B1232">
      <w:r>
        <w:t>As the fiscal fight roiling Washington nears its end,</w:t>
      </w:r>
    </w:p>
    <w:p w14:paraId="50E1C855" w14:textId="77777777" w:rsidR="002B1232" w:rsidRDefault="002B1232" w:rsidP="002B1232"/>
    <w:p w14:paraId="00CF343B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 xml:space="preserve">Reform key to competitiveness and growth </w:t>
      </w:r>
    </w:p>
    <w:p w14:paraId="28137C9F" w14:textId="77777777" w:rsidR="002B1232" w:rsidRPr="002B1232" w:rsidRDefault="002B1232" w:rsidP="002B1232">
      <w:pPr>
        <w:rPr>
          <w:b/>
          <w:sz w:val="16"/>
          <w:szCs w:val="16"/>
        </w:rPr>
      </w:pPr>
      <w:r w:rsidRPr="002B1232">
        <w:rPr>
          <w:rStyle w:val="StyleStyleBold12pt"/>
          <w:sz w:val="22"/>
          <w:szCs w:val="22"/>
        </w:rPr>
        <w:t xml:space="preserve">Trujillo and </w:t>
      </w:r>
      <w:proofErr w:type="spellStart"/>
      <w:r w:rsidRPr="002B1232">
        <w:rPr>
          <w:rStyle w:val="StyleStyleBold12pt"/>
          <w:sz w:val="22"/>
          <w:szCs w:val="22"/>
        </w:rPr>
        <w:t>Melgoza</w:t>
      </w:r>
      <w:proofErr w:type="spellEnd"/>
      <w:r w:rsidRPr="002B1232">
        <w:rPr>
          <w:rStyle w:val="StyleStyleBold12pt"/>
          <w:sz w:val="22"/>
          <w:szCs w:val="22"/>
        </w:rPr>
        <w:t xml:space="preserve"> 13</w:t>
      </w:r>
      <w:r>
        <w:rPr>
          <w:rStyle w:val="StyleStyleBold12pt"/>
          <w:sz w:val="22"/>
          <w:szCs w:val="22"/>
        </w:rPr>
        <w:t xml:space="preserve"> </w:t>
      </w:r>
      <w:r w:rsidRPr="002B1232">
        <w:rPr>
          <w:sz w:val="16"/>
          <w:szCs w:val="16"/>
        </w:rPr>
        <w:t xml:space="preserve">Mr. Trujillo is chairman of the Trujillo Group, LLC and co-chairman of the Latino Donor Collaborative. Mr. </w:t>
      </w:r>
      <w:proofErr w:type="spellStart"/>
      <w:r w:rsidRPr="002B1232">
        <w:rPr>
          <w:sz w:val="16"/>
          <w:szCs w:val="16"/>
        </w:rPr>
        <w:t>Melgoza</w:t>
      </w:r>
      <w:proofErr w:type="spellEnd"/>
      <w:r w:rsidRPr="002B1232">
        <w:rPr>
          <w:sz w:val="16"/>
          <w:szCs w:val="16"/>
        </w:rPr>
        <w:t xml:space="preserve"> is the CEO of </w:t>
      </w:r>
      <w:proofErr w:type="spellStart"/>
      <w:r w:rsidRPr="002B1232">
        <w:rPr>
          <w:sz w:val="16"/>
          <w:szCs w:val="16"/>
        </w:rPr>
        <w:t>Geoscape</w:t>
      </w:r>
      <w:proofErr w:type="spellEnd"/>
      <w:r w:rsidRPr="002B1232">
        <w:rPr>
          <w:sz w:val="16"/>
          <w:szCs w:val="16"/>
        </w:rPr>
        <w:t xml:space="preserve"> International Inc. The Economic—and Demographic—Case for Immigration Reform, 2/21/13, http://online.wsj.com/article/SB10001424127887323951904578290471589119346.html</w:t>
      </w:r>
      <w:proofErr w:type="gramStart"/>
      <w:r w:rsidRPr="002B1232">
        <w:rPr>
          <w:sz w:val="16"/>
          <w:szCs w:val="16"/>
        </w:rPr>
        <w:t>?mod</w:t>
      </w:r>
      <w:proofErr w:type="gramEnd"/>
      <w:r w:rsidRPr="002B1232">
        <w:rPr>
          <w:sz w:val="16"/>
          <w:szCs w:val="16"/>
        </w:rPr>
        <w:t>=googlenews_wsj</w:t>
      </w:r>
    </w:p>
    <w:p w14:paraId="0EA0BAA7" w14:textId="77777777" w:rsidR="002B1232" w:rsidRDefault="002B1232" w:rsidP="002B1232">
      <w:r w:rsidRPr="006A3BBC">
        <w:t>Since the November election, there has been much talk in Washington</w:t>
      </w:r>
    </w:p>
    <w:p w14:paraId="4725644F" w14:textId="77777777" w:rsidR="002B1232" w:rsidRDefault="002B1232" w:rsidP="002B1232"/>
    <w:p w14:paraId="0085FF69" w14:textId="77777777" w:rsidR="002B1232" w:rsidRPr="002B1232" w:rsidRDefault="002B1232" w:rsidP="002B1232">
      <w:pPr>
        <w:pStyle w:val="Heading4"/>
        <w:rPr>
          <w:rFonts w:ascii="Georgia" w:hAnsi="Georgia"/>
          <w:sz w:val="22"/>
          <w:szCs w:val="22"/>
        </w:rPr>
      </w:pPr>
      <w:r w:rsidRPr="002B1232">
        <w:rPr>
          <w:rFonts w:ascii="Georgia" w:hAnsi="Georgia"/>
          <w:sz w:val="22"/>
          <w:szCs w:val="22"/>
        </w:rPr>
        <w:t xml:space="preserve">Nuclear war </w:t>
      </w:r>
    </w:p>
    <w:p w14:paraId="2FA40CB4" w14:textId="77777777" w:rsidR="002B1232" w:rsidRPr="002B1232" w:rsidRDefault="002B1232" w:rsidP="002B1232">
      <w:pPr>
        <w:rPr>
          <w:sz w:val="16"/>
          <w:szCs w:val="16"/>
        </w:rPr>
      </w:pPr>
      <w:r w:rsidRPr="002B1232">
        <w:rPr>
          <w:rStyle w:val="StyleStyleBold12pt"/>
          <w:sz w:val="22"/>
          <w:szCs w:val="22"/>
        </w:rPr>
        <w:t xml:space="preserve">Friedberg and </w:t>
      </w:r>
      <w:proofErr w:type="spellStart"/>
      <w:r w:rsidRPr="002B1232">
        <w:rPr>
          <w:rStyle w:val="StyleStyleBold12pt"/>
          <w:sz w:val="22"/>
          <w:szCs w:val="22"/>
        </w:rPr>
        <w:t>Schoenfeld</w:t>
      </w:r>
      <w:proofErr w:type="spellEnd"/>
      <w:r w:rsidRPr="002B1232">
        <w:rPr>
          <w:rStyle w:val="StyleStyleBold12pt"/>
          <w:sz w:val="22"/>
          <w:szCs w:val="22"/>
        </w:rPr>
        <w:t xml:space="preserve"> </w:t>
      </w:r>
      <w:proofErr w:type="gramStart"/>
      <w:r w:rsidRPr="002B1232">
        <w:rPr>
          <w:rStyle w:val="StyleStyleBold12pt"/>
          <w:sz w:val="22"/>
          <w:szCs w:val="22"/>
        </w:rPr>
        <w:t>8</w:t>
      </w:r>
      <w:r>
        <w:rPr>
          <w:b/>
        </w:rPr>
        <w:t xml:space="preserve">  </w:t>
      </w:r>
      <w:r w:rsidRPr="002B1232">
        <w:rPr>
          <w:sz w:val="16"/>
          <w:szCs w:val="16"/>
        </w:rPr>
        <w:t>Aaron</w:t>
      </w:r>
      <w:proofErr w:type="gramEnd"/>
      <w:r w:rsidRPr="002B1232">
        <w:rPr>
          <w:sz w:val="16"/>
          <w:szCs w:val="16"/>
        </w:rPr>
        <w:t xml:space="preserve">, Prof. Politics. And IR @ Princeton’s Woodrow Wilson School and Visiting Scholar @ Witherspoon Institute, and Gabriel, Senior Editor of Commentary and Wall Street Journal, “The Dangers of a Diminished America” </w:t>
      </w:r>
      <w:hyperlink r:id="rId8" w:history="1">
        <w:r w:rsidRPr="002B1232">
          <w:rPr>
            <w:sz w:val="16"/>
            <w:szCs w:val="16"/>
          </w:rPr>
          <w:t>http://online.wsj.com/article/SB122455074012352571.html</w:t>
        </w:r>
      </w:hyperlink>
    </w:p>
    <w:p w14:paraId="438819A7" w14:textId="77777777" w:rsidR="002B1232" w:rsidRDefault="002B1232" w:rsidP="002B1232">
      <w:r w:rsidRPr="002B1232">
        <w:t xml:space="preserve">Then </w:t>
      </w:r>
      <w:r w:rsidRPr="002B1232">
        <w:rPr>
          <w:rStyle w:val="StyleBoldUnderline"/>
          <w:b w:val="0"/>
          <w:u w:val="none"/>
        </w:rPr>
        <w:t>there are</w:t>
      </w:r>
      <w:r w:rsidRPr="002B1232">
        <w:t xml:space="preserve"> the dolorous </w:t>
      </w:r>
      <w:r w:rsidRPr="002B1232">
        <w:rPr>
          <w:rStyle w:val="StyleBoldUnderline"/>
          <w:b w:val="0"/>
          <w:u w:val="none"/>
        </w:rPr>
        <w:t>consequences of a</w:t>
      </w:r>
      <w:r w:rsidRPr="002B1232">
        <w:t xml:space="preserve"> potential</w:t>
      </w:r>
    </w:p>
    <w:p w14:paraId="574CECDA" w14:textId="77777777" w:rsidR="002B1232" w:rsidRDefault="002B1232" w:rsidP="002B1232"/>
    <w:p w14:paraId="3D274CCC" w14:textId="77777777" w:rsidR="002B1232" w:rsidRDefault="002B1232" w:rsidP="002B1232">
      <w:pPr>
        <w:pStyle w:val="Heading1"/>
      </w:pPr>
    </w:p>
    <w:p w14:paraId="27BA13A4" w14:textId="77777777" w:rsidR="002B1232" w:rsidRDefault="002B1232" w:rsidP="002B1232"/>
    <w:p w14:paraId="289032C7" w14:textId="77777777" w:rsidR="002B1232" w:rsidRPr="002B1232" w:rsidRDefault="002B1232" w:rsidP="002B1232">
      <w:pPr>
        <w:pStyle w:val="Heading4"/>
        <w:rPr>
          <w:rFonts w:ascii="Georgia" w:hAnsi="Georgia"/>
        </w:rPr>
      </w:pPr>
      <w:r w:rsidRPr="002B1232">
        <w:rPr>
          <w:rFonts w:ascii="Georgia" w:hAnsi="Georgia"/>
        </w:rPr>
        <w:t>Interpretation – Economic engagement has to be government to government</w:t>
      </w:r>
    </w:p>
    <w:p w14:paraId="3EF8B89C" w14:textId="77777777" w:rsidR="002B1232" w:rsidRPr="002B1232" w:rsidRDefault="002B1232" w:rsidP="002B1232">
      <w:pPr>
        <w:rPr>
          <w:sz w:val="16"/>
        </w:rPr>
      </w:pPr>
      <w:proofErr w:type="spellStart"/>
      <w:r w:rsidRPr="002B1232">
        <w:rPr>
          <w:b/>
        </w:rPr>
        <w:t>Daga</w:t>
      </w:r>
      <w:proofErr w:type="spellEnd"/>
      <w:r w:rsidRPr="002B1232">
        <w:rPr>
          <w:b/>
        </w:rPr>
        <w:t xml:space="preserve">, 13 </w:t>
      </w:r>
      <w:r w:rsidRPr="002B1232">
        <w:rPr>
          <w:sz w:val="16"/>
        </w:rPr>
        <w:t xml:space="preserve">- director of research at </w:t>
      </w:r>
      <w:proofErr w:type="spellStart"/>
      <w:r w:rsidRPr="002B1232">
        <w:rPr>
          <w:sz w:val="16"/>
        </w:rPr>
        <w:t>Politicas</w:t>
      </w:r>
      <w:proofErr w:type="spellEnd"/>
      <w:r w:rsidRPr="002B1232">
        <w:rPr>
          <w:sz w:val="16"/>
        </w:rPr>
        <w:t xml:space="preserve"> </w:t>
      </w:r>
      <w:proofErr w:type="spellStart"/>
      <w:r w:rsidRPr="002B1232">
        <w:rPr>
          <w:sz w:val="16"/>
        </w:rPr>
        <w:t>Publicas</w:t>
      </w:r>
      <w:proofErr w:type="spellEnd"/>
      <w:r w:rsidRPr="002B1232">
        <w:rPr>
          <w:sz w:val="16"/>
        </w:rPr>
        <w:t xml:space="preserve"> </w:t>
      </w:r>
      <w:proofErr w:type="spellStart"/>
      <w:r w:rsidRPr="002B1232">
        <w:rPr>
          <w:sz w:val="16"/>
        </w:rPr>
        <w:t>para</w:t>
      </w:r>
      <w:proofErr w:type="spellEnd"/>
      <w:r w:rsidRPr="002B1232">
        <w:rPr>
          <w:sz w:val="16"/>
        </w:rPr>
        <w:t xml:space="preserve"> la Libertad, in Bolivia, and a visiting senior policy analyst at the Heritage Foundation (Sergio, “Economics of the 2013-2014 Debate Topic:</w:t>
      </w:r>
    </w:p>
    <w:p w14:paraId="66CF1AFA" w14:textId="77777777" w:rsidR="002B1232" w:rsidRPr="002B1232" w:rsidRDefault="002B1232" w:rsidP="002B1232">
      <w:pPr>
        <w:rPr>
          <w:sz w:val="16"/>
        </w:rPr>
      </w:pPr>
      <w:r w:rsidRPr="002B1232">
        <w:rPr>
          <w:sz w:val="16"/>
        </w:rPr>
        <w:t xml:space="preserve">U.S. Economic Engagement Toward Cuba, Mexico or Venezuela”, National Center for Policy Analysis, 5/15, </w:t>
      </w:r>
      <w:r w:rsidRPr="002B1232">
        <w:rPr>
          <w:sz w:val="16"/>
        </w:rPr>
        <w:t>http://www.ncpa.org/pdfs/Message_to_Debaters_6-7-13.pdf</w:t>
      </w:r>
      <w:r w:rsidRPr="002B1232">
        <w:rPr>
          <w:sz w:val="16"/>
        </w:rPr>
        <w:t>)</w:t>
      </w:r>
    </w:p>
    <w:p w14:paraId="324ACEA6" w14:textId="77777777" w:rsidR="002B1232" w:rsidRDefault="002B1232" w:rsidP="002B1232">
      <w:pPr>
        <w:rPr>
          <w:rStyle w:val="TitleChar"/>
          <w:b w:val="0"/>
          <w:szCs w:val="22"/>
          <w:u w:val="none"/>
        </w:rPr>
      </w:pPr>
      <w:r w:rsidRPr="002B1232">
        <w:rPr>
          <w:rStyle w:val="TitleChar"/>
          <w:b w:val="0"/>
          <w:szCs w:val="22"/>
          <w:u w:val="none"/>
        </w:rPr>
        <w:t>Economic engagement between</w:t>
      </w:r>
      <w:r w:rsidRPr="002B1232">
        <w:rPr>
          <w:szCs w:val="22"/>
        </w:rPr>
        <w:t xml:space="preserve"> or among </w:t>
      </w:r>
      <w:r w:rsidRPr="002B1232">
        <w:rPr>
          <w:rStyle w:val="TitleChar"/>
          <w:b w:val="0"/>
          <w:szCs w:val="22"/>
          <w:u w:val="none"/>
        </w:rPr>
        <w:t>countries</w:t>
      </w:r>
    </w:p>
    <w:p w14:paraId="7AE68A5F" w14:textId="77777777" w:rsidR="002B1232" w:rsidRDefault="002B1232" w:rsidP="002B1232">
      <w:pPr>
        <w:rPr>
          <w:rStyle w:val="TitleChar"/>
          <w:b w:val="0"/>
          <w:szCs w:val="22"/>
          <w:u w:val="none"/>
        </w:rPr>
      </w:pPr>
    </w:p>
    <w:p w14:paraId="79575711" w14:textId="77777777" w:rsidR="002B1232" w:rsidRPr="002B1232" w:rsidRDefault="002B1232" w:rsidP="002B1232">
      <w:pPr>
        <w:rPr>
          <w:szCs w:val="22"/>
        </w:rPr>
      </w:pPr>
      <w:bookmarkStart w:id="0" w:name="_GoBack"/>
      <w:bookmarkEnd w:id="0"/>
    </w:p>
    <w:sectPr w:rsidR="002B1232" w:rsidRPr="002B1232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D8789" w14:textId="77777777" w:rsidR="00EF5D36" w:rsidRDefault="00EF5D36" w:rsidP="00E46E7E">
      <w:r>
        <w:separator/>
      </w:r>
    </w:p>
  </w:endnote>
  <w:endnote w:type="continuationSeparator" w:id="0">
    <w:p w14:paraId="4A174810" w14:textId="77777777" w:rsidR="00EF5D36" w:rsidRDefault="00EF5D36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316C" w14:textId="77777777" w:rsidR="00EF5D36" w:rsidRDefault="00EF5D36" w:rsidP="00E46E7E">
      <w:r>
        <w:separator/>
      </w:r>
    </w:p>
  </w:footnote>
  <w:footnote w:type="continuationSeparator" w:id="0">
    <w:p w14:paraId="39976241" w14:textId="77777777" w:rsidR="00EF5D36" w:rsidRDefault="00EF5D36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9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36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1232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3764B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1FE9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EF5D36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96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B1232"/>
    <w:rPr>
      <w:rFonts w:ascii="Georgia" w:hAnsi="Georgia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Ch,small space,no read,TAG,No Spacing211,No Spacing12,No Spacing2111,No Spacing4,No Spacing11111,No Spacing5,No Spacing21,Card,tags,T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DF1850"/>
    <w:rPr>
      <w:rFonts w:ascii="Georgia" w:hAnsi="Georgia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Ch Char,small space Char,no read Char,TAG Char,No Spacing211 Char,No Spacing12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HHeading 3 + 12 pt,ci,Heading 3 Char1 Char Char Char,c,Bo,Intense Emphasis1111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2B1232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2B1232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2B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B1232"/>
    <w:rPr>
      <w:rFonts w:ascii="Georgia" w:hAnsi="Georgia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Ch,small space,no read,TAG,No Spacing211,No Spacing12,No Spacing2111,No Spacing4,No Spacing11111,No Spacing5,No Spacing21,Card,tags,T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DF1850"/>
    <w:rPr>
      <w:rFonts w:ascii="Georgia" w:hAnsi="Georgia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Ch Char,small space Char,no read Char,TAG Char,No Spacing211 Char,No Spacing12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HHeading 3 + 12 pt,ci,Heading 3 Char1 Char Char Char,c,Bo,Intense Emphasis1111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2B1232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2B1232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2B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nline.wsj.com/article/SB122455074012352571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F:Desktop:Backfiles:Resource:Microsoft%20Office%202011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3</Pages>
  <Words>527</Words>
  <Characters>3010</Characters>
  <Application>Microsoft Macintosh Word</Application>
  <DocSecurity>0</DocSecurity>
  <Lines>25</Lines>
  <Paragraphs>7</Paragraphs>
  <ScaleCrop>false</ScaleCrop>
  <Company>Whitman College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Fisher</dc:creator>
  <cp:keywords/>
  <dc:description/>
  <cp:lastModifiedBy>Ella Fisher</cp:lastModifiedBy>
  <cp:revision>2</cp:revision>
  <dcterms:created xsi:type="dcterms:W3CDTF">2013-10-29T02:19:00Z</dcterms:created>
  <dcterms:modified xsi:type="dcterms:W3CDTF">2013-10-29T02:28:00Z</dcterms:modified>
</cp:coreProperties>
</file>