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2A7" w:rsidRDefault="009B22A7" w:rsidP="009B22A7">
      <w:pPr>
        <w:pStyle w:val="Heading3"/>
      </w:pPr>
      <w:r>
        <w:t>Plan</w:t>
      </w:r>
    </w:p>
    <w:p w:rsidR="009B22A7" w:rsidRPr="0098346C" w:rsidRDefault="009B22A7" w:rsidP="009B22A7">
      <w:pPr>
        <w:pStyle w:val="Heading4"/>
      </w:pPr>
      <w:r>
        <w:t>Plan:  The United States federal government should authorize companies to provide services for the development of Cuban offshore oil resources.</w:t>
      </w:r>
    </w:p>
    <w:p w:rsidR="009B22A7" w:rsidRDefault="009B22A7" w:rsidP="009B22A7"/>
    <w:p w:rsidR="009B22A7" w:rsidRPr="00086935" w:rsidRDefault="009B22A7" w:rsidP="009B22A7">
      <w:pPr>
        <w:pStyle w:val="Heading4"/>
      </w:pPr>
      <w:r>
        <w:t>Contention__: Solvency</w:t>
      </w:r>
    </w:p>
    <w:p w:rsidR="009B22A7" w:rsidRDefault="009B22A7" w:rsidP="009B22A7">
      <w:pPr>
        <w:rPr>
          <w:rStyle w:val="StyleBoldUnderline"/>
        </w:rPr>
      </w:pPr>
      <w:r>
        <w:rPr>
          <w:rStyle w:val="StyleBoldUnderline"/>
        </w:rPr>
        <w:t xml:space="preserve"> </w:t>
      </w:r>
    </w:p>
    <w:p w:rsidR="009B22A7" w:rsidRPr="009B22A7" w:rsidRDefault="009B22A7" w:rsidP="009B22A7">
      <w:pPr>
        <w:pStyle w:val="Heading4"/>
      </w:pPr>
      <w:r w:rsidRPr="009B22A7">
        <w:t xml:space="preserve">President has the authority to license American companies to develop offshore oil  </w:t>
      </w:r>
    </w:p>
    <w:p w:rsidR="009B22A7" w:rsidRPr="00BF18E2" w:rsidRDefault="009B22A7" w:rsidP="009B22A7">
      <w:pPr>
        <w:rPr>
          <w:rStyle w:val="StyleStyleBold12pt"/>
          <w:b w:val="0"/>
        </w:rPr>
      </w:pPr>
      <w:proofErr w:type="spellStart"/>
      <w:r w:rsidRPr="00120BCB">
        <w:rPr>
          <w:rStyle w:val="StyleStyleBold12pt"/>
        </w:rPr>
        <w:t>Pascual</w:t>
      </w:r>
      <w:proofErr w:type="spellEnd"/>
      <w:r w:rsidRPr="00120BCB">
        <w:rPr>
          <w:rStyle w:val="StyleStyleBold12pt"/>
        </w:rPr>
        <w:t xml:space="preserve"> &amp; Huddleston, 9 – </w:t>
      </w:r>
      <w:r w:rsidRPr="00BF18E2">
        <w:rPr>
          <w:rStyle w:val="StyleStyleBold12pt"/>
        </w:rPr>
        <w:t>Carlos, VP and Director of Foreign Policy, Brookings Institute, and Vicki, Visiting Fellow</w:t>
      </w:r>
      <w:r>
        <w:rPr>
          <w:rStyle w:val="StyleStyleBold12pt"/>
        </w:rPr>
        <w:t xml:space="preserve"> </w:t>
      </w:r>
      <w:r w:rsidRPr="00BF18E2">
        <w:rPr>
          <w:rStyle w:val="StyleStyleBold12pt"/>
        </w:rPr>
        <w:t>(“CUBA: A New policy of Critical and Constructive Engagement”, April, http://www.brookings.edu/~/media/research/files/reports/2009/4/cuba/0413_cuba.pdf)</w:t>
      </w:r>
    </w:p>
    <w:p w:rsidR="009B22A7" w:rsidRPr="009B22A7" w:rsidRDefault="009B22A7" w:rsidP="009B22A7">
      <w:r w:rsidRPr="009B22A7">
        <w:t xml:space="preserve">Licensing U.S. companies … oil and gas. </w:t>
      </w:r>
    </w:p>
    <w:p w:rsidR="009B22A7" w:rsidRPr="00120BCB" w:rsidRDefault="009B22A7" w:rsidP="009B22A7">
      <w:pPr>
        <w:pStyle w:val="Heading4"/>
      </w:pPr>
      <w:r w:rsidRPr="009B22A7">
        <w:t>Cuba welcomes U.S. investment in oil development</w:t>
      </w:r>
    </w:p>
    <w:p w:rsidR="009B22A7" w:rsidRPr="00BF18E2" w:rsidRDefault="009B22A7" w:rsidP="009B22A7">
      <w:pPr>
        <w:rPr>
          <w:rStyle w:val="StyleStyleBold12pt"/>
          <w:b w:val="0"/>
        </w:rPr>
      </w:pPr>
      <w:r w:rsidRPr="00BC689A">
        <w:rPr>
          <w:rStyle w:val="StyleStyleBold12pt"/>
        </w:rPr>
        <w:t xml:space="preserve">CDA, 11 – </w:t>
      </w:r>
      <w:r w:rsidRPr="00BF18E2">
        <w:rPr>
          <w:rStyle w:val="StyleStyleBold12pt"/>
        </w:rPr>
        <w:t>Center for Democracy in the Americas</w:t>
      </w:r>
      <w:r>
        <w:rPr>
          <w:rStyle w:val="StyleStyleBold12pt"/>
        </w:rPr>
        <w:t xml:space="preserve">, nonprofit devoted to changing U.S. policy towards the countries of the Americas, </w:t>
      </w:r>
      <w:r w:rsidRPr="00BF18E2">
        <w:rPr>
          <w:rStyle w:val="StyleStyleBold12pt"/>
        </w:rPr>
        <w:t>(“As Cuba plans to drill in the Gulf of Mexico, U.S. policy poses needless risks to our national interest,” http://democracyinamericas.org/pdfs/Cuba_Drilling_and_US_Policy.pdf)</w:t>
      </w:r>
      <w:r>
        <w:rPr>
          <w:rStyle w:val="StyleStyleBold12pt"/>
        </w:rPr>
        <w:t>//AK</w:t>
      </w:r>
    </w:p>
    <w:p w:rsidR="009B22A7" w:rsidRPr="009B22A7" w:rsidRDefault="009B22A7" w:rsidP="009B22A7">
      <w:r w:rsidRPr="009B22A7">
        <w:t>6. Cuba would welcome … for partners elsewhere.</w:t>
      </w:r>
    </w:p>
    <w:p w:rsidR="009B22A7" w:rsidRPr="00784AA5" w:rsidRDefault="009B22A7" w:rsidP="009B22A7">
      <w:pPr>
        <w:rPr>
          <w:rStyle w:val="StyleBoldUnderline"/>
          <w:b w:val="0"/>
        </w:rPr>
      </w:pPr>
    </w:p>
    <w:p w:rsidR="009B22A7" w:rsidRDefault="009B22A7" w:rsidP="009B22A7">
      <w:pPr>
        <w:pStyle w:val="Heading4"/>
      </w:pPr>
      <w:r>
        <w:t>General licensing is key to ensuring companies have full access to U.S. technology and personnel in case of a spill</w:t>
      </w:r>
    </w:p>
    <w:p w:rsidR="009B22A7" w:rsidRPr="00BC689A" w:rsidRDefault="009B22A7" w:rsidP="009B22A7"/>
    <w:p w:rsidR="009B22A7" w:rsidRPr="00BF18E2" w:rsidRDefault="009B22A7" w:rsidP="009B22A7">
      <w:pPr>
        <w:rPr>
          <w:rStyle w:val="StyleStyleBold12pt"/>
          <w:b w:val="0"/>
        </w:rPr>
      </w:pPr>
      <w:r w:rsidRPr="00BC689A">
        <w:rPr>
          <w:rStyle w:val="StyleStyleBold12pt"/>
        </w:rPr>
        <w:t xml:space="preserve">CDA, 11  - </w:t>
      </w:r>
      <w:r w:rsidRPr="00BF18E2">
        <w:rPr>
          <w:rStyle w:val="StyleStyleBold12pt"/>
        </w:rPr>
        <w:t>Center for Democracy in the Americas</w:t>
      </w:r>
      <w:r>
        <w:rPr>
          <w:rStyle w:val="StyleStyleBold12pt"/>
        </w:rPr>
        <w:t xml:space="preserve">, nonprofit devoted to changing American policy towards the countries of the Americas, </w:t>
      </w:r>
      <w:r w:rsidRPr="00BF18E2">
        <w:rPr>
          <w:rStyle w:val="StyleStyleBold12pt"/>
        </w:rPr>
        <w:t>(9/9, “Cuba Drilling and U.S. Policy,” http://democracyinamericas.org/pdfs/Cuba_Drilling_and_US_Policy.pdf) //AK</w:t>
      </w:r>
    </w:p>
    <w:p w:rsidR="009B22A7" w:rsidRPr="009B22A7" w:rsidRDefault="009B22A7" w:rsidP="009B22A7">
      <w:r w:rsidRPr="009B22A7">
        <w:t xml:space="preserve">As Robert Muse … manage a blowout. </w:t>
      </w:r>
    </w:p>
    <w:p w:rsidR="009B22A7" w:rsidRDefault="009B22A7" w:rsidP="009B22A7">
      <w:pPr>
        <w:pStyle w:val="Heading3"/>
      </w:pPr>
      <w:r>
        <w:rPr>
          <w:rStyle w:val="StyleBoldUnderline"/>
          <w:u w:val="none"/>
        </w:rPr>
        <w:lastRenderedPageBreak/>
        <w:t xml:space="preserve">Environment </w:t>
      </w:r>
      <w:r w:rsidRPr="002A36E5">
        <w:rPr>
          <w:rStyle w:val="StyleBoldUnderline"/>
          <w:u w:val="none"/>
        </w:rPr>
        <w:t>Advantage</w:t>
      </w:r>
      <w:r>
        <w:rPr>
          <w:rStyle w:val="StyleBoldUnderline"/>
          <w:u w:val="none"/>
        </w:rPr>
        <w:t xml:space="preserve"> – 1AC</w:t>
      </w:r>
    </w:p>
    <w:p w:rsidR="009B22A7" w:rsidRPr="00B66DF5" w:rsidRDefault="009B22A7" w:rsidP="009B22A7">
      <w:pPr>
        <w:pStyle w:val="Heading4"/>
      </w:pPr>
      <w:r>
        <w:t>Advantage __: Environment</w:t>
      </w:r>
    </w:p>
    <w:p w:rsidR="009B22A7" w:rsidRPr="00D6793F" w:rsidRDefault="009B22A7" w:rsidP="009B22A7">
      <w:pPr>
        <w:pStyle w:val="Heading4"/>
      </w:pPr>
      <w:r w:rsidRPr="009B22A7">
        <w:t>Cuban attempts at offshore drilling are inevitable – only a rapid U.S. response can prevent spills</w:t>
      </w:r>
    </w:p>
    <w:p w:rsidR="009B22A7" w:rsidRPr="009945C2" w:rsidRDefault="009B22A7" w:rsidP="009B22A7">
      <w:pPr>
        <w:rPr>
          <w:rStyle w:val="StyleStyleBold12pt"/>
          <w:b w:val="0"/>
        </w:rPr>
      </w:pPr>
      <w:r w:rsidRPr="00D6793F">
        <w:rPr>
          <w:rStyle w:val="StyleStyleBold12pt"/>
        </w:rPr>
        <w:t xml:space="preserve">Bert and Clayton 12 – </w:t>
      </w:r>
      <w:r w:rsidRPr="009945C2">
        <w:rPr>
          <w:rStyle w:val="StyleStyleBold12pt"/>
        </w:rPr>
        <w:t>Melissa, 2011-12 Military Fellow, U.S. Coast Guard, and Blake, Fellow for Energy and National Security (“Addressing the Risk of a Cuban Oil Spill,” March</w:t>
      </w:r>
      <w:proofErr w:type="gramStart"/>
      <w:r w:rsidRPr="009945C2">
        <w:rPr>
          <w:rStyle w:val="StyleStyleBold12pt"/>
        </w:rPr>
        <w:t xml:space="preserve">, </w:t>
      </w:r>
      <w:r>
        <w:rPr>
          <w:rStyle w:val="StyleStyleBold12pt"/>
        </w:rPr>
        <w:t xml:space="preserve"> </w:t>
      </w:r>
      <w:proofErr w:type="gramEnd"/>
      <w:r>
        <w:fldChar w:fldCharType="begin"/>
      </w:r>
      <w:r>
        <w:instrText xml:space="preserve"> HYPERLINK "http://www.cfr.org/cuba/addressing-risk-cuban-oil-spill/p27515" </w:instrText>
      </w:r>
      <w:r>
        <w:fldChar w:fldCharType="separate"/>
      </w:r>
      <w:r w:rsidRPr="009945C2">
        <w:rPr>
          <w:rStyle w:val="StyleStyleBold12pt"/>
        </w:rPr>
        <w:t>http://www.cfr.org/cuba/addressing-risk-cuban-oil-spill/p27515</w:t>
      </w:r>
      <w:r>
        <w:rPr>
          <w:rStyle w:val="StyleStyleBold12pt"/>
          <w:b w:val="0"/>
        </w:rPr>
        <w:fldChar w:fldCharType="end"/>
      </w:r>
      <w:r w:rsidRPr="009945C2">
        <w:rPr>
          <w:rStyle w:val="StyleStyleBold12pt"/>
        </w:rPr>
        <w:t>)//SEP</w:t>
      </w:r>
    </w:p>
    <w:p w:rsidR="009B22A7" w:rsidRPr="009B22A7" w:rsidRDefault="009B22A7" w:rsidP="009B22A7">
      <w:r w:rsidRPr="009B22A7">
        <w:t>Defending U.S. Interests … this time from Cuba.</w:t>
      </w:r>
    </w:p>
    <w:p w:rsidR="009B22A7" w:rsidRDefault="009B22A7" w:rsidP="009B22A7">
      <w:pPr>
        <w:rPr>
          <w:rFonts w:ascii="Cambria" w:hAnsi="Cambria"/>
          <w:b/>
        </w:rPr>
      </w:pPr>
    </w:p>
    <w:p w:rsidR="009B22A7" w:rsidRDefault="009B22A7" w:rsidP="009B22A7">
      <w:pPr>
        <w:widowControl w:val="0"/>
        <w:autoSpaceDE w:val="0"/>
        <w:autoSpaceDN w:val="0"/>
        <w:adjustRightInd w:val="0"/>
        <w:rPr>
          <w:rStyle w:val="StyleStyleBold12pt"/>
        </w:rPr>
      </w:pPr>
    </w:p>
    <w:p w:rsidR="009B22A7" w:rsidRPr="009B22A7" w:rsidRDefault="009B22A7" w:rsidP="009B22A7">
      <w:pPr>
        <w:pStyle w:val="Heading4"/>
      </w:pPr>
      <w:r w:rsidRPr="009B22A7">
        <w:t xml:space="preserve">Status quo efforts are insufficient to stop an oil spill – </w:t>
      </w:r>
      <w:proofErr w:type="gramStart"/>
      <w:r w:rsidRPr="009B22A7">
        <w:t>general  and</w:t>
      </w:r>
      <w:proofErr w:type="gramEnd"/>
      <w:r w:rsidRPr="009B22A7">
        <w:t xml:space="preserve"> pre-approved licenses are needed to solve </w:t>
      </w:r>
    </w:p>
    <w:p w:rsidR="009B22A7" w:rsidRPr="009945C2" w:rsidRDefault="009B22A7" w:rsidP="009B22A7">
      <w:pPr>
        <w:widowControl w:val="0"/>
        <w:autoSpaceDE w:val="0"/>
        <w:autoSpaceDN w:val="0"/>
        <w:adjustRightInd w:val="0"/>
        <w:rPr>
          <w:rStyle w:val="StyleStyleBold12pt"/>
          <w:b w:val="0"/>
        </w:rPr>
      </w:pPr>
      <w:r>
        <w:rPr>
          <w:rStyle w:val="StyleStyleBold12pt"/>
        </w:rPr>
        <w:t xml:space="preserve">CDA, </w:t>
      </w:r>
      <w:r w:rsidRPr="00A91B2B">
        <w:rPr>
          <w:rStyle w:val="StyleStyleBold12pt"/>
        </w:rPr>
        <w:t xml:space="preserve">12 – </w:t>
      </w:r>
      <w:r w:rsidRPr="009945C2">
        <w:rPr>
          <w:rStyle w:val="StyleStyleBold12pt"/>
        </w:rPr>
        <w:t>Center for Democracy in the Americas</w:t>
      </w:r>
      <w:r>
        <w:rPr>
          <w:rStyle w:val="StyleStyleBold12pt"/>
        </w:rPr>
        <w:t xml:space="preserve">, nonprofit devoted to changing American policy towards the countries of the Americas </w:t>
      </w:r>
      <w:r w:rsidRPr="009945C2">
        <w:rPr>
          <w:rStyle w:val="StyleStyleBold12pt"/>
        </w:rPr>
        <w:t>(“Not Like Oil and Water:  Cuba and the U.S. Can Cooperate on Drilling,”http://cubacentral.wordpress.com/2012/09/07/not-like-oil-and-water-cuba-and-the-us-can-cooperate-on-drilling/)//SEP</w:t>
      </w:r>
    </w:p>
    <w:p w:rsidR="009B22A7" w:rsidRPr="009B22A7" w:rsidRDefault="009B22A7" w:rsidP="009B22A7">
      <w:proofErr w:type="gramStart"/>
      <w:r w:rsidRPr="009B22A7">
        <w:t>The Environmental Defense … significant oil spill.</w:t>
      </w:r>
      <w:proofErr w:type="gramEnd"/>
    </w:p>
    <w:p w:rsidR="009B22A7" w:rsidRDefault="009B22A7" w:rsidP="009B22A7">
      <w:pPr>
        <w:widowControl w:val="0"/>
        <w:autoSpaceDE w:val="0"/>
        <w:autoSpaceDN w:val="0"/>
        <w:adjustRightInd w:val="0"/>
        <w:rPr>
          <w:rStyle w:val="StyleStyleBold12pt"/>
        </w:rPr>
      </w:pPr>
    </w:p>
    <w:p w:rsidR="009B22A7" w:rsidRDefault="009B22A7" w:rsidP="009B22A7">
      <w:pPr>
        <w:pStyle w:val="Heading4"/>
      </w:pPr>
      <w:r>
        <w:t>Alternative methods of spill containment fail in Cuban waters – only U.S. techniques solve</w:t>
      </w:r>
    </w:p>
    <w:p w:rsidR="009B22A7" w:rsidRPr="009945C2" w:rsidRDefault="009B22A7" w:rsidP="009B22A7">
      <w:pPr>
        <w:rPr>
          <w:rStyle w:val="StyleStyleBold12pt"/>
          <w:b w:val="0"/>
        </w:rPr>
      </w:pPr>
      <w:r w:rsidRPr="00D6793F">
        <w:rPr>
          <w:rStyle w:val="StyleStyleBold12pt"/>
        </w:rPr>
        <w:t>Bert and Clayton</w:t>
      </w:r>
      <w:r>
        <w:rPr>
          <w:rStyle w:val="StyleStyleBold12pt"/>
        </w:rPr>
        <w:t>,</w:t>
      </w:r>
      <w:r w:rsidRPr="00D6793F">
        <w:rPr>
          <w:rStyle w:val="StyleStyleBold12pt"/>
        </w:rPr>
        <w:t xml:space="preserve"> 12 – </w:t>
      </w:r>
      <w:r w:rsidRPr="009945C2">
        <w:rPr>
          <w:rStyle w:val="StyleStyleBold12pt"/>
        </w:rPr>
        <w:t xml:space="preserve">Melissa, 2011-12 Military Fellow, U.S. Coast Guard, and Blake, Fellow for Energy and National Security (“Addressing the Risk of a Cuban Oil Spill,” March, </w:t>
      </w:r>
      <w:hyperlink r:id="rId6" w:history="1">
        <w:r w:rsidRPr="009945C2">
          <w:rPr>
            <w:rStyle w:val="StyleStyleBold12pt"/>
          </w:rPr>
          <w:t>http://www.cfr.org/cuba/addressing-risk-cuban-oil-spill/p27515</w:t>
        </w:r>
      </w:hyperlink>
      <w:r w:rsidRPr="009945C2">
        <w:rPr>
          <w:rStyle w:val="StyleStyleBold12pt"/>
        </w:rPr>
        <w:t>)//SEP</w:t>
      </w:r>
    </w:p>
    <w:p w:rsidR="009B22A7" w:rsidRPr="009B22A7" w:rsidRDefault="009B22A7" w:rsidP="009B22A7">
      <w:r w:rsidRPr="009B22A7">
        <w:t xml:space="preserve">Washington cannot count …containment booms ineffective. </w:t>
      </w:r>
    </w:p>
    <w:p w:rsidR="009B22A7" w:rsidRPr="009B22A7" w:rsidRDefault="009B22A7" w:rsidP="009B22A7">
      <w:pPr>
        <w:pStyle w:val="Heading4"/>
      </w:pPr>
      <w:r w:rsidRPr="009B22A7">
        <w:t>Oil spills are very likely without advanced U.S. drilling technology – which no country can use under the embargo</w:t>
      </w:r>
    </w:p>
    <w:p w:rsidR="009B22A7" w:rsidRPr="000D41C8" w:rsidRDefault="009B22A7" w:rsidP="009B22A7">
      <w:pPr>
        <w:widowControl w:val="0"/>
        <w:autoSpaceDE w:val="0"/>
        <w:autoSpaceDN w:val="0"/>
        <w:adjustRightInd w:val="0"/>
        <w:rPr>
          <w:rStyle w:val="StyleStyleBold12pt"/>
        </w:rPr>
      </w:pPr>
      <w:r w:rsidRPr="000D41C8">
        <w:rPr>
          <w:rStyle w:val="StyleStyleBold12pt"/>
        </w:rPr>
        <w:t>Davenport, 11 (</w:t>
      </w:r>
      <w:r w:rsidRPr="009945C2">
        <w:rPr>
          <w:rStyle w:val="StyleStyleBold12pt"/>
        </w:rPr>
        <w:t xml:space="preserve">Coral, National Journal, “Drill, </w:t>
      </w:r>
      <w:proofErr w:type="spellStart"/>
      <w:r w:rsidRPr="009945C2">
        <w:rPr>
          <w:rStyle w:val="StyleStyleBold12pt"/>
        </w:rPr>
        <w:t>Bebe</w:t>
      </w:r>
      <w:proofErr w:type="spellEnd"/>
      <w:r w:rsidRPr="009945C2">
        <w:rPr>
          <w:rStyle w:val="StyleStyleBold12pt"/>
        </w:rPr>
        <w:t>, Drill,” 7/28, http://www.nationaljournal.com/magazine/will-sloppy-drilling-off-the-coast-of-cuba-threaten-florida-gulf-beaches--20110728)//SEP</w:t>
      </w:r>
    </w:p>
    <w:p w:rsidR="009B22A7" w:rsidRPr="009B22A7" w:rsidRDefault="009B22A7" w:rsidP="009B22A7">
      <w:proofErr w:type="gramStart"/>
      <w:r w:rsidRPr="009B22A7">
        <w:t>But the potential … despite the embargo.</w:t>
      </w:r>
      <w:proofErr w:type="gramEnd"/>
    </w:p>
    <w:p w:rsidR="009B22A7" w:rsidRDefault="009B22A7" w:rsidP="009B22A7">
      <w:pPr>
        <w:pStyle w:val="Heading4"/>
      </w:pPr>
      <w:r>
        <w:t xml:space="preserve">Cuban oil spill devastates Florida’s ecosystem without U.S. intervention  </w:t>
      </w:r>
    </w:p>
    <w:p w:rsidR="009B22A7" w:rsidRPr="009945C2" w:rsidRDefault="009B22A7" w:rsidP="009B22A7">
      <w:pPr>
        <w:rPr>
          <w:rStyle w:val="StyleStyleBold12pt"/>
          <w:b w:val="0"/>
        </w:rPr>
      </w:pPr>
      <w:r w:rsidRPr="00052E91">
        <w:rPr>
          <w:rStyle w:val="StyleStyleBold12pt"/>
        </w:rPr>
        <w:t>Stephens and Colvin</w:t>
      </w:r>
      <w:r>
        <w:rPr>
          <w:rStyle w:val="StyleStyleBold12pt"/>
        </w:rPr>
        <w:t>,</w:t>
      </w:r>
      <w:r w:rsidRPr="00052E91">
        <w:rPr>
          <w:rStyle w:val="StyleStyleBold12pt"/>
        </w:rPr>
        <w:t xml:space="preserve"> 11</w:t>
      </w:r>
      <w:r>
        <w:rPr>
          <w:rStyle w:val="StyleStyleBold12pt"/>
        </w:rPr>
        <w:t xml:space="preserve"> – </w:t>
      </w:r>
      <w:r w:rsidRPr="009945C2">
        <w:rPr>
          <w:rStyle w:val="StyleStyleBold12pt"/>
        </w:rPr>
        <w:t>Sarah, Executive Director of the Center for Democracy in the America, and Jake, VP for Global Trade Issues at the National Foreign Trade Council</w:t>
      </w:r>
    </w:p>
    <w:p w:rsidR="009B22A7" w:rsidRPr="009945C2" w:rsidRDefault="009B22A7" w:rsidP="009B22A7">
      <w:pPr>
        <w:rPr>
          <w:rStyle w:val="StyleStyleBold12pt"/>
          <w:b w:val="0"/>
        </w:rPr>
      </w:pPr>
      <w:r w:rsidRPr="009945C2">
        <w:rPr>
          <w:rStyle w:val="StyleStyleBold12pt"/>
        </w:rPr>
        <w:t xml:space="preserve">(“US-Cuba policy, and the race for oil drilling,” 9/29, </w:t>
      </w:r>
      <w:hyperlink r:id="rId7" w:history="1">
        <w:r w:rsidRPr="009945C2">
          <w:rPr>
            <w:rStyle w:val="StyleStyleBold12pt"/>
          </w:rPr>
          <w:t>http://thehill.com/blogs/congress-blog/foreign-policy/184661-us-cuba-policy-and-the-race-for-oil-drilling</w:t>
        </w:r>
      </w:hyperlink>
      <w:r w:rsidRPr="009945C2">
        <w:rPr>
          <w:rStyle w:val="StyleStyleBold12pt"/>
        </w:rPr>
        <w:t>)//SEP</w:t>
      </w:r>
    </w:p>
    <w:p w:rsidR="009B22A7" w:rsidRPr="009B22A7" w:rsidRDefault="009B22A7" w:rsidP="009B22A7">
      <w:proofErr w:type="gramStart"/>
      <w:r w:rsidRPr="009B22A7">
        <w:t>To protect the … crisis involving Cuba.</w:t>
      </w:r>
      <w:proofErr w:type="gramEnd"/>
      <w:r w:rsidRPr="009B22A7">
        <w:t xml:space="preserve">  </w:t>
      </w:r>
    </w:p>
    <w:p w:rsidR="009B22A7" w:rsidRDefault="009B22A7" w:rsidP="009B22A7">
      <w:pPr>
        <w:pStyle w:val="Heading4"/>
      </w:pPr>
      <w:r>
        <w:t>Oil spill casts the final blow to Florida’s coral reefs– even a few days delay would be catastrophic</w:t>
      </w:r>
    </w:p>
    <w:p w:rsidR="009B22A7" w:rsidRPr="009945C2" w:rsidRDefault="009B22A7" w:rsidP="009B22A7">
      <w:pPr>
        <w:rPr>
          <w:rFonts w:ascii="Cambria" w:hAnsi="Cambria"/>
          <w:b/>
          <w:sz w:val="16"/>
          <w:szCs w:val="16"/>
        </w:rPr>
      </w:pPr>
      <w:r>
        <w:rPr>
          <w:rFonts w:ascii="Cambria" w:hAnsi="Cambria"/>
          <w:b/>
        </w:rPr>
        <w:t xml:space="preserve">Thompson, </w:t>
      </w:r>
      <w:r w:rsidRPr="00002E63">
        <w:rPr>
          <w:rFonts w:ascii="Cambria" w:hAnsi="Cambria"/>
          <w:b/>
        </w:rPr>
        <w:t>11-</w:t>
      </w:r>
      <w:r>
        <w:rPr>
          <w:rFonts w:ascii="Cambria" w:hAnsi="Cambria"/>
          <w:sz w:val="16"/>
          <w:szCs w:val="16"/>
        </w:rPr>
        <w:t xml:space="preserve"> </w:t>
      </w:r>
      <w:r w:rsidRPr="009945C2">
        <w:rPr>
          <w:rStyle w:val="StyleStyleBold12pt"/>
        </w:rPr>
        <w:t xml:space="preserve">Freelance writer focused on science, environmental, and </w:t>
      </w:r>
      <w:proofErr w:type="gramStart"/>
      <w:r w:rsidRPr="009945C2">
        <w:rPr>
          <w:rStyle w:val="StyleStyleBold12pt"/>
        </w:rPr>
        <w:t>outdoor</w:t>
      </w:r>
      <w:proofErr w:type="gramEnd"/>
      <w:r w:rsidRPr="009945C2">
        <w:rPr>
          <w:rStyle w:val="StyleStyleBold12pt"/>
        </w:rPr>
        <w:t xml:space="preserve"> stories</w:t>
      </w:r>
    </w:p>
    <w:p w:rsidR="009B22A7" w:rsidRPr="009945C2" w:rsidRDefault="009B22A7" w:rsidP="009B22A7">
      <w:pPr>
        <w:rPr>
          <w:rStyle w:val="StyleStyleBold12pt"/>
          <w:b w:val="0"/>
        </w:rPr>
      </w:pPr>
      <w:r w:rsidRPr="009945C2">
        <w:rPr>
          <w:rStyle w:val="StyleStyleBold12pt"/>
        </w:rPr>
        <w:t>(</w:t>
      </w:r>
      <w:proofErr w:type="spellStart"/>
      <w:r w:rsidRPr="009945C2">
        <w:rPr>
          <w:rStyle w:val="StyleStyleBold12pt"/>
        </w:rPr>
        <w:t>Kaylee</w:t>
      </w:r>
      <w:proofErr w:type="spellEnd"/>
      <w:r w:rsidRPr="009945C2">
        <w:rPr>
          <w:rStyle w:val="StyleStyleBold12pt"/>
        </w:rPr>
        <w:t>, “ What if Cuba’s Offshore Oil Project, Only 100 Miles From Florida, Goes Wrong?</w:t>
      </w:r>
      <w:proofErr w:type="gramStart"/>
      <w:r w:rsidRPr="009945C2">
        <w:rPr>
          <w:rStyle w:val="StyleStyleBold12pt"/>
        </w:rPr>
        <w:t>”,</w:t>
      </w:r>
      <w:proofErr w:type="gramEnd"/>
      <w:r w:rsidRPr="009945C2">
        <w:rPr>
          <w:rStyle w:val="StyleStyleBold12pt"/>
        </w:rPr>
        <w:t xml:space="preserve"> Popular Mechanics, November 2, 2011, </w:t>
      </w:r>
      <w:hyperlink r:id="rId8" w:history="1">
        <w:r w:rsidRPr="009945C2">
          <w:rPr>
            <w:rStyle w:val="StyleStyleBold12pt"/>
          </w:rPr>
          <w:t>http://www.popularmechanics.com/science/energy/coal-oil-gas/what-if-cubas-offshore-oil-project-only-100-miles-from-florida-goes-wrong)//TWR</w:t>
        </w:r>
      </w:hyperlink>
    </w:p>
    <w:p w:rsidR="009B22A7" w:rsidRPr="009B22A7" w:rsidRDefault="009B22A7" w:rsidP="009B22A7">
      <w:r w:rsidRPr="009B22A7">
        <w:t xml:space="preserve">Cuba’s enormous offshore …pollution in U.S. waters."  </w:t>
      </w:r>
    </w:p>
    <w:p w:rsidR="009B22A7" w:rsidRPr="00B83AF6" w:rsidRDefault="009B22A7" w:rsidP="009B22A7">
      <w:pPr>
        <w:jc w:val="both"/>
        <w:rPr>
          <w:lang w:eastAsia="ja-JP"/>
        </w:rPr>
      </w:pPr>
      <w:r>
        <w:rPr>
          <w:lang w:eastAsia="ja-JP"/>
        </w:rPr>
        <w:t xml:space="preserve"> </w:t>
      </w:r>
    </w:p>
    <w:p w:rsidR="009B22A7" w:rsidRPr="006A12FA" w:rsidRDefault="009B22A7" w:rsidP="009B22A7">
      <w:pPr>
        <w:pStyle w:val="Heading4"/>
        <w:rPr>
          <w:rFonts w:asciiTheme="minorHAnsi" w:hAnsiTheme="minorHAnsi"/>
        </w:rPr>
      </w:pPr>
      <w:r w:rsidRPr="006A12FA">
        <w:rPr>
          <w:rFonts w:asciiTheme="minorHAnsi" w:hAnsiTheme="minorHAnsi"/>
        </w:rPr>
        <w:t>Ocean biodiversity key to survival</w:t>
      </w:r>
    </w:p>
    <w:p w:rsidR="009B22A7" w:rsidRPr="006A12FA" w:rsidRDefault="009B22A7" w:rsidP="009B22A7">
      <w:pPr>
        <w:jc w:val="both"/>
        <w:rPr>
          <w:rFonts w:asciiTheme="minorHAnsi" w:hAnsiTheme="minorHAnsi"/>
          <w:szCs w:val="20"/>
        </w:rPr>
      </w:pPr>
      <w:r>
        <w:rPr>
          <w:rStyle w:val="StyleStyleBold12pt"/>
          <w:rFonts w:asciiTheme="minorHAnsi" w:hAnsiTheme="minorHAnsi"/>
        </w:rPr>
        <w:t>Craig</w:t>
      </w:r>
      <w:r w:rsidRPr="006A12FA">
        <w:rPr>
          <w:rStyle w:val="StyleStyleBold12pt"/>
          <w:rFonts w:asciiTheme="minorHAnsi" w:hAnsiTheme="minorHAnsi"/>
        </w:rPr>
        <w:t>, 3</w:t>
      </w:r>
      <w:r>
        <w:rPr>
          <w:rStyle w:val="StyleStyleBold12pt"/>
          <w:rFonts w:asciiTheme="minorHAnsi" w:hAnsiTheme="minorHAnsi"/>
        </w:rPr>
        <w:t xml:space="preserve"> -</w:t>
      </w:r>
      <w:r w:rsidRPr="006A12FA">
        <w:rPr>
          <w:rStyle w:val="StyleStyleBold12pt"/>
          <w:rFonts w:asciiTheme="minorHAnsi" w:hAnsiTheme="minorHAnsi"/>
        </w:rPr>
        <w:t xml:space="preserve"> </w:t>
      </w:r>
      <w:r w:rsidRPr="006A12FA">
        <w:rPr>
          <w:rStyle w:val="StyleStyleBold12pt"/>
          <w:rFonts w:asciiTheme="minorHAnsi" w:hAnsiTheme="minorHAnsi"/>
          <w:sz w:val="20"/>
          <w:szCs w:val="20"/>
        </w:rPr>
        <w:t>Attorneys’ Title Professor of Law and Associate Dean for Environmental Programs at Florida State University</w:t>
      </w:r>
      <w:r w:rsidRPr="006A12FA">
        <w:rPr>
          <w:rFonts w:asciiTheme="minorHAnsi" w:hAnsiTheme="minorHAnsi"/>
          <w:szCs w:val="20"/>
        </w:rPr>
        <w:t xml:space="preserve"> </w:t>
      </w:r>
      <w:r>
        <w:rPr>
          <w:rFonts w:asciiTheme="minorHAnsi" w:hAnsiTheme="minorHAnsi"/>
          <w:szCs w:val="20"/>
        </w:rPr>
        <w:t xml:space="preserve">(Robin </w:t>
      </w:r>
      <w:proofErr w:type="spellStart"/>
      <w:r>
        <w:rPr>
          <w:rFonts w:asciiTheme="minorHAnsi" w:hAnsiTheme="minorHAnsi"/>
          <w:szCs w:val="20"/>
        </w:rPr>
        <w:t>Kundis</w:t>
      </w:r>
      <w:proofErr w:type="spellEnd"/>
      <w:r w:rsidRPr="006A12FA">
        <w:rPr>
          <w:rFonts w:asciiTheme="minorHAnsi" w:hAnsiTheme="minorHAnsi"/>
          <w:szCs w:val="20"/>
        </w:rPr>
        <w:t xml:space="preserve">, “ARTICLE: Taking Steps Toward Marine Wilderness Protection? Fishing and Coral Reef Marine Reserves in Florida and Hawaii,” </w:t>
      </w:r>
      <w:proofErr w:type="spellStart"/>
      <w:r w:rsidRPr="006A12FA">
        <w:rPr>
          <w:rFonts w:asciiTheme="minorHAnsi" w:hAnsiTheme="minorHAnsi"/>
          <w:szCs w:val="20"/>
        </w:rPr>
        <w:t>McGeorge</w:t>
      </w:r>
      <w:proofErr w:type="spellEnd"/>
      <w:r w:rsidRPr="006A12FA">
        <w:rPr>
          <w:rFonts w:asciiTheme="minorHAnsi" w:hAnsiTheme="minorHAnsi"/>
          <w:szCs w:val="20"/>
        </w:rPr>
        <w:t xml:space="preserve"> Law Review, Winter 2003, 34 </w:t>
      </w:r>
      <w:proofErr w:type="spellStart"/>
      <w:r w:rsidRPr="006A12FA">
        <w:rPr>
          <w:rFonts w:asciiTheme="minorHAnsi" w:hAnsiTheme="minorHAnsi"/>
          <w:szCs w:val="20"/>
        </w:rPr>
        <w:t>McGeorge</w:t>
      </w:r>
      <w:proofErr w:type="spellEnd"/>
      <w:r w:rsidRPr="006A12FA">
        <w:rPr>
          <w:rFonts w:asciiTheme="minorHAnsi" w:hAnsiTheme="minorHAnsi"/>
          <w:szCs w:val="20"/>
        </w:rPr>
        <w:t xml:space="preserve"> L. Rev. 155)</w:t>
      </w:r>
    </w:p>
    <w:p w:rsidR="009B22A7" w:rsidRPr="006A12FA" w:rsidRDefault="009B22A7" w:rsidP="009B22A7">
      <w:pPr>
        <w:jc w:val="both"/>
        <w:rPr>
          <w:rFonts w:asciiTheme="minorHAnsi" w:hAnsiTheme="minorHAnsi"/>
          <w:szCs w:val="20"/>
        </w:rPr>
      </w:pPr>
    </w:p>
    <w:p w:rsidR="009B22A7" w:rsidRPr="009B22A7" w:rsidRDefault="009B22A7" w:rsidP="009B22A7">
      <w:proofErr w:type="gramStart"/>
      <w:r w:rsidRPr="009B22A7">
        <w:t>Biodiversity and ecosystem … in the world.</w:t>
      </w:r>
      <w:proofErr w:type="gramEnd"/>
    </w:p>
    <w:p w:rsidR="009B22A7" w:rsidRDefault="009B22A7" w:rsidP="009B22A7">
      <w:pPr>
        <w:rPr>
          <w:rFonts w:eastAsiaTheme="majorEastAsia" w:cstheme="majorBidi"/>
          <w:b/>
          <w:bCs/>
          <w:iCs/>
        </w:rPr>
      </w:pPr>
    </w:p>
    <w:p w:rsidR="009B22A7" w:rsidRDefault="009B22A7" w:rsidP="009B22A7">
      <w:pPr>
        <w:pStyle w:val="Heading3"/>
      </w:pPr>
      <w:r>
        <w:t>Relations – 1AC</w:t>
      </w:r>
    </w:p>
    <w:p w:rsidR="009B22A7" w:rsidRDefault="009B22A7" w:rsidP="009B22A7">
      <w:pPr>
        <w:pStyle w:val="Heading4"/>
      </w:pPr>
      <w:r>
        <w:t>Advantage __: Relations</w:t>
      </w:r>
    </w:p>
    <w:p w:rsidR="009B22A7" w:rsidRDefault="009B22A7" w:rsidP="009B22A7">
      <w:pPr>
        <w:rPr>
          <w:sz w:val="14"/>
        </w:rPr>
      </w:pPr>
      <w:r>
        <w:rPr>
          <w:sz w:val="14"/>
        </w:rPr>
        <w:t xml:space="preserve"> </w:t>
      </w:r>
    </w:p>
    <w:p w:rsidR="009B22A7" w:rsidRDefault="009B22A7" w:rsidP="009B22A7">
      <w:pPr>
        <w:pStyle w:val="Heading4"/>
      </w:pPr>
      <w:r w:rsidRPr="002B5467">
        <w:t>Now is key</w:t>
      </w:r>
      <w:r>
        <w:t xml:space="preserve"> – China is shoring up influence in Cuba </w:t>
      </w:r>
    </w:p>
    <w:p w:rsidR="009B22A7" w:rsidRDefault="009B22A7" w:rsidP="009B22A7">
      <w:r>
        <w:rPr>
          <w:rStyle w:val="StyleStyleBold12pt"/>
        </w:rPr>
        <w:t>Boston Globe, 2/9</w:t>
      </w:r>
      <w:r>
        <w:t xml:space="preserve"> (“Cuba’s reforms pave way for new US policy, too”, 2013, http://www.bostonglobe.com/opinion/editorials/2013/02/09/cuba-reform-create-opportunity-drag-policy-into-century/xER2NTTXGsxdLej0miHwFM/story.html)</w:t>
      </w:r>
    </w:p>
    <w:p w:rsidR="009B22A7" w:rsidRPr="009B22A7" w:rsidRDefault="009B22A7" w:rsidP="009B22A7">
      <w:proofErr w:type="gramStart"/>
      <w:r w:rsidRPr="009B22A7">
        <w:t>Relations between the … agenda with Cuba.</w:t>
      </w:r>
      <w:proofErr w:type="gramEnd"/>
    </w:p>
    <w:p w:rsidR="009B22A7" w:rsidRPr="00332C43" w:rsidRDefault="009B22A7" w:rsidP="009B22A7">
      <w:pPr>
        <w:rPr>
          <w:sz w:val="16"/>
        </w:rPr>
      </w:pPr>
    </w:p>
    <w:p w:rsidR="009B22A7" w:rsidRPr="00332C43" w:rsidRDefault="009B22A7" w:rsidP="009B22A7">
      <w:pPr>
        <w:rPr>
          <w:sz w:val="16"/>
        </w:rPr>
      </w:pPr>
    </w:p>
    <w:p w:rsidR="009B22A7" w:rsidRPr="00534F2A" w:rsidRDefault="009B22A7" w:rsidP="009B22A7">
      <w:pPr>
        <w:pStyle w:val="Heading4"/>
      </w:pPr>
      <w:r>
        <w:t xml:space="preserve">Cooperative drilling is critical for relations – energy has strategic significance for both countries </w:t>
      </w:r>
    </w:p>
    <w:p w:rsidR="009B22A7" w:rsidRPr="009945C2" w:rsidRDefault="009B22A7" w:rsidP="009B22A7">
      <w:pPr>
        <w:rPr>
          <w:rStyle w:val="StyleStyleBold12pt"/>
          <w:b w:val="0"/>
        </w:rPr>
      </w:pPr>
      <w:proofErr w:type="spellStart"/>
      <w:r w:rsidRPr="00534F2A">
        <w:rPr>
          <w:rStyle w:val="StyleStyleBold12pt"/>
        </w:rPr>
        <w:t>Grogg</w:t>
      </w:r>
      <w:proofErr w:type="spellEnd"/>
      <w:r>
        <w:rPr>
          <w:rStyle w:val="StyleStyleBold12pt"/>
        </w:rPr>
        <w:t>,</w:t>
      </w:r>
      <w:r w:rsidRPr="00534F2A">
        <w:rPr>
          <w:rStyle w:val="StyleStyleBold12pt"/>
        </w:rPr>
        <w:t xml:space="preserve"> 12</w:t>
      </w:r>
      <w:r>
        <w:rPr>
          <w:rStyle w:val="StyleStyleBold12pt"/>
        </w:rPr>
        <w:t xml:space="preserve"> – IPS </w:t>
      </w:r>
      <w:r w:rsidRPr="009945C2">
        <w:rPr>
          <w:rStyle w:val="StyleStyleBold12pt"/>
        </w:rPr>
        <w:t xml:space="preserve">(Patricia, citing </w:t>
      </w:r>
      <w:proofErr w:type="spellStart"/>
      <w:r w:rsidRPr="009945C2">
        <w:rPr>
          <w:rStyle w:val="StyleStyleBold12pt"/>
        </w:rPr>
        <w:t>Luiz</w:t>
      </w:r>
      <w:proofErr w:type="spellEnd"/>
      <w:r w:rsidRPr="009945C2">
        <w:rPr>
          <w:rStyle w:val="StyleStyleBold12pt"/>
        </w:rPr>
        <w:t xml:space="preserve"> Rene Fernandez, Senior Research and Professor at University of Havana in International Economics, “Cuba: Oil Drilling Opens Up New Possibilities”, 2/16, </w:t>
      </w:r>
      <w:hyperlink r:id="rId9" w:history="1">
        <w:r w:rsidRPr="009945C2">
          <w:rPr>
            <w:rStyle w:val="StyleStyleBold12pt"/>
          </w:rPr>
          <w:t>http://www.ipsnews.net/2012/02/cuba-oil-drilling-opens-up-new-possibilities/</w:t>
        </w:r>
      </w:hyperlink>
      <w:r w:rsidRPr="009945C2">
        <w:rPr>
          <w:rStyle w:val="StyleStyleBold12pt"/>
        </w:rPr>
        <w:t>)//SEP</w:t>
      </w:r>
    </w:p>
    <w:p w:rsidR="009B22A7" w:rsidRPr="009B22A7" w:rsidRDefault="009B22A7" w:rsidP="009B22A7">
      <w:r w:rsidRPr="009B22A7">
        <w:t xml:space="preserve">The search for oil … them,” </w:t>
      </w:r>
      <w:proofErr w:type="spellStart"/>
      <w:r w:rsidRPr="009B22A7">
        <w:t>Fernández</w:t>
      </w:r>
      <w:proofErr w:type="spellEnd"/>
      <w:r w:rsidRPr="009B22A7">
        <w:t xml:space="preserve"> concluded.</w:t>
      </w:r>
    </w:p>
    <w:p w:rsidR="009B22A7" w:rsidRPr="006B45DA" w:rsidRDefault="009B22A7" w:rsidP="009B22A7">
      <w:pPr>
        <w:rPr>
          <w:rStyle w:val="StyleBoldUnderline"/>
          <w:bCs/>
          <w:sz w:val="16"/>
          <w:u w:val="none"/>
        </w:rPr>
      </w:pPr>
      <w:r>
        <w:rPr>
          <w:sz w:val="16"/>
        </w:rPr>
        <w:t xml:space="preserve"> </w:t>
      </w:r>
      <w:r w:rsidRPr="00846C89">
        <w:rPr>
          <w:sz w:val="16"/>
        </w:rPr>
        <w:t xml:space="preserve">. </w:t>
      </w:r>
      <w:r>
        <w:rPr>
          <w:sz w:val="16"/>
        </w:rPr>
        <w:t xml:space="preserve"> </w:t>
      </w:r>
      <w:r>
        <w:t xml:space="preserve"> </w:t>
      </w:r>
    </w:p>
    <w:p w:rsidR="009B22A7" w:rsidRDefault="009B22A7" w:rsidP="009B22A7">
      <w:pPr>
        <w:pStyle w:val="Heading4"/>
      </w:pPr>
      <w:r>
        <w:t xml:space="preserve">Cooperative drilling boosts U.S. stature and influence </w:t>
      </w:r>
      <w:r w:rsidRPr="00846C89">
        <w:t>in Latin America</w:t>
      </w:r>
      <w:r>
        <w:t xml:space="preserve"> and prevents Chinese incursion</w:t>
      </w:r>
    </w:p>
    <w:p w:rsidR="009B22A7" w:rsidRPr="009945C2" w:rsidRDefault="009B22A7" w:rsidP="009B22A7">
      <w:pPr>
        <w:rPr>
          <w:b/>
        </w:rPr>
      </w:pPr>
      <w:r>
        <w:rPr>
          <w:rStyle w:val="StyleStyleBold12pt"/>
        </w:rPr>
        <w:t>Benjamin-</w:t>
      </w:r>
      <w:proofErr w:type="spellStart"/>
      <w:r>
        <w:rPr>
          <w:rStyle w:val="StyleStyleBold12pt"/>
        </w:rPr>
        <w:t>Alvadaro</w:t>
      </w:r>
      <w:proofErr w:type="spellEnd"/>
      <w:r>
        <w:rPr>
          <w:rStyle w:val="StyleStyleBold12pt"/>
        </w:rPr>
        <w:t xml:space="preserve">, </w:t>
      </w:r>
      <w:r w:rsidRPr="00846C89">
        <w:rPr>
          <w:rStyle w:val="StyleStyleBold12pt"/>
        </w:rPr>
        <w:t>6</w:t>
      </w:r>
      <w:r w:rsidRPr="00846C89">
        <w:t xml:space="preserve"> </w:t>
      </w:r>
      <w:r>
        <w:t xml:space="preserve">– </w:t>
      </w:r>
      <w:r w:rsidRPr="009945C2">
        <w:rPr>
          <w:b/>
        </w:rPr>
        <w:t>Professor of Political Science at University of Nebraska at Omaha</w:t>
      </w:r>
    </w:p>
    <w:p w:rsidR="009B22A7" w:rsidRPr="009945C2" w:rsidRDefault="009B22A7" w:rsidP="009B22A7">
      <w:pPr>
        <w:rPr>
          <w:rStyle w:val="StyleStyleBold12pt"/>
          <w:b w:val="0"/>
        </w:rPr>
      </w:pPr>
      <w:r w:rsidRPr="009945C2">
        <w:rPr>
          <w:b/>
        </w:rPr>
        <w:t>(</w:t>
      </w:r>
      <w:r w:rsidRPr="009945C2">
        <w:rPr>
          <w:rStyle w:val="StyleStyleBold12pt"/>
        </w:rPr>
        <w:t>Jonathan, Report for the Cuban Research Institute, “The Current Status and Future Prospects for Oil Exploration in Cuba: A Special,” http://cri.fiu.edu/research/commissioned-reports/oil-cuba-alvarado.pdf)</w:t>
      </w:r>
    </w:p>
    <w:p w:rsidR="009B22A7" w:rsidRPr="009B22A7" w:rsidRDefault="009B22A7" w:rsidP="009B22A7">
      <w:r w:rsidRPr="009B22A7">
        <w:t xml:space="preserve">Given that there … of all parties involved. </w:t>
      </w:r>
    </w:p>
    <w:p w:rsidR="009B22A7" w:rsidRDefault="009B22A7" w:rsidP="009B22A7">
      <w:pPr>
        <w:rPr>
          <w:sz w:val="16"/>
        </w:rPr>
      </w:pPr>
    </w:p>
    <w:p w:rsidR="009B22A7" w:rsidRPr="00846C89" w:rsidRDefault="009B22A7" w:rsidP="009B22A7">
      <w:pPr>
        <w:pStyle w:val="Heading4"/>
      </w:pPr>
      <w:r w:rsidRPr="00846C89">
        <w:t>Chinese influence in Latin America causes Taiwan war</w:t>
      </w:r>
    </w:p>
    <w:p w:rsidR="009B22A7" w:rsidRPr="009945C2" w:rsidRDefault="009B22A7" w:rsidP="009B22A7">
      <w:pPr>
        <w:rPr>
          <w:b/>
        </w:rPr>
      </w:pPr>
      <w:r w:rsidRPr="00846C89">
        <w:rPr>
          <w:rStyle w:val="StyleStyleBold12pt"/>
        </w:rPr>
        <w:t>Fergusson</w:t>
      </w:r>
      <w:r>
        <w:rPr>
          <w:rStyle w:val="StyleStyleBold12pt"/>
        </w:rPr>
        <w:t>,</w:t>
      </w:r>
      <w:r w:rsidRPr="00846C89">
        <w:rPr>
          <w:rStyle w:val="StyleStyleBold12pt"/>
        </w:rPr>
        <w:t xml:space="preserve"> 12</w:t>
      </w:r>
      <w:r>
        <w:rPr>
          <w:rStyle w:val="StyleStyleBold12pt"/>
        </w:rPr>
        <w:t xml:space="preserve"> – </w:t>
      </w:r>
      <w:r w:rsidRPr="009945C2">
        <w:rPr>
          <w:rStyle w:val="StyleStyleBold12pt"/>
        </w:rPr>
        <w:t>Researcher at Royal Society for the Arts, Master of Science, China in the International Arena, University of Glasgow</w:t>
      </w:r>
      <w:r w:rsidRPr="009945C2">
        <w:rPr>
          <w:b/>
        </w:rPr>
        <w:t xml:space="preserve"> (</w:t>
      </w:r>
      <w:r w:rsidRPr="009945C2">
        <w:t>Robert, “The Chinese Challenge to the Monroe Doctrine,” http://www.e-ir.info/2012/07/23/does-chinese-growth-in-latin-america-threaten-american-interests/)</w:t>
      </w:r>
    </w:p>
    <w:p w:rsidR="009B22A7" w:rsidRPr="009B22A7" w:rsidRDefault="009B22A7" w:rsidP="009B22A7">
      <w:r w:rsidRPr="009B22A7">
        <w:t>Taiwan – domestic, or … Taiwan, perhaps by force.</w:t>
      </w:r>
    </w:p>
    <w:p w:rsidR="009B22A7" w:rsidRPr="00CD26D9" w:rsidRDefault="009B22A7" w:rsidP="009B22A7">
      <w:pPr>
        <w:rPr>
          <w:sz w:val="16"/>
        </w:rPr>
      </w:pPr>
      <w:r>
        <w:rPr>
          <w:sz w:val="16"/>
        </w:rPr>
        <w:t xml:space="preserve"> </w:t>
      </w:r>
    </w:p>
    <w:p w:rsidR="009B22A7" w:rsidRPr="00C65A08" w:rsidRDefault="009B22A7" w:rsidP="009B22A7">
      <w:pPr>
        <w:pStyle w:val="Heading4"/>
      </w:pPr>
      <w:r>
        <w:t>Taiwan is uniquely likely to escalate to nuclear war – risk of miscommunication and misunderstanding is high</w:t>
      </w:r>
    </w:p>
    <w:p w:rsidR="009B22A7" w:rsidRPr="00CF42F8" w:rsidRDefault="009B22A7" w:rsidP="009B22A7">
      <w:pPr>
        <w:rPr>
          <w:b/>
          <w:bCs/>
        </w:rPr>
      </w:pPr>
      <w:proofErr w:type="spellStart"/>
      <w:r w:rsidRPr="00CD26D9">
        <w:rPr>
          <w:rStyle w:val="StyleStyleBold12pt"/>
        </w:rPr>
        <w:t>Lowther</w:t>
      </w:r>
      <w:proofErr w:type="spellEnd"/>
      <w:r>
        <w:rPr>
          <w:rStyle w:val="StyleStyleBold12pt"/>
        </w:rPr>
        <w:t>,</w:t>
      </w:r>
      <w:r w:rsidRPr="00CD26D9">
        <w:rPr>
          <w:rStyle w:val="StyleStyleBold12pt"/>
        </w:rPr>
        <w:t xml:space="preserve"> 3/16</w:t>
      </w:r>
      <w:r>
        <w:rPr>
          <w:rStyle w:val="StyleStyleBold12pt"/>
        </w:rPr>
        <w:t xml:space="preserve"> </w:t>
      </w:r>
      <w:r>
        <w:t xml:space="preserve">(William, </w:t>
      </w:r>
      <w:r w:rsidRPr="00CD26D9">
        <w:t xml:space="preserve">Taipei Times, citing a report by the Center for Strategic </w:t>
      </w:r>
      <w:r>
        <w:t xml:space="preserve">and International Studies, </w:t>
      </w:r>
      <w:r w:rsidRPr="00CD26D9">
        <w:t>“Taiwan could spark nuclear war: report,”</w:t>
      </w:r>
      <w:r>
        <w:t xml:space="preserve"> </w:t>
      </w:r>
      <w:hyperlink r:id="rId10" w:history="1">
        <w:r w:rsidRPr="00CD26D9">
          <w:rPr>
            <w:rStyle w:val="Hyperlink"/>
          </w:rPr>
          <w:t>http://www.taipeitimes.com/News/taiwan/archives/2013/03/16/2003557211</w:t>
        </w:r>
      </w:hyperlink>
      <w:r w:rsidRPr="00CD26D9">
        <w:t>)</w:t>
      </w:r>
    </w:p>
    <w:p w:rsidR="009B22A7" w:rsidRPr="009B22A7" w:rsidRDefault="009B22A7" w:rsidP="009B22A7">
      <w:bookmarkStart w:id="0" w:name="_GoBack"/>
      <w:r w:rsidRPr="009B22A7">
        <w:t>Taiwan is the … quite possibly devastating.”</w:t>
      </w:r>
    </w:p>
    <w:bookmarkEnd w:id="0"/>
    <w:p w:rsidR="00B97E94" w:rsidRDefault="00B97E94"/>
    <w:sectPr w:rsidR="00B97E94" w:rsidSect="00B97E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3275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425F79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1ED36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23E40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6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2A7"/>
    <w:rsid w:val="0000624C"/>
    <w:rsid w:val="00007BFD"/>
    <w:rsid w:val="00031100"/>
    <w:rsid w:val="000406DF"/>
    <w:rsid w:val="00051263"/>
    <w:rsid w:val="000516EC"/>
    <w:rsid w:val="00053CD5"/>
    <w:rsid w:val="00061320"/>
    <w:rsid w:val="00064328"/>
    <w:rsid w:val="00064CB8"/>
    <w:rsid w:val="00067110"/>
    <w:rsid w:val="00074BF5"/>
    <w:rsid w:val="00076694"/>
    <w:rsid w:val="0008582C"/>
    <w:rsid w:val="0009015E"/>
    <w:rsid w:val="00091721"/>
    <w:rsid w:val="000921D1"/>
    <w:rsid w:val="0009410D"/>
    <w:rsid w:val="000A38E9"/>
    <w:rsid w:val="000A4D1D"/>
    <w:rsid w:val="000B50D8"/>
    <w:rsid w:val="000C27AB"/>
    <w:rsid w:val="000E2E26"/>
    <w:rsid w:val="000F3F1F"/>
    <w:rsid w:val="000F40EC"/>
    <w:rsid w:val="00104E31"/>
    <w:rsid w:val="00105FFD"/>
    <w:rsid w:val="001068BD"/>
    <w:rsid w:val="00115E25"/>
    <w:rsid w:val="001203D6"/>
    <w:rsid w:val="001261D1"/>
    <w:rsid w:val="00126990"/>
    <w:rsid w:val="00130112"/>
    <w:rsid w:val="0013596D"/>
    <w:rsid w:val="0014000D"/>
    <w:rsid w:val="00147355"/>
    <w:rsid w:val="00155D72"/>
    <w:rsid w:val="001567A7"/>
    <w:rsid w:val="0015685D"/>
    <w:rsid w:val="00171423"/>
    <w:rsid w:val="00172FC2"/>
    <w:rsid w:val="0017704F"/>
    <w:rsid w:val="00181872"/>
    <w:rsid w:val="00190C95"/>
    <w:rsid w:val="00190FD4"/>
    <w:rsid w:val="001936DC"/>
    <w:rsid w:val="001A079C"/>
    <w:rsid w:val="001B18AE"/>
    <w:rsid w:val="001B7AD2"/>
    <w:rsid w:val="001D73EE"/>
    <w:rsid w:val="001E3D79"/>
    <w:rsid w:val="001F5FC3"/>
    <w:rsid w:val="001F782B"/>
    <w:rsid w:val="002046CF"/>
    <w:rsid w:val="00216AE1"/>
    <w:rsid w:val="00217390"/>
    <w:rsid w:val="00221AA3"/>
    <w:rsid w:val="00232FC3"/>
    <w:rsid w:val="002346A5"/>
    <w:rsid w:val="002452C5"/>
    <w:rsid w:val="00251B55"/>
    <w:rsid w:val="002520B1"/>
    <w:rsid w:val="0026057A"/>
    <w:rsid w:val="00266562"/>
    <w:rsid w:val="002711BA"/>
    <w:rsid w:val="002722F3"/>
    <w:rsid w:val="00272340"/>
    <w:rsid w:val="00273C7A"/>
    <w:rsid w:val="00274AE7"/>
    <w:rsid w:val="00277EDB"/>
    <w:rsid w:val="002826FC"/>
    <w:rsid w:val="0029107B"/>
    <w:rsid w:val="0029274F"/>
    <w:rsid w:val="00296656"/>
    <w:rsid w:val="002A01D1"/>
    <w:rsid w:val="002A63FA"/>
    <w:rsid w:val="002A700A"/>
    <w:rsid w:val="002A78A7"/>
    <w:rsid w:val="002A7A07"/>
    <w:rsid w:val="002B4413"/>
    <w:rsid w:val="002B7A85"/>
    <w:rsid w:val="002C2107"/>
    <w:rsid w:val="002C26EE"/>
    <w:rsid w:val="002E5AE7"/>
    <w:rsid w:val="002F2267"/>
    <w:rsid w:val="003105CB"/>
    <w:rsid w:val="00312365"/>
    <w:rsid w:val="00314D04"/>
    <w:rsid w:val="00314F5F"/>
    <w:rsid w:val="00316DB6"/>
    <w:rsid w:val="003405DC"/>
    <w:rsid w:val="00342AAF"/>
    <w:rsid w:val="00343E0D"/>
    <w:rsid w:val="00352D4C"/>
    <w:rsid w:val="003537BE"/>
    <w:rsid w:val="00360D93"/>
    <w:rsid w:val="00362835"/>
    <w:rsid w:val="00363699"/>
    <w:rsid w:val="00370A22"/>
    <w:rsid w:val="00371FD8"/>
    <w:rsid w:val="00374EA7"/>
    <w:rsid w:val="00383D3F"/>
    <w:rsid w:val="00391462"/>
    <w:rsid w:val="00395068"/>
    <w:rsid w:val="0039716F"/>
    <w:rsid w:val="0039725B"/>
    <w:rsid w:val="00397847"/>
    <w:rsid w:val="003C0709"/>
    <w:rsid w:val="003C1F35"/>
    <w:rsid w:val="003C22FB"/>
    <w:rsid w:val="003C6AEE"/>
    <w:rsid w:val="003D6673"/>
    <w:rsid w:val="003D74D6"/>
    <w:rsid w:val="003E033F"/>
    <w:rsid w:val="003E780C"/>
    <w:rsid w:val="003F200D"/>
    <w:rsid w:val="003F67E6"/>
    <w:rsid w:val="004011EF"/>
    <w:rsid w:val="0040750F"/>
    <w:rsid w:val="004149D6"/>
    <w:rsid w:val="00422BCB"/>
    <w:rsid w:val="0042368E"/>
    <w:rsid w:val="0043747C"/>
    <w:rsid w:val="004617B1"/>
    <w:rsid w:val="004654A4"/>
    <w:rsid w:val="00465F04"/>
    <w:rsid w:val="004722D2"/>
    <w:rsid w:val="00474445"/>
    <w:rsid w:val="0047660B"/>
    <w:rsid w:val="00480209"/>
    <w:rsid w:val="00485B29"/>
    <w:rsid w:val="004915C8"/>
    <w:rsid w:val="004A464E"/>
    <w:rsid w:val="004A6770"/>
    <w:rsid w:val="004B7C6F"/>
    <w:rsid w:val="004C1DDA"/>
    <w:rsid w:val="004D027C"/>
    <w:rsid w:val="004D1823"/>
    <w:rsid w:val="004D4883"/>
    <w:rsid w:val="004D7597"/>
    <w:rsid w:val="004E1602"/>
    <w:rsid w:val="004E23F5"/>
    <w:rsid w:val="004E7517"/>
    <w:rsid w:val="004F1664"/>
    <w:rsid w:val="004F1AF0"/>
    <w:rsid w:val="005015C9"/>
    <w:rsid w:val="0051167F"/>
    <w:rsid w:val="00536B1A"/>
    <w:rsid w:val="00540760"/>
    <w:rsid w:val="00541FA8"/>
    <w:rsid w:val="00556994"/>
    <w:rsid w:val="005708F0"/>
    <w:rsid w:val="005762F1"/>
    <w:rsid w:val="00584018"/>
    <w:rsid w:val="005900A7"/>
    <w:rsid w:val="0059117B"/>
    <w:rsid w:val="005916FE"/>
    <w:rsid w:val="00591B20"/>
    <w:rsid w:val="00593245"/>
    <w:rsid w:val="005A22AC"/>
    <w:rsid w:val="005A650F"/>
    <w:rsid w:val="005A71F7"/>
    <w:rsid w:val="005B3944"/>
    <w:rsid w:val="005C177F"/>
    <w:rsid w:val="005C2800"/>
    <w:rsid w:val="005C5BA0"/>
    <w:rsid w:val="005D50CC"/>
    <w:rsid w:val="005E36CC"/>
    <w:rsid w:val="005E6004"/>
    <w:rsid w:val="005E719E"/>
    <w:rsid w:val="005F14FB"/>
    <w:rsid w:val="00603922"/>
    <w:rsid w:val="00645593"/>
    <w:rsid w:val="0064566A"/>
    <w:rsid w:val="00664D48"/>
    <w:rsid w:val="00664E31"/>
    <w:rsid w:val="006673CB"/>
    <w:rsid w:val="006727EA"/>
    <w:rsid w:val="006760FE"/>
    <w:rsid w:val="00681D33"/>
    <w:rsid w:val="00691459"/>
    <w:rsid w:val="00694572"/>
    <w:rsid w:val="006A04FD"/>
    <w:rsid w:val="006A0DFD"/>
    <w:rsid w:val="006A2EE6"/>
    <w:rsid w:val="006A3393"/>
    <w:rsid w:val="006A3A9F"/>
    <w:rsid w:val="006C5AF4"/>
    <w:rsid w:val="00740315"/>
    <w:rsid w:val="00744960"/>
    <w:rsid w:val="00744DED"/>
    <w:rsid w:val="007462D8"/>
    <w:rsid w:val="00750FAB"/>
    <w:rsid w:val="00751E14"/>
    <w:rsid w:val="00754BEB"/>
    <w:rsid w:val="00772E57"/>
    <w:rsid w:val="00775871"/>
    <w:rsid w:val="00784F00"/>
    <w:rsid w:val="00791047"/>
    <w:rsid w:val="00796A82"/>
    <w:rsid w:val="00796F7A"/>
    <w:rsid w:val="007A2DA6"/>
    <w:rsid w:val="007A56F5"/>
    <w:rsid w:val="007A695C"/>
    <w:rsid w:val="007B0D8F"/>
    <w:rsid w:val="007C1B28"/>
    <w:rsid w:val="007C3195"/>
    <w:rsid w:val="007D5BCB"/>
    <w:rsid w:val="007E225F"/>
    <w:rsid w:val="007E4B08"/>
    <w:rsid w:val="007F4836"/>
    <w:rsid w:val="007F49B8"/>
    <w:rsid w:val="007F4A71"/>
    <w:rsid w:val="00802B15"/>
    <w:rsid w:val="00803C15"/>
    <w:rsid w:val="008057F3"/>
    <w:rsid w:val="00806781"/>
    <w:rsid w:val="00821E12"/>
    <w:rsid w:val="008251C1"/>
    <w:rsid w:val="00835AC4"/>
    <w:rsid w:val="00836807"/>
    <w:rsid w:val="008402D8"/>
    <w:rsid w:val="00840F43"/>
    <w:rsid w:val="008502B3"/>
    <w:rsid w:val="00852249"/>
    <w:rsid w:val="008665D1"/>
    <w:rsid w:val="00866EE5"/>
    <w:rsid w:val="00873E99"/>
    <w:rsid w:val="008756C5"/>
    <w:rsid w:val="00876F64"/>
    <w:rsid w:val="00885156"/>
    <w:rsid w:val="008A5184"/>
    <w:rsid w:val="008A54A9"/>
    <w:rsid w:val="008A74C2"/>
    <w:rsid w:val="008B21BE"/>
    <w:rsid w:val="008B74C5"/>
    <w:rsid w:val="008D4409"/>
    <w:rsid w:val="008D6976"/>
    <w:rsid w:val="008F6E71"/>
    <w:rsid w:val="00901C53"/>
    <w:rsid w:val="009022C1"/>
    <w:rsid w:val="00905064"/>
    <w:rsid w:val="009217B5"/>
    <w:rsid w:val="00932F9F"/>
    <w:rsid w:val="00934642"/>
    <w:rsid w:val="00937A14"/>
    <w:rsid w:val="0094399C"/>
    <w:rsid w:val="00953C68"/>
    <w:rsid w:val="00954999"/>
    <w:rsid w:val="00954E79"/>
    <w:rsid w:val="00967DB5"/>
    <w:rsid w:val="00976559"/>
    <w:rsid w:val="009845E6"/>
    <w:rsid w:val="00996254"/>
    <w:rsid w:val="009A16FE"/>
    <w:rsid w:val="009B22A7"/>
    <w:rsid w:val="009C1889"/>
    <w:rsid w:val="009D2352"/>
    <w:rsid w:val="009E6F1B"/>
    <w:rsid w:val="009E7AD9"/>
    <w:rsid w:val="009F7130"/>
    <w:rsid w:val="00A00AAD"/>
    <w:rsid w:val="00A02B9E"/>
    <w:rsid w:val="00A05EBA"/>
    <w:rsid w:val="00A13291"/>
    <w:rsid w:val="00A20870"/>
    <w:rsid w:val="00A262AE"/>
    <w:rsid w:val="00A26FB9"/>
    <w:rsid w:val="00A356E6"/>
    <w:rsid w:val="00A4132A"/>
    <w:rsid w:val="00A45972"/>
    <w:rsid w:val="00A535A0"/>
    <w:rsid w:val="00A555F4"/>
    <w:rsid w:val="00A56CD5"/>
    <w:rsid w:val="00A633F8"/>
    <w:rsid w:val="00A63940"/>
    <w:rsid w:val="00A74EEB"/>
    <w:rsid w:val="00A823E7"/>
    <w:rsid w:val="00A92CF8"/>
    <w:rsid w:val="00A950C1"/>
    <w:rsid w:val="00AA06E9"/>
    <w:rsid w:val="00AB5400"/>
    <w:rsid w:val="00AB7E8E"/>
    <w:rsid w:val="00AD105F"/>
    <w:rsid w:val="00AE599C"/>
    <w:rsid w:val="00AF1856"/>
    <w:rsid w:val="00AF704F"/>
    <w:rsid w:val="00B12BDC"/>
    <w:rsid w:val="00B136B7"/>
    <w:rsid w:val="00B32185"/>
    <w:rsid w:val="00B33CCB"/>
    <w:rsid w:val="00B343A9"/>
    <w:rsid w:val="00B44C7A"/>
    <w:rsid w:val="00B50EDC"/>
    <w:rsid w:val="00B539F2"/>
    <w:rsid w:val="00B53C35"/>
    <w:rsid w:val="00B64229"/>
    <w:rsid w:val="00B67AE6"/>
    <w:rsid w:val="00B71A87"/>
    <w:rsid w:val="00B73D30"/>
    <w:rsid w:val="00B92437"/>
    <w:rsid w:val="00B97E94"/>
    <w:rsid w:val="00BB0441"/>
    <w:rsid w:val="00BB1AB0"/>
    <w:rsid w:val="00BB60D6"/>
    <w:rsid w:val="00BB7E4D"/>
    <w:rsid w:val="00BC0380"/>
    <w:rsid w:val="00BC1D04"/>
    <w:rsid w:val="00BD2949"/>
    <w:rsid w:val="00BE0B50"/>
    <w:rsid w:val="00BE1DDB"/>
    <w:rsid w:val="00BE55FA"/>
    <w:rsid w:val="00BE71F8"/>
    <w:rsid w:val="00BF12F3"/>
    <w:rsid w:val="00BF32F2"/>
    <w:rsid w:val="00C07BC3"/>
    <w:rsid w:val="00C26EB5"/>
    <w:rsid w:val="00C27B88"/>
    <w:rsid w:val="00C313EC"/>
    <w:rsid w:val="00C32E9C"/>
    <w:rsid w:val="00C35B8E"/>
    <w:rsid w:val="00C362A8"/>
    <w:rsid w:val="00C4049B"/>
    <w:rsid w:val="00C46484"/>
    <w:rsid w:val="00C47DED"/>
    <w:rsid w:val="00C77B06"/>
    <w:rsid w:val="00C809E6"/>
    <w:rsid w:val="00C81D6E"/>
    <w:rsid w:val="00C81DD3"/>
    <w:rsid w:val="00C91744"/>
    <w:rsid w:val="00C96EF8"/>
    <w:rsid w:val="00CA589E"/>
    <w:rsid w:val="00CA692F"/>
    <w:rsid w:val="00CB5457"/>
    <w:rsid w:val="00CC198F"/>
    <w:rsid w:val="00CC5026"/>
    <w:rsid w:val="00CF5A9B"/>
    <w:rsid w:val="00D076A8"/>
    <w:rsid w:val="00D10D83"/>
    <w:rsid w:val="00D230D2"/>
    <w:rsid w:val="00D309D6"/>
    <w:rsid w:val="00D30E96"/>
    <w:rsid w:val="00D32AD9"/>
    <w:rsid w:val="00D40CCF"/>
    <w:rsid w:val="00D46D8C"/>
    <w:rsid w:val="00D51E92"/>
    <w:rsid w:val="00D61176"/>
    <w:rsid w:val="00D6202A"/>
    <w:rsid w:val="00D670BE"/>
    <w:rsid w:val="00D76AB8"/>
    <w:rsid w:val="00D774FA"/>
    <w:rsid w:val="00D979BC"/>
    <w:rsid w:val="00DA11BF"/>
    <w:rsid w:val="00DB0958"/>
    <w:rsid w:val="00DB273E"/>
    <w:rsid w:val="00DB6519"/>
    <w:rsid w:val="00DC5544"/>
    <w:rsid w:val="00DD3A16"/>
    <w:rsid w:val="00DE4B52"/>
    <w:rsid w:val="00E10A18"/>
    <w:rsid w:val="00E11963"/>
    <w:rsid w:val="00E12652"/>
    <w:rsid w:val="00E15388"/>
    <w:rsid w:val="00E17395"/>
    <w:rsid w:val="00E33150"/>
    <w:rsid w:val="00E42514"/>
    <w:rsid w:val="00E46F5D"/>
    <w:rsid w:val="00E511B6"/>
    <w:rsid w:val="00E54DAE"/>
    <w:rsid w:val="00E611A0"/>
    <w:rsid w:val="00E660DC"/>
    <w:rsid w:val="00E74B4A"/>
    <w:rsid w:val="00E77994"/>
    <w:rsid w:val="00E83FEA"/>
    <w:rsid w:val="00E95723"/>
    <w:rsid w:val="00EA0A2A"/>
    <w:rsid w:val="00EA101F"/>
    <w:rsid w:val="00EA2393"/>
    <w:rsid w:val="00EB421A"/>
    <w:rsid w:val="00EC0B83"/>
    <w:rsid w:val="00EC24F3"/>
    <w:rsid w:val="00EC6386"/>
    <w:rsid w:val="00EE0E6F"/>
    <w:rsid w:val="00F060FE"/>
    <w:rsid w:val="00F07089"/>
    <w:rsid w:val="00F24FDA"/>
    <w:rsid w:val="00F315CC"/>
    <w:rsid w:val="00F35E57"/>
    <w:rsid w:val="00F46FB6"/>
    <w:rsid w:val="00F56564"/>
    <w:rsid w:val="00F61960"/>
    <w:rsid w:val="00F63C52"/>
    <w:rsid w:val="00F66EF2"/>
    <w:rsid w:val="00F675BA"/>
    <w:rsid w:val="00F71BE6"/>
    <w:rsid w:val="00F946BF"/>
    <w:rsid w:val="00FA2CC0"/>
    <w:rsid w:val="00FA437F"/>
    <w:rsid w:val="00FA5167"/>
    <w:rsid w:val="00FA53ED"/>
    <w:rsid w:val="00FC7D75"/>
    <w:rsid w:val="00FD0275"/>
    <w:rsid w:val="00FD1E86"/>
    <w:rsid w:val="00FD27FD"/>
    <w:rsid w:val="00FE7478"/>
    <w:rsid w:val="00FE78B2"/>
    <w:rsid w:val="00FF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F10D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9B22A7"/>
    <w:rPr>
      <w:rFonts w:ascii="Calibri" w:hAnsi="Calibri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9B22A7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9B22A7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,Heading 3 Char Char, Char,Char1,Heading 3 Char3,Heading 3 Char4 Char Char,Heading 3 Char3 Char Char Char,Heading 3 Char1 Char Char Char Char,Heading 3 Char Char Char Char Char Char,Heading 3 Char1 Char Char Char Char Char Char,Citation"/>
    <w:basedOn w:val="Normal"/>
    <w:next w:val="Normal"/>
    <w:link w:val="Heading3Char"/>
    <w:uiPriority w:val="9"/>
    <w:unhideWhenUsed/>
    <w:qFormat/>
    <w:rsid w:val="009B22A7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u w:val="single"/>
    </w:rPr>
  </w:style>
  <w:style w:type="paragraph" w:styleId="Heading4">
    <w:name w:val="heading 4"/>
    <w:aliases w:val="Tag,Big card,body,small text,Normal Tag,heading 2,Heading 2 Char2 Char,Heading 2 Char1 Char Char, Ch,Ch,no read,No Spacing211,No Spacing12,No Spacing2111,No Spacing1,No Spacing11,No Spacing111,No Spacing112,No Spacing1121,No Spacing2,TAG,Card"/>
    <w:basedOn w:val="Normal"/>
    <w:next w:val="Normal"/>
    <w:link w:val="Heading4Char"/>
    <w:uiPriority w:val="9"/>
    <w:unhideWhenUsed/>
    <w:qFormat/>
    <w:rsid w:val="009B22A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9B22A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B22A7"/>
  </w:style>
  <w:style w:type="character" w:customStyle="1" w:styleId="Heading3Char">
    <w:name w:val="Heading 3 Char"/>
    <w:aliases w:val="Block Char,Heading 3 Char Char Char, Char Char,Char1 Char,Heading 3 Char3 Char,Heading 3 Char4 Char Char Char,Heading 3 Char3 Char Char Char Char,Heading 3 Char1 Char Char Char Char Char,Heading 3 Char Char Char Char Char Char Char"/>
    <w:basedOn w:val="DefaultParagraphFont"/>
    <w:link w:val="Heading3"/>
    <w:uiPriority w:val="9"/>
    <w:rsid w:val="009B22A7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,Big card Char,body Char,small text Char,Normal Tag Char,heading 2 Char,Heading 2 Char2 Char Char,Heading 2 Char1 Char Char Char, Ch Char,Ch Char,no read Char,No Spacing211 Char,No Spacing12 Char,No Spacing2111 Char,TAG Char"/>
    <w:basedOn w:val="DefaultParagraphFont"/>
    <w:link w:val="Heading4"/>
    <w:uiPriority w:val="9"/>
    <w:rsid w:val="009B22A7"/>
    <w:rPr>
      <w:rFonts w:asciiTheme="majorHAnsi" w:eastAsiaTheme="majorEastAsia" w:hAnsiTheme="majorHAnsi" w:cstheme="majorBidi"/>
      <w:b/>
      <w:bCs/>
      <w:iCs/>
      <w:sz w:val="26"/>
    </w:rPr>
  </w:style>
  <w:style w:type="character" w:styleId="Emphasis">
    <w:name w:val="Emphasis"/>
    <w:aliases w:val="Evidence,Minimized,minimized,Highlighted,tag2,Size 10,emphasis in card,CD Card,Underlined,ED - Tag,emphasis,Emphasis!!,Bold Underline,small"/>
    <w:basedOn w:val="DefaultParagraphFont"/>
    <w:uiPriority w:val="7"/>
    <w:qFormat/>
    <w:rsid w:val="009B22A7"/>
    <w:rPr>
      <w:rFonts w:ascii="Calibri" w:hAnsi="Calibri"/>
      <w:b/>
      <w:i w:val="0"/>
      <w:iCs/>
      <w:sz w:val="22"/>
      <w:u w:val="single"/>
      <w:bdr w:val="single" w:sz="18" w:space="0" w:color="auto"/>
    </w:rPr>
  </w:style>
  <w:style w:type="character" w:customStyle="1" w:styleId="StyleBoldUnderline">
    <w:name w:val="Style Bold Underline"/>
    <w:aliases w:val="Underline,Style,apple-style-span + 6 pt,Bold,Kern at 16 pt,Intense Emphasis1,Intense Emphasis2,HHeading 3 + 12 pt,Cards + Font: 12 pt Char,Bold Cite Char,Citation Char Char Char,Heading 3 Char1 Char Char Char,ci,c,cite,9.5 pt,Bo,B"/>
    <w:basedOn w:val="DefaultParagraphFont"/>
    <w:uiPriority w:val="1"/>
    <w:qFormat/>
    <w:rsid w:val="009B22A7"/>
    <w:rPr>
      <w:b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"/>
    <w:basedOn w:val="DefaultParagraphFont"/>
    <w:uiPriority w:val="1"/>
    <w:qFormat/>
    <w:rsid w:val="009B22A7"/>
    <w:rPr>
      <w:b/>
      <w:sz w:val="26"/>
      <w:u w:val="none"/>
    </w:rPr>
  </w:style>
  <w:style w:type="character" w:styleId="Hyperlink">
    <w:name w:val="Hyperlink"/>
    <w:aliases w:val="heading 1 (block title),Important,Read,Internet Link,Card Text"/>
    <w:basedOn w:val="DefaultParagraphFont"/>
    <w:uiPriority w:val="99"/>
    <w:unhideWhenUsed/>
    <w:rsid w:val="009B22A7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B22A7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B22A7"/>
    <w:rPr>
      <w:rFonts w:ascii="Lucida Grande" w:hAnsi="Lucida Grande" w:cs="Lucida Grande"/>
      <w:sz w:val="22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9B22A7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9B22A7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NoSpacing">
    <w:name w:val="No Spacing"/>
    <w:uiPriority w:val="1"/>
    <w:rsid w:val="009B22A7"/>
  </w:style>
  <w:style w:type="paragraph" w:styleId="ListParagraph">
    <w:name w:val="List Paragraph"/>
    <w:basedOn w:val="Normal"/>
    <w:uiPriority w:val="34"/>
    <w:rsid w:val="009B22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22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22A7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9B22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22A7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9B22A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9B22A7"/>
    <w:rPr>
      <w:rFonts w:ascii="Calibri" w:hAnsi="Calibri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9B22A7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9B22A7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,Heading 3 Char Char, Char,Char1,Heading 3 Char3,Heading 3 Char4 Char Char,Heading 3 Char3 Char Char Char,Heading 3 Char1 Char Char Char Char,Heading 3 Char Char Char Char Char Char,Heading 3 Char1 Char Char Char Char Char Char,Citation"/>
    <w:basedOn w:val="Normal"/>
    <w:next w:val="Normal"/>
    <w:link w:val="Heading3Char"/>
    <w:uiPriority w:val="9"/>
    <w:unhideWhenUsed/>
    <w:qFormat/>
    <w:rsid w:val="009B22A7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u w:val="single"/>
    </w:rPr>
  </w:style>
  <w:style w:type="paragraph" w:styleId="Heading4">
    <w:name w:val="heading 4"/>
    <w:aliases w:val="Tag,Big card,body,small text,Normal Tag,heading 2,Heading 2 Char2 Char,Heading 2 Char1 Char Char, Ch,Ch,no read,No Spacing211,No Spacing12,No Spacing2111,No Spacing1,No Spacing11,No Spacing111,No Spacing112,No Spacing1121,No Spacing2,TAG,Card"/>
    <w:basedOn w:val="Normal"/>
    <w:next w:val="Normal"/>
    <w:link w:val="Heading4Char"/>
    <w:uiPriority w:val="9"/>
    <w:unhideWhenUsed/>
    <w:qFormat/>
    <w:rsid w:val="009B22A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9B22A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B22A7"/>
  </w:style>
  <w:style w:type="character" w:customStyle="1" w:styleId="Heading3Char">
    <w:name w:val="Heading 3 Char"/>
    <w:aliases w:val="Block Char,Heading 3 Char Char Char, Char Char,Char1 Char,Heading 3 Char3 Char,Heading 3 Char4 Char Char Char,Heading 3 Char3 Char Char Char Char,Heading 3 Char1 Char Char Char Char Char,Heading 3 Char Char Char Char Char Char Char"/>
    <w:basedOn w:val="DefaultParagraphFont"/>
    <w:link w:val="Heading3"/>
    <w:uiPriority w:val="9"/>
    <w:rsid w:val="009B22A7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,Big card Char,body Char,small text Char,Normal Tag Char,heading 2 Char,Heading 2 Char2 Char Char,Heading 2 Char1 Char Char Char, Ch Char,Ch Char,no read Char,No Spacing211 Char,No Spacing12 Char,No Spacing2111 Char,TAG Char"/>
    <w:basedOn w:val="DefaultParagraphFont"/>
    <w:link w:val="Heading4"/>
    <w:uiPriority w:val="9"/>
    <w:rsid w:val="009B22A7"/>
    <w:rPr>
      <w:rFonts w:asciiTheme="majorHAnsi" w:eastAsiaTheme="majorEastAsia" w:hAnsiTheme="majorHAnsi" w:cstheme="majorBidi"/>
      <w:b/>
      <w:bCs/>
      <w:iCs/>
      <w:sz w:val="26"/>
    </w:rPr>
  </w:style>
  <w:style w:type="character" w:styleId="Emphasis">
    <w:name w:val="Emphasis"/>
    <w:aliases w:val="Evidence,Minimized,minimized,Highlighted,tag2,Size 10,emphasis in card,CD Card,Underlined,ED - Tag,emphasis,Emphasis!!,Bold Underline,small"/>
    <w:basedOn w:val="DefaultParagraphFont"/>
    <w:uiPriority w:val="7"/>
    <w:qFormat/>
    <w:rsid w:val="009B22A7"/>
    <w:rPr>
      <w:rFonts w:ascii="Calibri" w:hAnsi="Calibri"/>
      <w:b/>
      <w:i w:val="0"/>
      <w:iCs/>
      <w:sz w:val="22"/>
      <w:u w:val="single"/>
      <w:bdr w:val="single" w:sz="18" w:space="0" w:color="auto"/>
    </w:rPr>
  </w:style>
  <w:style w:type="character" w:customStyle="1" w:styleId="StyleBoldUnderline">
    <w:name w:val="Style Bold Underline"/>
    <w:aliases w:val="Underline,Style,apple-style-span + 6 pt,Bold,Kern at 16 pt,Intense Emphasis1,Intense Emphasis2,HHeading 3 + 12 pt,Cards + Font: 12 pt Char,Bold Cite Char,Citation Char Char Char,Heading 3 Char1 Char Char Char,ci,c,cite,9.5 pt,Bo,B"/>
    <w:basedOn w:val="DefaultParagraphFont"/>
    <w:uiPriority w:val="1"/>
    <w:qFormat/>
    <w:rsid w:val="009B22A7"/>
    <w:rPr>
      <w:b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"/>
    <w:basedOn w:val="DefaultParagraphFont"/>
    <w:uiPriority w:val="1"/>
    <w:qFormat/>
    <w:rsid w:val="009B22A7"/>
    <w:rPr>
      <w:b/>
      <w:sz w:val="26"/>
      <w:u w:val="none"/>
    </w:rPr>
  </w:style>
  <w:style w:type="character" w:styleId="Hyperlink">
    <w:name w:val="Hyperlink"/>
    <w:aliases w:val="heading 1 (block title),Important,Read,Internet Link,Card Text"/>
    <w:basedOn w:val="DefaultParagraphFont"/>
    <w:uiPriority w:val="99"/>
    <w:unhideWhenUsed/>
    <w:rsid w:val="009B22A7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B22A7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B22A7"/>
    <w:rPr>
      <w:rFonts w:ascii="Lucida Grande" w:hAnsi="Lucida Grande" w:cs="Lucida Grande"/>
      <w:sz w:val="22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9B22A7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9B22A7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NoSpacing">
    <w:name w:val="No Spacing"/>
    <w:uiPriority w:val="1"/>
    <w:rsid w:val="009B22A7"/>
  </w:style>
  <w:style w:type="paragraph" w:styleId="ListParagraph">
    <w:name w:val="List Paragraph"/>
    <w:basedOn w:val="Normal"/>
    <w:uiPriority w:val="34"/>
    <w:rsid w:val="009B22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22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22A7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9B22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22A7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9B2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fr.org/cuba/addressing-risk-cuban-oil-spill/p27515" TargetMode="External"/><Relationship Id="rId7" Type="http://schemas.openxmlformats.org/officeDocument/2006/relationships/hyperlink" Target="http://thehill.com/blogs/congress-blog/foreign-policy/184661-us-cuba-policy-and-the-race-for-oil-drilling" TargetMode="External"/><Relationship Id="rId8" Type="http://schemas.openxmlformats.org/officeDocument/2006/relationships/hyperlink" Target="http://www.popularmechanics.com/science/energy/coal-oil-gas/what-if-cubas-offshore-oil-project-only-100-miles-from-florida-goes-wrong)//TWR" TargetMode="External"/><Relationship Id="rId9" Type="http://schemas.openxmlformats.org/officeDocument/2006/relationships/hyperlink" Target="http://www.ipsnews.net/2012/02/cuba-oil-drilling-opens-up-new-possibilities/" TargetMode="External"/><Relationship Id="rId10" Type="http://schemas.openxmlformats.org/officeDocument/2006/relationships/hyperlink" Target="http://www.taipeitimes.com/News/taiwan/archives/2013/03/16/2003557211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seanmadson:Library:Application%20Support:Microsoft:Office:User%20Templates:My%20Templates: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6</TotalTime>
  <Pages>4</Pages>
  <Words>1053</Words>
  <Characters>6003</Characters>
  <Application>Microsoft Macintosh Word</Application>
  <DocSecurity>0</DocSecurity>
  <Lines>50</Lines>
  <Paragraphs>14</Paragraphs>
  <ScaleCrop>false</ScaleCrop>
  <Company/>
  <LinksUpToDate>false</LinksUpToDate>
  <CharactersWithSpaces>7042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*Sean</dc:creator>
  <cp:keywords/>
  <dc:description/>
  <cp:lastModifiedBy>*Sean</cp:lastModifiedBy>
  <cp:revision>1</cp:revision>
  <dcterms:created xsi:type="dcterms:W3CDTF">2014-02-20T20:26:00Z</dcterms:created>
  <dcterms:modified xsi:type="dcterms:W3CDTF">2014-02-20T20:33:00Z</dcterms:modified>
</cp:coreProperties>
</file>