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0712D" w14:textId="77777777" w:rsidR="004219A7" w:rsidRDefault="004219A7" w:rsidP="004219A7">
      <w:pPr>
        <w:pStyle w:val="Heading3"/>
      </w:pPr>
      <w:r>
        <w:t xml:space="preserve">EE </w:t>
      </w:r>
      <w:r w:rsidRPr="00D94D3F">
        <w:t xml:space="preserve">≠ </w:t>
      </w:r>
      <w:r>
        <w:t>Military/Cultural/Political 1NC</w:t>
      </w:r>
    </w:p>
    <w:p w14:paraId="1702ACAF" w14:textId="77777777" w:rsidR="004219A7" w:rsidRPr="00FD10D4" w:rsidRDefault="004219A7" w:rsidP="004219A7">
      <w:pPr>
        <w:pStyle w:val="Heading4"/>
      </w:pPr>
      <w:r>
        <w:t>A. Interpretation – Economic engagement means using exclusively economic contacts like trade, loans and grants – it’s distinct from military/cultural/political engagement.</w:t>
      </w:r>
    </w:p>
    <w:p w14:paraId="5CA7672D" w14:textId="77777777" w:rsidR="004219A7" w:rsidRDefault="004219A7" w:rsidP="004219A7">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Spring, 54(2), </w:t>
      </w:r>
      <w:proofErr w:type="spellStart"/>
      <w:r>
        <w:t>Ebsco</w:t>
      </w:r>
      <w:proofErr w:type="spellEnd"/>
    </w:p>
    <w:p w14:paraId="1D2E0CA1" w14:textId="77777777" w:rsidR="004219A7" w:rsidRDefault="004219A7" w:rsidP="004219A7"/>
    <w:p w14:paraId="0AA749D1" w14:textId="77777777" w:rsidR="004219A7" w:rsidRDefault="004219A7" w:rsidP="004219A7">
      <w:pPr>
        <w:rPr>
          <w:sz w:val="16"/>
        </w:rPr>
      </w:pPr>
      <w:r w:rsidRPr="00DD2684">
        <w:rPr>
          <w:rStyle w:val="StyleBoldUnderline"/>
          <w:highlight w:val="cyan"/>
        </w:rPr>
        <w:t>Scholars have limited the concept of engagement</w:t>
      </w:r>
      <w:r w:rsidRPr="003D28CB">
        <w:rPr>
          <w:sz w:val="16"/>
        </w:rPr>
        <w:t xml:space="preserve"> in a third way by unnecessarily restricting the scope of the policy. In their evaluation of post-Cold War US engagement of China, Paul </w:t>
      </w:r>
      <w:proofErr w:type="spellStart"/>
      <w:r w:rsidRPr="003D28CB">
        <w:rPr>
          <w:rStyle w:val="StyleBoldUnderline"/>
        </w:rPr>
        <w:t>Papayoanou</w:t>
      </w:r>
      <w:proofErr w:type="spellEnd"/>
      <w:r w:rsidRPr="003D28CB">
        <w:rPr>
          <w:rStyle w:val="StyleBoldUnderline"/>
        </w:rPr>
        <w:t xml:space="preserve"> and</w:t>
      </w:r>
      <w:r w:rsidRPr="003D28CB">
        <w:rPr>
          <w:sz w:val="16"/>
        </w:rPr>
        <w:t xml:space="preserve"> Scott </w:t>
      </w:r>
      <w:proofErr w:type="spellStart"/>
      <w:r w:rsidRPr="003D28CB">
        <w:rPr>
          <w:rStyle w:val="StyleBoldUnderline"/>
        </w:rPr>
        <w:t>Kastner</w:t>
      </w:r>
      <w:proofErr w:type="spellEnd"/>
      <w:r w:rsidRPr="003D28CB">
        <w:rPr>
          <w:rStyle w:val="StyleBoldUnderline"/>
        </w:rPr>
        <w:t xml:space="preserve"> define engagement as the attempt to integrate a target country</w:t>
      </w:r>
      <w:r w:rsidRPr="003D28CB">
        <w:rPr>
          <w:sz w:val="16"/>
        </w:rPr>
        <w:t xml:space="preserve"> into the international order </w:t>
      </w:r>
      <w:r w:rsidRPr="00DD2684">
        <w:rPr>
          <w:rStyle w:val="StyleBoldUnderline"/>
          <w:highlight w:val="cyan"/>
        </w:rPr>
        <w:t xml:space="preserve">through promoting </w:t>
      </w:r>
      <w:r w:rsidRPr="00DD2684">
        <w:rPr>
          <w:rStyle w:val="Emphasis"/>
          <w:highlight w:val="cyan"/>
        </w:rPr>
        <w:t>"increased trade and financial transactions."</w:t>
      </w:r>
      <w:r w:rsidRPr="003D28CB">
        <w:rPr>
          <w:sz w:val="16"/>
        </w:rPr>
        <w:t>(</w:t>
      </w:r>
      <w:proofErr w:type="gramStart"/>
      <w:r w:rsidRPr="003D28CB">
        <w:rPr>
          <w:sz w:val="16"/>
        </w:rPr>
        <w:t>n21</w:t>
      </w:r>
      <w:proofErr w:type="gramEnd"/>
      <w:r w:rsidRPr="003D28CB">
        <w:rPr>
          <w:sz w:val="16"/>
        </w:rPr>
        <w:t xml:space="preserve">) </w:t>
      </w:r>
      <w:r w:rsidRPr="003D28CB">
        <w:rPr>
          <w:rStyle w:val="StyleBoldUnderline"/>
        </w:rPr>
        <w:t xml:space="preserve">However, </w:t>
      </w:r>
      <w:r w:rsidRPr="00DD2684">
        <w:rPr>
          <w:rStyle w:val="StyleBoldUnderline"/>
          <w:highlight w:val="cyan"/>
        </w:rPr>
        <w:t>limiting</w:t>
      </w:r>
      <w:r w:rsidRPr="003D28CB">
        <w:rPr>
          <w:rStyle w:val="StyleBoldUnderline"/>
        </w:rPr>
        <w:t xml:space="preserve"> </w:t>
      </w:r>
      <w:r w:rsidRPr="00DD2684">
        <w:rPr>
          <w:rStyle w:val="StyleBoldUnderline"/>
          <w:highlight w:val="cyan"/>
        </w:rPr>
        <w:t>engagement</w:t>
      </w:r>
      <w:r w:rsidRPr="003D28CB">
        <w:rPr>
          <w:rStyle w:val="StyleBoldUnderline"/>
        </w:rPr>
        <w:t xml:space="preserve"> policy </w:t>
      </w:r>
      <w:r w:rsidRPr="00DD2684">
        <w:rPr>
          <w:rStyle w:val="StyleBoldUnderline"/>
          <w:highlight w:val="cyan"/>
        </w:rPr>
        <w:t>to</w:t>
      </w:r>
      <w:r w:rsidRPr="003D28CB">
        <w:rPr>
          <w:rStyle w:val="StyleBoldUnderline"/>
        </w:rPr>
        <w:t xml:space="preserve"> the increasing of </w:t>
      </w:r>
      <w:r w:rsidRPr="00DD2684">
        <w:rPr>
          <w:rStyle w:val="StyleBoldUnderline"/>
          <w:highlight w:val="cyan"/>
        </w:rPr>
        <w:t>economic</w:t>
      </w:r>
      <w:r w:rsidRPr="003D28CB">
        <w:rPr>
          <w:rStyle w:val="StyleBoldUnderline"/>
        </w:rPr>
        <w:t xml:space="preserve"> interdependence </w:t>
      </w:r>
      <w:r w:rsidRPr="00DD2684">
        <w:rPr>
          <w:rStyle w:val="StyleBoldUnderline"/>
          <w:highlight w:val="cyan"/>
        </w:rPr>
        <w:t>leaves out</w:t>
      </w:r>
      <w:r w:rsidRPr="003D28CB">
        <w:rPr>
          <w:rStyle w:val="StyleBoldUnderline"/>
        </w:rPr>
        <w:t xml:space="preserve"> many other issue areas</w:t>
      </w:r>
      <w:r w:rsidRPr="003D28CB">
        <w:rPr>
          <w:sz w:val="16"/>
        </w:rPr>
        <w:t xml:space="preserve"> that were an integral part of the Clinton administration's China policy, </w:t>
      </w:r>
      <w:r w:rsidRPr="003D28CB">
        <w:rPr>
          <w:rStyle w:val="StyleBoldUnderline"/>
        </w:rPr>
        <w:t xml:space="preserve">including those in the </w:t>
      </w:r>
      <w:r w:rsidRPr="00DD2684">
        <w:rPr>
          <w:rStyle w:val="Emphasis"/>
          <w:highlight w:val="cyan"/>
        </w:rPr>
        <w:t>diplomatic</w:t>
      </w:r>
      <w:r w:rsidRPr="00DD2684">
        <w:rPr>
          <w:rStyle w:val="StyleBoldUnderline"/>
          <w:highlight w:val="cyan"/>
        </w:rPr>
        <w:t xml:space="preserve">, </w:t>
      </w:r>
      <w:r w:rsidRPr="00DD2684">
        <w:rPr>
          <w:rStyle w:val="Emphasis"/>
          <w:highlight w:val="cyan"/>
        </w:rPr>
        <w:t>military</w:t>
      </w:r>
      <w:r w:rsidRPr="00DD2684">
        <w:rPr>
          <w:rStyle w:val="StyleBoldUnderline"/>
          <w:highlight w:val="cyan"/>
        </w:rPr>
        <w:t xml:space="preserve"> and </w:t>
      </w:r>
      <w:r w:rsidRPr="00DD2684">
        <w:rPr>
          <w:rStyle w:val="Emphasis"/>
          <w:highlight w:val="cyan"/>
        </w:rPr>
        <w:t>cultural</w:t>
      </w:r>
      <w:r w:rsidRPr="00DD2684">
        <w:rPr>
          <w:rStyle w:val="StyleBoldUnderline"/>
          <w:highlight w:val="cyan"/>
        </w:rPr>
        <w:t xml:space="preserve"> arenas</w:t>
      </w:r>
      <w:r w:rsidRPr="003D28CB">
        <w:rPr>
          <w:sz w:val="16"/>
        </w:rPr>
        <w:t>. Similarly, the US engagement of North Korea, as epitomized by the 1994 Agreed Framework pact, promises eventual normalization of economic relations and the gradual normalization of diplomatic relations</w:t>
      </w:r>
      <w:proofErr w:type="gramStart"/>
      <w:r w:rsidRPr="003D28CB">
        <w:rPr>
          <w:sz w:val="16"/>
        </w:rPr>
        <w:t>.(</w:t>
      </w:r>
      <w:proofErr w:type="gramEnd"/>
      <w:r w:rsidRPr="003D28CB">
        <w:rPr>
          <w:sz w:val="16"/>
        </w:rPr>
        <w:t>n22) Equating engagement with economic contacts alone risks neglecting the importance and potential effectiveness of contacts in noneconomic issue areas.</w:t>
      </w:r>
      <w:r>
        <w:rPr>
          <w:sz w:val="16"/>
        </w:rPr>
        <w:t xml:space="preserve"> </w:t>
      </w:r>
      <w:r w:rsidRPr="003D28CB">
        <w:rPr>
          <w:sz w:val="16"/>
        </w:rPr>
        <w:t xml:space="preserve">Finally, some scholars risk gleaning only a partial and distorted insight into engagement by restrictively evaluating its effectiveness in achieving only some of its professed objectives. </w:t>
      </w:r>
      <w:proofErr w:type="spellStart"/>
      <w:r w:rsidRPr="003D28CB">
        <w:rPr>
          <w:sz w:val="16"/>
        </w:rPr>
        <w:t>Papayoanou</w:t>
      </w:r>
      <w:proofErr w:type="spellEnd"/>
      <w:r w:rsidRPr="003D28CB">
        <w:rPr>
          <w:sz w:val="16"/>
        </w:rPr>
        <w:t xml:space="preserve"> and </w:t>
      </w:r>
      <w:proofErr w:type="spellStart"/>
      <w:r w:rsidRPr="003D28CB">
        <w:rPr>
          <w:sz w:val="16"/>
        </w:rPr>
        <w:t>Kastner</w:t>
      </w:r>
      <w:proofErr w:type="spellEnd"/>
      <w:r w:rsidRPr="003D28CB">
        <w:rPr>
          <w:sz w:val="16"/>
        </w:rPr>
        <w:t xml:space="preserve"> deny that they seek merely to examine the "security implications" of the US engagement of China, though in a footnote, they admit that "[</w:t>
      </w:r>
      <w:proofErr w:type="gramStart"/>
      <w:r w:rsidRPr="003D28CB">
        <w:rPr>
          <w:sz w:val="16"/>
        </w:rPr>
        <w:t>m]</w:t>
      </w:r>
      <w:proofErr w:type="spellStart"/>
      <w:r w:rsidRPr="003D28CB">
        <w:rPr>
          <w:sz w:val="16"/>
        </w:rPr>
        <w:t>uch</w:t>
      </w:r>
      <w:proofErr w:type="spellEnd"/>
      <w:proofErr w:type="gramEnd"/>
      <w:r w:rsidRPr="003D28CB">
        <w:rPr>
          <w:sz w:val="16"/>
        </w:rPr>
        <w:t xml:space="preserve"> of the debate [over US policy toward the PRC] centers around the effects of engagement versus containment on human rights in China."(</w:t>
      </w:r>
      <w:proofErr w:type="gramStart"/>
      <w:r w:rsidRPr="003D28CB">
        <w:rPr>
          <w:sz w:val="16"/>
        </w:rPr>
        <w:t>n23</w:t>
      </w:r>
      <w:proofErr w:type="gramEnd"/>
      <w:r w:rsidRPr="003D28CB">
        <w:rPr>
          <w:sz w:val="16"/>
        </w:rPr>
        <w:t>) This approach violates a cardinal tenet of statecraft analysis: the need to acknowledge multiple objectives in virtually all attempts to exercise inter-state influence</w:t>
      </w:r>
      <w:proofErr w:type="gramStart"/>
      <w:r w:rsidRPr="003D28CB">
        <w:rPr>
          <w:sz w:val="16"/>
        </w:rPr>
        <w:t>.(</w:t>
      </w:r>
      <w:proofErr w:type="gramEnd"/>
      <w:r w:rsidRPr="003D28CB">
        <w:rPr>
          <w:sz w:val="16"/>
        </w:rPr>
        <w:t>n24) Absent a comprehensive survey of the multiplicity of goals involved in any such attempt, it would be naive to accept any verdict rendered concerning its overall merits.</w:t>
      </w:r>
      <w:r>
        <w:rPr>
          <w:sz w:val="16"/>
        </w:rPr>
        <w:t xml:space="preserve"> </w:t>
      </w:r>
      <w:r w:rsidRPr="003D28CB">
        <w:rPr>
          <w:rStyle w:val="StyleBoldUnderline"/>
        </w:rPr>
        <w:t>A REFINED DEFINITION OF ENGAGEMENT</w:t>
      </w:r>
      <w:r>
        <w:rPr>
          <w:rStyle w:val="StyleBoldUnderline"/>
        </w:rPr>
        <w:t xml:space="preserve"> </w:t>
      </w:r>
      <w:r w:rsidRPr="003D28CB">
        <w:rPr>
          <w:rStyle w:val="StyleBoldUnderline"/>
        </w:rPr>
        <w:t xml:space="preserve">In order to establish a more effective framework for dealing with unsavory regimes, I propose that we define engagement as the attempt to influence the political behavior of a target state through the comprehensive establishment and </w:t>
      </w:r>
      <w:r w:rsidRPr="00DD2684">
        <w:rPr>
          <w:rStyle w:val="StyleBoldUnderline"/>
          <w:highlight w:val="cyan"/>
        </w:rPr>
        <w:t xml:space="preserve">enhancement of contacts with that state across </w:t>
      </w:r>
      <w:r w:rsidRPr="00DD2684">
        <w:rPr>
          <w:rStyle w:val="Emphasis"/>
          <w:highlight w:val="cyan"/>
        </w:rPr>
        <w:t>multiple issue-areas</w:t>
      </w:r>
      <w:r w:rsidRPr="00DD2684">
        <w:rPr>
          <w:rStyle w:val="StyleBoldUnderline"/>
          <w:highlight w:val="cyan"/>
        </w:rPr>
        <w:t xml:space="preserve"> (i.e. </w:t>
      </w:r>
      <w:r w:rsidRPr="00DD2684">
        <w:rPr>
          <w:rStyle w:val="Emphasis"/>
          <w:highlight w:val="cyan"/>
        </w:rPr>
        <w:t>diplomatic</w:t>
      </w:r>
      <w:r w:rsidRPr="00DD2684">
        <w:rPr>
          <w:rStyle w:val="StyleBoldUnderline"/>
          <w:highlight w:val="cyan"/>
        </w:rPr>
        <w:t xml:space="preserve">, </w:t>
      </w:r>
      <w:r w:rsidRPr="00DD2684">
        <w:rPr>
          <w:rStyle w:val="Emphasis"/>
          <w:highlight w:val="cyan"/>
        </w:rPr>
        <w:t>military</w:t>
      </w:r>
      <w:r w:rsidRPr="00DD2684">
        <w:rPr>
          <w:rStyle w:val="StyleBoldUnderline"/>
          <w:highlight w:val="cyan"/>
        </w:rPr>
        <w:t xml:space="preserve">, </w:t>
      </w:r>
      <w:r w:rsidRPr="00DD2684">
        <w:rPr>
          <w:rStyle w:val="Emphasis"/>
          <w:highlight w:val="cyan"/>
        </w:rPr>
        <w:t>economic</w:t>
      </w:r>
      <w:r w:rsidRPr="00DD2684">
        <w:rPr>
          <w:rStyle w:val="StyleBoldUnderline"/>
          <w:highlight w:val="cyan"/>
        </w:rPr>
        <w:t xml:space="preserve">, </w:t>
      </w:r>
      <w:r w:rsidRPr="00DD2684">
        <w:rPr>
          <w:rStyle w:val="Emphasis"/>
          <w:highlight w:val="cyan"/>
        </w:rPr>
        <w:t>cultural</w:t>
      </w:r>
      <w:r w:rsidRPr="00DD2684">
        <w:rPr>
          <w:rStyle w:val="StyleBoldUnderline"/>
          <w:highlight w:val="cyan"/>
        </w:rPr>
        <w:t>).</w:t>
      </w:r>
      <w:r w:rsidRPr="003D28CB">
        <w:rPr>
          <w:rStyle w:val="StyleBoldUnderline"/>
        </w:rPr>
        <w:t xml:space="preserve"> The following is a brief list of the specific forms that such contacts might include:</w:t>
      </w:r>
      <w:r>
        <w:rPr>
          <w:rStyle w:val="StyleBoldUnderline"/>
        </w:rPr>
        <w:t xml:space="preserve"> </w:t>
      </w:r>
      <w:r w:rsidRPr="00DD2684">
        <w:rPr>
          <w:rStyle w:val="Emphasis"/>
          <w:highlight w:val="cyan"/>
        </w:rPr>
        <w:t>DIPLOMATIC CONTACTS</w:t>
      </w:r>
      <w:r>
        <w:rPr>
          <w:rStyle w:val="Emphasis"/>
        </w:rPr>
        <w:t xml:space="preserve"> </w:t>
      </w:r>
      <w:r w:rsidRPr="003D28CB">
        <w:rPr>
          <w:rStyle w:val="StyleBoldUnderline"/>
        </w:rPr>
        <w:t xml:space="preserve">Extension of diplomatic recognition; </w:t>
      </w:r>
      <w:r w:rsidRPr="00DD2684">
        <w:rPr>
          <w:rStyle w:val="Emphasis"/>
          <w:highlight w:val="cyan"/>
        </w:rPr>
        <w:t>normalization of diplomatic relations Promotion of target-state membership in international institutions and regimes</w:t>
      </w:r>
      <w:r>
        <w:rPr>
          <w:rStyle w:val="StyleBoldUnderline"/>
        </w:rPr>
        <w:t xml:space="preserve"> </w:t>
      </w:r>
      <w:r w:rsidRPr="003D28CB">
        <w:rPr>
          <w:rStyle w:val="StyleBoldUnderline"/>
        </w:rPr>
        <w:t>Summit meetings and other visits by the head of state and other senior government officials of sender state to target state and vice-versa</w:t>
      </w:r>
      <w:r>
        <w:rPr>
          <w:rStyle w:val="StyleBoldUnderline"/>
        </w:rPr>
        <w:t xml:space="preserve"> </w:t>
      </w:r>
      <w:r w:rsidRPr="00DD2684">
        <w:rPr>
          <w:rStyle w:val="Emphasis"/>
          <w:highlight w:val="cyan"/>
        </w:rPr>
        <w:t>MILITARY CONTACTS</w:t>
      </w:r>
      <w:r>
        <w:rPr>
          <w:rStyle w:val="Emphasis"/>
        </w:rPr>
        <w:t xml:space="preserve"> </w:t>
      </w:r>
      <w:r w:rsidRPr="003D28CB">
        <w:rPr>
          <w:rStyle w:val="StyleBoldUnderline"/>
        </w:rPr>
        <w:t>Visits of senior military officials of the sender state to the target state and vice-versa</w:t>
      </w:r>
      <w:r>
        <w:rPr>
          <w:rStyle w:val="StyleBoldUnderline"/>
        </w:rPr>
        <w:t xml:space="preserve"> </w:t>
      </w:r>
      <w:r w:rsidRPr="00DD2684">
        <w:rPr>
          <w:rStyle w:val="Emphasis"/>
          <w:highlight w:val="cyan"/>
        </w:rPr>
        <w:t>Arms transfers</w:t>
      </w:r>
      <w:r>
        <w:rPr>
          <w:rStyle w:val="StyleBoldUnderline"/>
        </w:rPr>
        <w:t xml:space="preserve"> </w:t>
      </w:r>
      <w:r w:rsidRPr="00DD2684">
        <w:rPr>
          <w:rStyle w:val="Emphasis"/>
          <w:highlight w:val="cyan"/>
        </w:rPr>
        <w:t>Military aid and cooperation</w:t>
      </w:r>
      <w:r>
        <w:rPr>
          <w:rStyle w:val="StyleBoldUnderline"/>
        </w:rPr>
        <w:t xml:space="preserve"> </w:t>
      </w:r>
      <w:r w:rsidRPr="003D28CB">
        <w:rPr>
          <w:rStyle w:val="StyleBoldUnderline"/>
        </w:rPr>
        <w:t>Military exchange and training programs</w:t>
      </w:r>
      <w:r>
        <w:rPr>
          <w:rStyle w:val="StyleBoldUnderline"/>
        </w:rPr>
        <w:t xml:space="preserve"> </w:t>
      </w:r>
      <w:r w:rsidRPr="003D28CB">
        <w:rPr>
          <w:rStyle w:val="StyleBoldUnderline"/>
        </w:rPr>
        <w:t>Confidence and security-building measures</w:t>
      </w:r>
      <w:r>
        <w:rPr>
          <w:rStyle w:val="StyleBoldUnderline"/>
        </w:rPr>
        <w:t xml:space="preserve"> </w:t>
      </w:r>
      <w:r w:rsidRPr="00DD2684">
        <w:rPr>
          <w:rStyle w:val="Emphasis"/>
          <w:highlight w:val="cyan"/>
        </w:rPr>
        <w:t>Intelligence sharing</w:t>
      </w:r>
      <w:r>
        <w:rPr>
          <w:rStyle w:val="StyleBoldUnderline"/>
        </w:rPr>
        <w:t xml:space="preserve"> </w:t>
      </w:r>
      <w:r w:rsidRPr="003D28CB">
        <w:rPr>
          <w:rStyle w:val="Emphasis"/>
        </w:rPr>
        <w:t>ECONOMIC CONTACTS</w:t>
      </w:r>
      <w:r>
        <w:rPr>
          <w:rStyle w:val="Emphasis"/>
        </w:rPr>
        <w:t xml:space="preserve"> </w:t>
      </w:r>
      <w:r w:rsidRPr="003D28CB">
        <w:rPr>
          <w:rStyle w:val="StyleBoldUnderline"/>
        </w:rPr>
        <w:t>Trade agreements and promotion</w:t>
      </w:r>
      <w:r>
        <w:rPr>
          <w:rStyle w:val="StyleBoldUnderline"/>
        </w:rPr>
        <w:t xml:space="preserve"> </w:t>
      </w:r>
      <w:r w:rsidRPr="003D28CB">
        <w:rPr>
          <w:rStyle w:val="StyleBoldUnderline"/>
        </w:rPr>
        <w:t>Foreign economic and humanitarian aid in the form of loans and/or grants</w:t>
      </w:r>
      <w:r>
        <w:rPr>
          <w:rStyle w:val="StyleBoldUnderline"/>
        </w:rPr>
        <w:t xml:space="preserve"> </w:t>
      </w:r>
      <w:r w:rsidRPr="00DD2684">
        <w:rPr>
          <w:rStyle w:val="Emphasis"/>
          <w:highlight w:val="cyan"/>
        </w:rPr>
        <w:t>CULTURAL CONTACTS</w:t>
      </w:r>
      <w:r>
        <w:rPr>
          <w:rStyle w:val="Emphasis"/>
        </w:rPr>
        <w:t xml:space="preserve"> </w:t>
      </w:r>
      <w:r w:rsidRPr="003D28CB">
        <w:rPr>
          <w:rStyle w:val="StyleBoldUnderline"/>
        </w:rPr>
        <w:t>Cultural treaties</w:t>
      </w:r>
      <w:r>
        <w:rPr>
          <w:rStyle w:val="StyleBoldUnderline"/>
        </w:rPr>
        <w:t xml:space="preserve"> </w:t>
      </w:r>
      <w:r w:rsidRPr="00DD2684">
        <w:rPr>
          <w:rStyle w:val="Emphasis"/>
          <w:highlight w:val="cyan"/>
        </w:rPr>
        <w:t>Inauguration of travel and tourism</w:t>
      </w:r>
      <w:r w:rsidRPr="003D28CB">
        <w:rPr>
          <w:rStyle w:val="StyleBoldUnderline"/>
        </w:rPr>
        <w:t xml:space="preserve"> links</w:t>
      </w:r>
      <w:r>
        <w:rPr>
          <w:rStyle w:val="StyleBoldUnderline"/>
        </w:rPr>
        <w:t xml:space="preserve"> </w:t>
      </w:r>
      <w:r w:rsidRPr="003D28CB">
        <w:rPr>
          <w:rStyle w:val="StyleBoldUnderline"/>
        </w:rPr>
        <w:t>Sport, artistic and academic exchanges</w:t>
      </w:r>
      <w:r w:rsidRPr="0088615F">
        <w:t xml:space="preserve"> </w:t>
      </w:r>
      <w:r w:rsidRPr="003D28CB">
        <w:rPr>
          <w:sz w:val="16"/>
        </w:rPr>
        <w:t>(n25)</w:t>
      </w:r>
      <w:r>
        <w:rPr>
          <w:sz w:val="16"/>
        </w:rPr>
        <w:t xml:space="preserve"> </w:t>
      </w:r>
      <w:r w:rsidRPr="003D28CB">
        <w:rPr>
          <w:sz w:val="16"/>
        </w:rPr>
        <w:t>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w:t>
      </w:r>
      <w:proofErr w:type="gramStart"/>
      <w:r w:rsidRPr="003D28CB">
        <w:rPr>
          <w:sz w:val="16"/>
        </w:rPr>
        <w:t>.(</w:t>
      </w:r>
      <w:proofErr w:type="gramEnd"/>
      <w:r w:rsidRPr="003D28CB">
        <w:rPr>
          <w:sz w:val="16"/>
        </w:rPr>
        <w:t>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Pr>
          <w:sz w:val="16"/>
        </w:rPr>
        <w:t xml:space="preserve"> </w:t>
      </w:r>
      <w:r w:rsidRPr="003D28CB">
        <w:rPr>
          <w:sz w:val="16"/>
        </w:rPr>
        <w:t xml:space="preserve">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w:t>
      </w:r>
      <w:r w:rsidRPr="003D28CB">
        <w:rPr>
          <w:sz w:val="16"/>
        </w:rPr>
        <w:lastRenderedPageBreak/>
        <w:t>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w:t>
      </w:r>
      <w:proofErr w:type="gramStart"/>
      <w:r w:rsidRPr="003D28CB">
        <w:rPr>
          <w:sz w:val="16"/>
        </w:rPr>
        <w:t>.(</w:t>
      </w:r>
      <w:proofErr w:type="gramEnd"/>
      <w:r w:rsidRPr="003D28CB">
        <w:rPr>
          <w:sz w:val="16"/>
        </w:rPr>
        <w:t>n28)</w:t>
      </w:r>
      <w:r>
        <w:rPr>
          <w:sz w:val="16"/>
        </w:rPr>
        <w:t xml:space="preserve"> </w:t>
      </w:r>
      <w:r w:rsidRPr="003D28CB">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Pr>
          <w:sz w:val="16"/>
        </w:rPr>
        <w:t xml:space="preserve"> </w:t>
      </w:r>
      <w:r w:rsidRPr="003D28CB">
        <w:rPr>
          <w:rStyle w:val="StyleBoldUnderline"/>
        </w:rPr>
        <w:t xml:space="preserve">This reformulated conceptualization </w:t>
      </w:r>
      <w:r w:rsidRPr="003D28CB">
        <w:rPr>
          <w:rStyle w:val="Emphasis"/>
        </w:rPr>
        <w:t>avoids the pitfalls of prevailing scholarly conceptions</w:t>
      </w:r>
      <w:r w:rsidRPr="003D28CB">
        <w:rPr>
          <w:rStyle w:val="StyleBoldUnderline"/>
        </w:rPr>
        <w:t xml:space="preserve"> of engagement. It considers the policy as a set of means rather than ends</w:t>
      </w:r>
      <w:r w:rsidRPr="003D28CB">
        <w:rPr>
          <w:sz w:val="16"/>
        </w:rPr>
        <w:t xml:space="preserve">, does not delimit the types of states that can either engage or be engaged, </w:t>
      </w:r>
      <w:r w:rsidRPr="003D28CB">
        <w:rPr>
          <w:rStyle w:val="StyleBoldUnderline"/>
        </w:rPr>
        <w:t xml:space="preserve">explicitly encompasses contacts in multiple issue-areas, allows for the </w:t>
      </w:r>
      <w:r w:rsidRPr="00DD2684">
        <w:rPr>
          <w:rStyle w:val="StyleBoldUnderline"/>
          <w:highlight w:val="cyan"/>
        </w:rPr>
        <w:t>existence of multiple objectives in any given instance of engagement</w:t>
      </w:r>
      <w:r w:rsidRPr="003D28CB">
        <w:rPr>
          <w:rStyle w:val="StyleBoldUnderline"/>
        </w:rPr>
        <w:t xml:space="preserve"> and</w:t>
      </w:r>
      <w:r w:rsidRPr="003D28CB">
        <w:rPr>
          <w:sz w:val="16"/>
        </w:rPr>
        <w:t xml:space="preserve">, as will be shown below, </w:t>
      </w:r>
      <w:r w:rsidRPr="003D28CB">
        <w:rPr>
          <w:rStyle w:val="StyleBoldUnderline"/>
        </w:rPr>
        <w:t xml:space="preserve">permits the elucidation of </w:t>
      </w:r>
      <w:r w:rsidRPr="00DD2684">
        <w:rPr>
          <w:rStyle w:val="Emphasis"/>
          <w:highlight w:val="cyan"/>
        </w:rPr>
        <w:t>multiple types of positive sanctions</w:t>
      </w:r>
      <w:r w:rsidRPr="00DD2684">
        <w:rPr>
          <w:sz w:val="16"/>
          <w:highlight w:val="cyan"/>
        </w:rPr>
        <w:t>.</w:t>
      </w:r>
    </w:p>
    <w:p w14:paraId="4EC79BC9" w14:textId="77777777" w:rsidR="004219A7" w:rsidRDefault="004219A7" w:rsidP="004219A7">
      <w:pPr>
        <w:rPr>
          <w:sz w:val="16"/>
        </w:rPr>
      </w:pPr>
    </w:p>
    <w:p w14:paraId="5AB04516" w14:textId="77777777" w:rsidR="004219A7" w:rsidRDefault="004219A7" w:rsidP="004219A7">
      <w:pPr>
        <w:pStyle w:val="Heading4"/>
      </w:pPr>
      <w:r>
        <w:t xml:space="preserve">B. Violation: The plan is actually a type of </w:t>
      </w:r>
      <w:r w:rsidRPr="0032378F">
        <w:t>Military/Political/Cultural</w:t>
      </w:r>
      <w:r>
        <w:t xml:space="preserve"> engagement. </w:t>
      </w:r>
    </w:p>
    <w:p w14:paraId="37573961" w14:textId="77777777" w:rsidR="004219A7" w:rsidRDefault="004219A7" w:rsidP="004219A7">
      <w:pPr>
        <w:pStyle w:val="Heading4"/>
      </w:pPr>
      <w:r>
        <w:t>C. Vote Negative:</w:t>
      </w:r>
    </w:p>
    <w:p w14:paraId="284116A8" w14:textId="77777777" w:rsidR="004219A7" w:rsidRDefault="004219A7" w:rsidP="004219A7">
      <w:pPr>
        <w:pStyle w:val="Heading4"/>
      </w:pPr>
      <w:r>
        <w:t xml:space="preserve">1. Limits – allowing any type of engagement dramatically expands the number of possible cases, which explodes our research burden and makes in-depth clash impossible. </w:t>
      </w:r>
    </w:p>
    <w:p w14:paraId="640EEB65" w14:textId="77777777" w:rsidR="004219A7" w:rsidRDefault="004219A7" w:rsidP="004219A7">
      <w:pPr>
        <w:pStyle w:val="Heading4"/>
      </w:pPr>
      <w:r>
        <w:t xml:space="preserve">2. Education – precise debates about </w:t>
      </w:r>
      <w:r w:rsidRPr="00EF5966">
        <w:rPr>
          <w:i/>
        </w:rPr>
        <w:t>economic</w:t>
      </w:r>
      <w:r>
        <w:t xml:space="preserve"> engagement increases our understanding of globalization, trade, and other important economic terms. </w:t>
      </w:r>
    </w:p>
    <w:p w14:paraId="2B695CA8" w14:textId="77777777" w:rsidR="004219A7" w:rsidRDefault="004219A7" w:rsidP="004219A7">
      <w:pPr>
        <w:pStyle w:val="Heading4"/>
      </w:pPr>
      <w:r>
        <w:t xml:space="preserve">3. Ground – core negative strategy revolves around the economic relationship between the two countries. Including </w:t>
      </w:r>
      <w:r w:rsidRPr="00EF5966">
        <w:t>Military/Political/Cultural</w:t>
      </w:r>
      <w:r>
        <w:t xml:space="preserve"> engagement gives the </w:t>
      </w:r>
      <w:proofErr w:type="spellStart"/>
      <w:r>
        <w:t>aff</w:t>
      </w:r>
      <w:proofErr w:type="spellEnd"/>
      <w:r>
        <w:t xml:space="preserve"> an unfair advantage. </w:t>
      </w:r>
    </w:p>
    <w:p w14:paraId="04146024" w14:textId="77777777" w:rsidR="004219A7" w:rsidRPr="00D84F4A" w:rsidRDefault="004219A7" w:rsidP="004219A7">
      <w:pPr>
        <w:pStyle w:val="Heading4"/>
      </w:pPr>
      <w:r>
        <w:t>4. FX T – they only increase economic effects as a result of mil/pol/cult engagement</w:t>
      </w:r>
    </w:p>
    <w:p w14:paraId="1CB90704" w14:textId="77777777" w:rsidR="004219A7" w:rsidRDefault="004219A7" w:rsidP="004219A7"/>
    <w:p w14:paraId="014EF84D" w14:textId="77777777" w:rsidR="004219A7" w:rsidRDefault="004219A7" w:rsidP="004219A7"/>
    <w:p w14:paraId="4D985F43" w14:textId="77777777" w:rsidR="00B45FE9" w:rsidRPr="00AF5046" w:rsidRDefault="00B45FE9" w:rsidP="007A3515">
      <w:bookmarkStart w:id="0" w:name="_GoBack"/>
      <w:bookmarkEnd w:id="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DB03C" w14:textId="77777777" w:rsidR="000763C1" w:rsidRDefault="000763C1" w:rsidP="00E46E7E">
      <w:r>
        <w:separator/>
      </w:r>
    </w:p>
  </w:endnote>
  <w:endnote w:type="continuationSeparator" w:id="0">
    <w:p w14:paraId="0C712674" w14:textId="77777777" w:rsidR="000763C1" w:rsidRDefault="000763C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B7D82" w14:textId="77777777" w:rsidR="000763C1" w:rsidRDefault="000763C1" w:rsidP="00E46E7E">
      <w:r>
        <w:separator/>
      </w:r>
    </w:p>
  </w:footnote>
  <w:footnote w:type="continuationSeparator" w:id="0">
    <w:p w14:paraId="6076959F" w14:textId="77777777" w:rsidR="000763C1" w:rsidRDefault="000763C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3C1"/>
    <w:rsid w:val="000140EC"/>
    <w:rsid w:val="00016A35"/>
    <w:rsid w:val="000763C1"/>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2116"/>
    <w:rsid w:val="00374144"/>
    <w:rsid w:val="003B3EC7"/>
    <w:rsid w:val="003F42AF"/>
    <w:rsid w:val="00412F6D"/>
    <w:rsid w:val="004219A7"/>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39D7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Char Char Char Char Char Char Char, Char Char Char Char Char Char Char,3: Cite,Index Headers,Bold Cite,Heading 3 Char1 Char Char,Citation Char Char Char Char,Citation Char1 Char Char,Heading 3 Char Char1,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Underlined,Evidence,Minimized,minimized,Highlighted,tag2,Size 10,emphasis in card,CD Card,ED - Tag,emphasis,Emphasis!!,Bold Underline,small,Qualifications"/>
    <w:basedOn w:val="DefaultParagraphFont"/>
    <w:uiPriority w:val="7"/>
    <w:qFormat/>
    <w:rsid w:val="00DF1850"/>
    <w:rPr>
      <w:rFonts w:ascii="Calibri" w:hAnsi="Calibri"/>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 Char Char,Char Char Char Char Char Char Char Char, Char Char Char Char Char Char Char Char,3: Cite Char,Index Headers Char1,Bold Cite Char1,Heading 3 Char1 Char Char Char,Citation Char1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4"/>
      <w:u w:val="none"/>
    </w:rPr>
  </w:style>
  <w:style w:type="character" w:customStyle="1" w:styleId="StyleBoldUnderline">
    <w:name w:val="Style Bold Underline"/>
    <w:aliases w:val="Underline,Title Char,9.5 pt"/>
    <w:basedOn w:val="DefaultParagraphFont"/>
    <w:uiPriority w:val="1"/>
    <w:qFormat/>
    <w:rsid w:val="00DF1850"/>
    <w:rPr>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Char Char Char Char Char Char Char, Char Char Char Char Char Char Char,3: Cite,Index Headers,Bold Cite,Heading 3 Char1 Char Char,Citation Char Char Char Char,Citation Char1 Char Char,Heading 3 Char Char1,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Underlined,Evidence,Minimized,minimized,Highlighted,tag2,Size 10,emphasis in card,CD Card,ED - Tag,emphasis,Emphasis!!,Bold Underline,small,Qualifications"/>
    <w:basedOn w:val="DefaultParagraphFont"/>
    <w:uiPriority w:val="7"/>
    <w:qFormat/>
    <w:rsid w:val="00DF1850"/>
    <w:rPr>
      <w:rFonts w:ascii="Calibri" w:hAnsi="Calibri"/>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 Char Char,Char Char Char Char Char Char Char Char, Char Char Char Char Char Char Char Char,3: Cite Char,Index Headers Char1,Bold Cite Char1,Heading 3 Char1 Char Char Char,Citation Char1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4"/>
      <w:u w:val="none"/>
    </w:rPr>
  </w:style>
  <w:style w:type="character" w:customStyle="1" w:styleId="StyleBoldUnderline">
    <w:name w:val="Style Bold Underline"/>
    <w:aliases w:val="Underline,Title Char,9.5 pt"/>
    <w:basedOn w:val="DefaultParagraphFont"/>
    <w:uiPriority w:val="1"/>
    <w:qFormat/>
    <w:rsid w:val="00DF1850"/>
    <w:rPr>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lyviamugwe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Pages>
  <Words>1105</Words>
  <Characters>6305</Characters>
  <Application>Microsoft Macintosh Word</Application>
  <DocSecurity>0</DocSecurity>
  <Lines>52</Lines>
  <Paragraphs>14</Paragraphs>
  <ScaleCrop>false</ScaleCrop>
  <Company>Whitman College</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Olyvia Mugweh</dc:creator>
  <cp:keywords/>
  <dc:description/>
  <cp:lastModifiedBy>Olyvia Mugweh</cp:lastModifiedBy>
  <cp:revision>2</cp:revision>
  <dcterms:created xsi:type="dcterms:W3CDTF">2013-10-30T21:41:00Z</dcterms:created>
  <dcterms:modified xsi:type="dcterms:W3CDTF">2013-10-30T21:51:00Z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