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C8B" w:rsidRDefault="008C4C8B" w:rsidP="008C4C8B">
      <w:pPr>
        <w:pStyle w:val="Heading1"/>
      </w:pPr>
      <w:r>
        <w:t>Freedom</w:t>
      </w:r>
    </w:p>
    <w:p w:rsidR="008C4C8B" w:rsidRPr="008C4C8B" w:rsidRDefault="008C4C8B" w:rsidP="008C4C8B">
      <w:pPr>
        <w:rPr>
          <w:rStyle w:val="StyleStyleBold12pt"/>
        </w:rPr>
      </w:pPr>
      <w:r w:rsidRPr="008C4C8B">
        <w:rPr>
          <w:rStyle w:val="StyleStyleBold12pt"/>
        </w:rPr>
        <w:t xml:space="preserve">Travel restrictions to Cuba are tightening- this is a direct violation of Constitutional Rights </w:t>
      </w:r>
    </w:p>
    <w:p w:rsidR="008C4C8B" w:rsidRPr="0049187B" w:rsidRDefault="008C4C8B" w:rsidP="008C4C8B">
      <w:pPr>
        <w:rPr>
          <w:b/>
        </w:rPr>
      </w:pPr>
      <w:r w:rsidRPr="0049187B">
        <w:rPr>
          <w:b/>
        </w:rPr>
        <w:t xml:space="preserve">Brena and Marino ’06 </w:t>
      </w:r>
    </w:p>
    <w:p w:rsidR="008C4C8B" w:rsidRPr="0049187B" w:rsidRDefault="008C4C8B" w:rsidP="008C4C8B">
      <w:r w:rsidRPr="0049187B">
        <w:t xml:space="preserve">(Mariana and Soraya, Writers for Latin American Perspective journal, “The Bush Administration and Academic and Educational Exchange between Cuba and the United States”, Latin American Perspectives, Vol. 33, No. 5, [SG]) </w:t>
      </w:r>
    </w:p>
    <w:p w:rsidR="008C4C8B" w:rsidRDefault="008C4C8B" w:rsidP="008C4C8B">
      <w:r w:rsidRPr="008C4C8B">
        <w:t>The elimination of the "fully hosted" visitor category, which applied to U</w:t>
      </w:r>
    </w:p>
    <w:p w:rsidR="008C4C8B" w:rsidRDefault="008C4C8B" w:rsidP="008C4C8B">
      <w:r>
        <w:t>AND</w:t>
      </w:r>
    </w:p>
    <w:p w:rsidR="008C4C8B" w:rsidRPr="008C4C8B" w:rsidRDefault="008C4C8B" w:rsidP="008C4C8B">
      <w:r w:rsidRPr="008C4C8B">
        <w:t xml:space="preserve">, but there is a tendency toward denial of this kind of license. </w:t>
      </w:r>
    </w:p>
    <w:p w:rsidR="008C4C8B" w:rsidRPr="008C4C8B" w:rsidRDefault="008C4C8B" w:rsidP="008C4C8B">
      <w:pPr>
        <w:rPr>
          <w:rStyle w:val="StyleStyleBold12pt"/>
        </w:rPr>
      </w:pPr>
      <w:r w:rsidRPr="008C4C8B">
        <w:rPr>
          <w:rStyle w:val="StyleStyleBold12pt"/>
        </w:rPr>
        <w:t xml:space="preserve">The right to movement is a fundamental freedom that the travel restriction ignores—the travel restriction justifies tyranny </w:t>
      </w:r>
    </w:p>
    <w:p w:rsidR="008C4C8B" w:rsidRPr="0049187B" w:rsidRDefault="008C4C8B" w:rsidP="008C4C8B">
      <w:pPr>
        <w:spacing w:line="276" w:lineRule="auto"/>
      </w:pPr>
      <w:r w:rsidRPr="0049187B">
        <w:rPr>
          <w:b/>
        </w:rPr>
        <w:t>Crumpacker, 5</w:t>
      </w:r>
      <w:r w:rsidRPr="0049187B">
        <w:t xml:space="preserve"> (Tom Crumpacker, lawyer, M.A. in Latin American studies at Georgetown University, "A Constitutional Right to Travel to Cuba", 1/17/5, www.counterpunch.org/2005/01/15/a-constitutional-right-to-travel-to-cuba/ //kdh) </w:t>
      </w:r>
    </w:p>
    <w:p w:rsidR="008C4C8B" w:rsidRDefault="008C4C8B" w:rsidP="008C4C8B">
      <w:r w:rsidRPr="008C4C8B">
        <w:t xml:space="preserve">Our government has been telling us that the reason it is prohibiting us from traveling </w:t>
      </w:r>
    </w:p>
    <w:p w:rsidR="008C4C8B" w:rsidRDefault="008C4C8B" w:rsidP="008C4C8B">
      <w:r>
        <w:t>AND</w:t>
      </w:r>
    </w:p>
    <w:p w:rsidR="008C4C8B" w:rsidRPr="008C4C8B" w:rsidRDefault="008C4C8B" w:rsidP="008C4C8B">
      <w:r w:rsidRPr="008C4C8B">
        <w:t xml:space="preserve">of our Fifth Amendment liberty of travel "without due process of law." </w:t>
      </w:r>
    </w:p>
    <w:p w:rsidR="008C4C8B" w:rsidRPr="008C4C8B" w:rsidRDefault="008C4C8B" w:rsidP="008C4C8B">
      <w:pPr>
        <w:rPr>
          <w:rStyle w:val="StyleStyleBold12pt"/>
        </w:rPr>
      </w:pPr>
      <w:r w:rsidRPr="008C4C8B">
        <w:rPr>
          <w:rStyle w:val="StyleStyleBold12pt"/>
        </w:rPr>
        <w:t>The impact is the death of democratic politics- this leads to tyranny and disposability</w:t>
      </w:r>
    </w:p>
    <w:p w:rsidR="008C4C8B" w:rsidRPr="0049187B" w:rsidRDefault="008C4C8B" w:rsidP="008C4C8B">
      <w:r w:rsidRPr="0049187B">
        <w:rPr>
          <w:b/>
        </w:rPr>
        <w:t xml:space="preserve">Giroux ’10 </w:t>
      </w:r>
      <w:r w:rsidRPr="0049187B">
        <w:t xml:space="preserve">(Henry, Professor of English and Cultural Studies at McMaster University, previous professors at BU, Miami U, and Penn State “Memories of Hope in the Age of Disposability”, published 9/28/2010, http://archive.truthout.org/memories-hope-age-disposability63631 [SG]) </w:t>
      </w:r>
    </w:p>
    <w:p w:rsidR="008C4C8B" w:rsidRDefault="008C4C8B" w:rsidP="008C4C8B">
      <w:r w:rsidRPr="008C4C8B">
        <w:t xml:space="preserve">The new culture of cruelty combines with the arrogance of the rich as morally bankrupt </w:t>
      </w:r>
    </w:p>
    <w:p w:rsidR="008C4C8B" w:rsidRDefault="008C4C8B" w:rsidP="008C4C8B">
      <w:r>
        <w:t>AND</w:t>
      </w:r>
    </w:p>
    <w:p w:rsidR="008C4C8B" w:rsidRPr="008C4C8B" w:rsidRDefault="008C4C8B" w:rsidP="008C4C8B">
      <w:r w:rsidRPr="008C4C8B">
        <w:t>powerful.</w:t>
      </w:r>
      <w:hyperlink r:id="rId10" w:anchor="8." w:history="1">
        <w:r w:rsidRPr="008C4C8B">
          <w:rPr>
            <w:rStyle w:val="Hyperlink"/>
          </w:rPr>
          <w:t>(8)</w:t>
        </w:r>
      </w:hyperlink>
      <w:r w:rsidRPr="008C4C8B">
        <w:t xml:space="preserve"> At the same time, the new disposability discourse expunge</w:t>
      </w:r>
    </w:p>
    <w:p w:rsidR="008C4C8B" w:rsidRDefault="008C4C8B" w:rsidP="008C4C8B">
      <w:r w:rsidRPr="008C4C8B">
        <w:t xml:space="preserve">es any sense of responsibility from both the body politic and the ever-expanding </w:t>
      </w:r>
    </w:p>
    <w:p w:rsidR="008C4C8B" w:rsidRDefault="008C4C8B" w:rsidP="008C4C8B">
      <w:r>
        <w:t>AND</w:t>
      </w:r>
    </w:p>
    <w:p w:rsidR="008C4C8B" w:rsidRPr="008C4C8B" w:rsidRDefault="008C4C8B" w:rsidP="008C4C8B">
      <w:r w:rsidRPr="008C4C8B">
        <w:t>march aimed at destroying every public sphere essential to a vibrant democratic state.</w:t>
      </w:r>
    </w:p>
    <w:p w:rsidR="008C4C8B" w:rsidRPr="0049187B" w:rsidRDefault="008C4C8B" w:rsidP="008C4C8B"/>
    <w:p w:rsidR="008C4C8B" w:rsidRPr="008C4C8B" w:rsidRDefault="008C4C8B" w:rsidP="008C4C8B">
      <w:pPr>
        <w:rPr>
          <w:rStyle w:val="StyleStyleBold12pt"/>
        </w:rPr>
      </w:pPr>
      <w:r w:rsidRPr="008C4C8B">
        <w:rPr>
          <w:rStyle w:val="StyleStyleBold12pt"/>
        </w:rPr>
        <w:t>Travel Restrictions are unethical and violate American freedoms- we must reform them</w:t>
      </w:r>
    </w:p>
    <w:p w:rsidR="008C4C8B" w:rsidRPr="0049187B" w:rsidRDefault="008C4C8B" w:rsidP="008C4C8B">
      <w:pPr>
        <w:rPr>
          <w:rFonts w:eastAsia="Times New Roman" w:cs="Times New Roman"/>
          <w:color w:val="000000" w:themeColor="text1"/>
          <w:sz w:val="18"/>
          <w:szCs w:val="18"/>
        </w:rPr>
      </w:pPr>
      <w:r w:rsidRPr="0049187B">
        <w:rPr>
          <w:rFonts w:eastAsia="Times New Roman" w:cs="Times New Roman"/>
          <w:b/>
          <w:bCs/>
          <w:color w:val="000000" w:themeColor="text1"/>
          <w:bdr w:val="none" w:sz="0" w:space="0" w:color="auto" w:frame="1"/>
          <w:shd w:val="clear" w:color="auto" w:fill="FFFFFF"/>
        </w:rPr>
        <w:t>CSG 8</w:t>
      </w:r>
      <w:r w:rsidRPr="0049187B">
        <w:rPr>
          <w:rFonts w:eastAsia="Times New Roman" w:cs="Times New Roman"/>
          <w:color w:val="000000" w:themeColor="text1"/>
          <w:shd w:val="clear" w:color="auto" w:fill="FFFFFF"/>
        </w:rPr>
        <w:t> </w:t>
      </w:r>
      <w:r w:rsidRPr="0049187B">
        <w:rPr>
          <w:rFonts w:eastAsia="Times New Roman" w:cs="Times New Roman"/>
          <w:color w:val="000000" w:themeColor="text1"/>
          <w:sz w:val="18"/>
          <w:szCs w:val="18"/>
          <w:shd w:val="clear" w:color="auto" w:fill="FFFFFF"/>
        </w:rPr>
        <w:t>— Cuba Study Group—a non-profit, non-partisan organization comprised of business and community leaders of Cuban descent who share a common interest and vision of a free and democratic Cuba, 2008 (“Lifting Restrictions on Travel and Remittances to Cuba: A Case for Unilateral Action,” December 10th, Available Online at</w:t>
      </w:r>
      <w:r w:rsidRPr="0049187B">
        <w:rPr>
          <w:rFonts w:eastAsia="Times New Roman" w:cs="Times New Roman"/>
          <w:color w:val="000000" w:themeColor="text1"/>
          <w:sz w:val="18"/>
          <w:szCs w:val="18"/>
          <w:bdr w:val="none" w:sz="0" w:space="0" w:color="auto" w:frame="1"/>
          <w:shd w:val="clear" w:color="auto" w:fill="FFFFFF"/>
        </w:rPr>
        <w:t>http://www.lawg.org/storage/documents/cuba-pc-cuba-study-group-travelandremittancesforweb.pdf</w:t>
      </w:r>
      <w:r w:rsidRPr="0049187B">
        <w:rPr>
          <w:rFonts w:eastAsia="Times New Roman" w:cs="Times New Roman"/>
          <w:color w:val="000000" w:themeColor="text1"/>
          <w:sz w:val="18"/>
          <w:szCs w:val="18"/>
          <w:shd w:val="clear" w:color="auto" w:fill="FFFFFF"/>
        </w:rPr>
        <w:t>, Accessed 01-28-2014, p. 4-5)</w:t>
      </w:r>
    </w:p>
    <w:p w:rsidR="008C4C8B" w:rsidRDefault="008C4C8B" w:rsidP="008C4C8B">
      <w:r w:rsidRPr="008C4C8B">
        <w:t xml:space="preserve">Existing travel restrictions are unethical, violate basic American freedoms and infringe upon international human </w:t>
      </w:r>
    </w:p>
    <w:p w:rsidR="008C4C8B" w:rsidRDefault="008C4C8B" w:rsidP="008C4C8B">
      <w:r>
        <w:t>AND</w:t>
      </w:r>
    </w:p>
    <w:p w:rsidR="008C4C8B" w:rsidRPr="008C4C8B" w:rsidRDefault="008C4C8B" w:rsidP="008C4C8B">
      <w:r w:rsidRPr="008C4C8B">
        <w:t xml:space="preserve">it is the Federal government’s business to regulate human relationships in this manner. </w:t>
      </w:r>
    </w:p>
    <w:p w:rsidR="008C4C8B" w:rsidRPr="0049187B" w:rsidRDefault="008C4C8B" w:rsidP="008C4C8B">
      <w:r w:rsidRPr="0049187B">
        <w:t xml:space="preserve"> </w:t>
      </w:r>
    </w:p>
    <w:p w:rsidR="008C4C8B" w:rsidRPr="008C4C8B" w:rsidRDefault="008C4C8B" w:rsidP="008C4C8B">
      <w:pPr>
        <w:rPr>
          <w:rStyle w:val="StyleStyleBold12pt"/>
        </w:rPr>
      </w:pPr>
      <w:r w:rsidRPr="008C4C8B">
        <w:rPr>
          <w:rStyle w:val="StyleStyleBold12pt"/>
        </w:rPr>
        <w:t xml:space="preserve">Freedom of movement is an expression of individual rights and autonomy- preventing this right is a direct violation of freedom and creates the conditions for tyranny within government structures </w:t>
      </w:r>
    </w:p>
    <w:p w:rsidR="008C4C8B" w:rsidRPr="0049187B" w:rsidRDefault="008C4C8B" w:rsidP="008C4C8B">
      <w:pPr>
        <w:rPr>
          <w:sz w:val="18"/>
          <w:szCs w:val="18"/>
        </w:rPr>
      </w:pPr>
      <w:r w:rsidRPr="0049187B">
        <w:rPr>
          <w:b/>
        </w:rPr>
        <w:t xml:space="preserve">Woods ’96 </w:t>
      </w:r>
      <w:r w:rsidRPr="0049187B">
        <w:rPr>
          <w:sz w:val="18"/>
          <w:szCs w:val="18"/>
        </w:rPr>
        <w:t xml:space="preserve">(Jeanne, Professor of Law at University of Loyola New Orleans, “Travel that Talks: Toward First Amendment Protection for Freedom of Movement”, George Washington Law Review, Vol. 65, No. 301, 1996, Accessed via Nexus, [SG]) </w:t>
      </w:r>
    </w:p>
    <w:p w:rsidR="008C4C8B" w:rsidRDefault="008C4C8B" w:rsidP="008C4C8B">
      <w:r w:rsidRPr="008C4C8B">
        <w:t xml:space="preserve">Free movement by the citizen is... dangerous to a tyrant ... and it is </w:t>
      </w:r>
    </w:p>
    <w:p w:rsidR="008C4C8B" w:rsidRDefault="008C4C8B" w:rsidP="008C4C8B">
      <w:r>
        <w:t>AND</w:t>
      </w:r>
    </w:p>
    <w:p w:rsidR="008C4C8B" w:rsidRPr="008C4C8B" w:rsidRDefault="008C4C8B" w:rsidP="008C4C8B">
      <w:r w:rsidRPr="008C4C8B">
        <w:lastRenderedPageBreak/>
        <w:t>primarily the restrictions on this right imposed by United States economic embargo laws.</w:t>
      </w:r>
    </w:p>
    <w:p w:rsidR="008C4C8B" w:rsidRPr="0049187B" w:rsidRDefault="008C4C8B" w:rsidP="008C4C8B">
      <w:pPr>
        <w:tabs>
          <w:tab w:val="left" w:pos="4185"/>
          <w:tab w:val="left" w:pos="5985"/>
        </w:tabs>
      </w:pPr>
    </w:p>
    <w:p w:rsidR="008C4C8B" w:rsidRPr="008C4C8B" w:rsidRDefault="008C4C8B" w:rsidP="008C4C8B">
      <w:pPr>
        <w:rPr>
          <w:rStyle w:val="StyleStyleBold12pt"/>
        </w:rPr>
      </w:pPr>
      <w:r w:rsidRPr="008C4C8B">
        <w:rPr>
          <w:rStyle w:val="StyleStyleBold12pt"/>
        </w:rPr>
        <w:t xml:space="preserve">Travel restrictions are an attempt to maintain distance from a hostile other. This alienation is a violation of human dignity, and is a precondition for violence to occur </w:t>
      </w:r>
    </w:p>
    <w:p w:rsidR="008C4C8B" w:rsidRPr="0049187B" w:rsidRDefault="008C4C8B" w:rsidP="008C4C8B">
      <w:r w:rsidRPr="0049187B">
        <w:rPr>
          <w:b/>
        </w:rPr>
        <w:t>Fasching and deChant 2001</w:t>
      </w:r>
      <w:r w:rsidRPr="0049187B">
        <w:t xml:space="preserve"> (Darrell J., Professor of Religious Studies at the University of South Florida, Dell, Director of Religious Studies in the Department of Religious Studies at the University of South Florida, </w:t>
      </w:r>
      <w:r w:rsidRPr="0049187B">
        <w:rPr>
          <w:i/>
        </w:rPr>
        <w:t xml:space="preserve">Comparative Religious Ethics: A Narrative Approach, </w:t>
      </w:r>
      <w:r w:rsidRPr="0049187B">
        <w:t xml:space="preserve">Pp. 10) </w:t>
      </w:r>
    </w:p>
    <w:p w:rsidR="008C4C8B" w:rsidRDefault="008C4C8B" w:rsidP="008C4C8B">
      <w:r w:rsidRPr="008C4C8B">
        <w:t xml:space="preserve">Human religiousness is defined by two opposing types of experience that tend to shape the </w:t>
      </w:r>
    </w:p>
    <w:p w:rsidR="008C4C8B" w:rsidRDefault="008C4C8B" w:rsidP="008C4C8B">
      <w:r>
        <w:t>AND</w:t>
      </w:r>
    </w:p>
    <w:p w:rsidR="008C4C8B" w:rsidRPr="008C4C8B" w:rsidRDefault="008C4C8B" w:rsidP="008C4C8B">
      <w:r w:rsidRPr="008C4C8B">
        <w:t>dignity  of precisely those who do not share my identity and my stories.</w:t>
      </w:r>
    </w:p>
    <w:p w:rsidR="008C4C8B" w:rsidRDefault="008C4C8B" w:rsidP="008C4C8B">
      <w:pPr>
        <w:rPr>
          <w:b/>
        </w:rPr>
      </w:pPr>
    </w:p>
    <w:p w:rsidR="008C4C8B" w:rsidRPr="008C4C8B" w:rsidRDefault="008C4C8B" w:rsidP="008C4C8B">
      <w:pPr>
        <w:rPr>
          <w:rStyle w:val="StyleStyleBold12pt"/>
        </w:rPr>
      </w:pPr>
      <w:r w:rsidRPr="008C4C8B">
        <w:rPr>
          <w:rStyle w:val="StyleStyleBold12pt"/>
        </w:rPr>
        <w:t>Plan: The United States federal government should lift the travel ban on Cuba.</w:t>
      </w:r>
    </w:p>
    <w:p w:rsidR="008C4C8B" w:rsidRPr="0049187B" w:rsidRDefault="008C4C8B" w:rsidP="008C4C8B">
      <w:pPr>
        <w:rPr>
          <w:b/>
        </w:rPr>
      </w:pPr>
    </w:p>
    <w:p w:rsidR="008C4C8B" w:rsidRPr="0049187B" w:rsidRDefault="008C4C8B" w:rsidP="008C4C8B">
      <w:pPr>
        <w:pStyle w:val="Heading1"/>
      </w:pPr>
      <w:r w:rsidRPr="0049187B">
        <w:lastRenderedPageBreak/>
        <w:t>Framing</w:t>
      </w:r>
    </w:p>
    <w:p w:rsidR="008C4C8B" w:rsidRPr="0049187B" w:rsidRDefault="008C4C8B" w:rsidP="008C4C8B"/>
    <w:p w:rsidR="008C4C8B" w:rsidRPr="008C4C8B" w:rsidRDefault="008C4C8B" w:rsidP="008C4C8B">
      <w:pPr>
        <w:rPr>
          <w:rStyle w:val="StyleStyleBold12pt"/>
        </w:rPr>
      </w:pPr>
      <w:r w:rsidRPr="008C4C8B">
        <w:rPr>
          <w:rStyle w:val="StyleStyleBold12pt"/>
        </w:rPr>
        <w:t xml:space="preserve">The affirmation of political hope is necessary to reinvigorate democracy. Democracy has become disposable in the status quo, parallel with political violence. To educate and advocate for liberty is to evoke the political power of resistance. </w:t>
      </w:r>
    </w:p>
    <w:p w:rsidR="008C4C8B" w:rsidRPr="0049187B" w:rsidRDefault="008C4C8B" w:rsidP="008C4C8B">
      <w:pPr>
        <w:tabs>
          <w:tab w:val="left" w:pos="90"/>
        </w:tabs>
        <w:rPr>
          <w:rStyle w:val="Hyperlink"/>
        </w:rPr>
      </w:pPr>
      <w:r w:rsidRPr="0049187B">
        <w:rPr>
          <w:b/>
        </w:rPr>
        <w:t>Giroux, 2010</w:t>
      </w:r>
      <w:r w:rsidRPr="0049187B">
        <w:t xml:space="preserve"> – Professor of English and Cultural Studies at McMaster University, previous professors at BU, Miami U, and Penn State (Henry, “Memories of Hope in the Age of Disposability”, published 9/28/2010, accessed online 7/2, http://archive.truthout.org/memories-hope-age-disposability63631)//BZ</w:t>
      </w:r>
    </w:p>
    <w:p w:rsidR="008C4C8B" w:rsidRDefault="008C4C8B" w:rsidP="008C4C8B">
      <w:r w:rsidRPr="008C4C8B">
        <w:t xml:space="preserve">The working-class neighborhood of my youth never gave up on democracy as an </w:t>
      </w:r>
    </w:p>
    <w:p w:rsidR="008C4C8B" w:rsidRDefault="008C4C8B" w:rsidP="008C4C8B">
      <w:r>
        <w:t>AND</w:t>
      </w:r>
    </w:p>
    <w:p w:rsidR="008C4C8B" w:rsidRPr="008C4C8B" w:rsidRDefault="008C4C8B" w:rsidP="008C4C8B">
      <w:r w:rsidRPr="008C4C8B">
        <w:t>young people waiting for adults to prove the courage of their democratic convictions.</w:t>
      </w:r>
    </w:p>
    <w:p w:rsidR="008C4C8B" w:rsidRPr="0049187B" w:rsidRDefault="008C4C8B" w:rsidP="008C4C8B">
      <w:pPr>
        <w:rPr>
          <w:b/>
        </w:rPr>
      </w:pPr>
    </w:p>
    <w:p w:rsidR="008C4C8B" w:rsidRPr="008C4C8B" w:rsidRDefault="008C4C8B" w:rsidP="008C4C8B">
      <w:pPr>
        <w:rPr>
          <w:rStyle w:val="StyleStyleBold12pt"/>
        </w:rPr>
      </w:pPr>
      <w:r w:rsidRPr="008C4C8B">
        <w:rPr>
          <w:rStyle w:val="StyleStyleBold12pt"/>
        </w:rPr>
        <w:t>Only the affirmative’s investigation of the way that freedom has been denied can reinvigorate an ethic that views equality through a lens of dignity and liberty- that solves political violence</w:t>
      </w:r>
    </w:p>
    <w:p w:rsidR="008C4C8B" w:rsidRPr="0049187B" w:rsidRDefault="008C4C8B" w:rsidP="008C4C8B">
      <w:pPr>
        <w:rPr>
          <w:sz w:val="18"/>
          <w:szCs w:val="18"/>
        </w:rPr>
      </w:pPr>
      <w:r w:rsidRPr="0049187B">
        <w:rPr>
          <w:b/>
        </w:rPr>
        <w:t>Baer ’09</w:t>
      </w:r>
      <w:r w:rsidRPr="0049187B">
        <w:rPr>
          <w:b/>
          <w:sz w:val="24"/>
        </w:rPr>
        <w:t xml:space="preserve"> </w:t>
      </w:r>
      <w:r w:rsidRPr="0049187B">
        <w:rPr>
          <w:sz w:val="18"/>
          <w:szCs w:val="18"/>
        </w:rPr>
        <w:t xml:space="preserve">(Susanne, Professor of Law at the University of Michigan, “Dignity Liberty, Equality: A Fundamental Rights Triangle of Constitutionalism”, the University of Toronto Law Journal, Vol. 59, No. 4 (Fall, 2009), JSTORE [SG]) </w:t>
      </w:r>
    </w:p>
    <w:p w:rsidR="008C4C8B" w:rsidRDefault="008C4C8B" w:rsidP="008C4C8B">
      <w:r w:rsidRPr="008C4C8B">
        <w:t xml:space="preserve">In legal scholarship, there have always been prominent voices that reject a concept of </w:t>
      </w:r>
    </w:p>
    <w:p w:rsidR="008C4C8B" w:rsidRDefault="008C4C8B" w:rsidP="008C4C8B">
      <w:r>
        <w:t>AND</w:t>
      </w:r>
    </w:p>
    <w:p w:rsidR="008C4C8B" w:rsidRPr="008C4C8B" w:rsidRDefault="008C4C8B" w:rsidP="008C4C8B">
      <w:r w:rsidRPr="008C4C8B">
        <w:t>both the traditions that inform meanings today and the ambiguities these traditions contain.</w:t>
      </w:r>
    </w:p>
    <w:p w:rsidR="008C4C8B" w:rsidRPr="0049187B" w:rsidRDefault="008C4C8B" w:rsidP="008C4C8B">
      <w:pPr>
        <w:rPr>
          <w:b/>
        </w:rPr>
      </w:pPr>
    </w:p>
    <w:p w:rsidR="008C4C8B" w:rsidRPr="008C4C8B" w:rsidRDefault="008C4C8B" w:rsidP="008C4C8B">
      <w:pPr>
        <w:rPr>
          <w:rStyle w:val="StyleStyleBold12pt"/>
        </w:rPr>
      </w:pPr>
      <w:r w:rsidRPr="008C4C8B">
        <w:rPr>
          <w:rStyle w:val="StyleStyleBold12pt"/>
        </w:rPr>
        <w:t xml:space="preserve">The restriction on the right to travel must be brought to light in academic spaces- only this can allow for a protection of freedoms </w:t>
      </w:r>
    </w:p>
    <w:p w:rsidR="008C4C8B" w:rsidRPr="0049187B" w:rsidRDefault="008C4C8B" w:rsidP="008C4C8B">
      <w:pPr>
        <w:rPr>
          <w:sz w:val="18"/>
          <w:szCs w:val="18"/>
        </w:rPr>
      </w:pPr>
      <w:r w:rsidRPr="0049187B">
        <w:rPr>
          <w:b/>
        </w:rPr>
        <w:t>Woods ’96</w:t>
      </w:r>
      <w:r w:rsidRPr="0049187B">
        <w:rPr>
          <w:b/>
          <w:sz w:val="24"/>
        </w:rPr>
        <w:t xml:space="preserve"> </w:t>
      </w:r>
      <w:r w:rsidRPr="0049187B">
        <w:rPr>
          <w:sz w:val="18"/>
          <w:szCs w:val="18"/>
        </w:rPr>
        <w:t xml:space="preserve">(Jeanne, Professor of Law at University of Loyola New Orleans, “Travel that Talks: Toward First Amendment Protection for Freedom of Movement”, George Washington Law Review, Vol. 65, No. 301, 1996, Accessed via Nexus, [SG]) </w:t>
      </w:r>
    </w:p>
    <w:p w:rsidR="008C4C8B" w:rsidRDefault="008C4C8B" w:rsidP="008C4C8B">
      <w:r w:rsidRPr="008C4C8B">
        <w:t xml:space="preserve">In this context, the form of expression-travel abroad-is an integral </w:t>
      </w:r>
    </w:p>
    <w:p w:rsidR="008C4C8B" w:rsidRDefault="008C4C8B" w:rsidP="008C4C8B">
      <w:r>
        <w:t>AND</w:t>
      </w:r>
    </w:p>
    <w:p w:rsidR="008C4C8B" w:rsidRPr="008C4C8B" w:rsidRDefault="008C4C8B" w:rsidP="008C4C8B">
      <w:r w:rsidRPr="008C4C8B">
        <w:t>orthodox in politics, nationalism, religion, or other matters of opinion.</w:t>
      </w:r>
    </w:p>
    <w:p w:rsidR="008C4C8B" w:rsidRPr="0049187B" w:rsidRDefault="008C4C8B" w:rsidP="008C4C8B">
      <w:pPr>
        <w:autoSpaceDE w:val="0"/>
        <w:autoSpaceDN w:val="0"/>
        <w:adjustRightInd w:val="0"/>
        <w:rPr>
          <w:color w:val="000000"/>
        </w:rPr>
      </w:pPr>
    </w:p>
    <w:p w:rsidR="008C4C8B" w:rsidRPr="008C4C8B" w:rsidRDefault="008C4C8B" w:rsidP="008C4C8B">
      <w:pPr>
        <w:rPr>
          <w:rStyle w:val="StyleStyleBold12pt"/>
        </w:rPr>
      </w:pPr>
      <w:r w:rsidRPr="008C4C8B">
        <w:rPr>
          <w:rStyle w:val="StyleStyleBold12pt"/>
        </w:rPr>
        <w:t>Engagement with the state does not necessitate affirmation of all past policies – affiliation generates civic engagement to change it</w:t>
      </w:r>
    </w:p>
    <w:p w:rsidR="008C4C8B" w:rsidRPr="0049187B" w:rsidRDefault="008C4C8B" w:rsidP="008C4C8B">
      <w:r w:rsidRPr="0049187B">
        <w:rPr>
          <w:b/>
          <w:sz w:val="24"/>
          <w:u w:val="single"/>
        </w:rPr>
        <w:t>Brubaker, 4</w:t>
      </w:r>
      <w:r w:rsidRPr="0049187B">
        <w:t xml:space="preserve"> – Department of Sociology, UCLA, 2004, (Rodgers, “In the Name of the Nation: Reflections on Nationalism and Patriotism”, Citizenship Studies, Vol. 8, No. 2, </w:t>
      </w:r>
      <w:hyperlink r:id="rId11" w:history="1">
        <w:r w:rsidRPr="0049187B">
          <w:t>www.sailorstraining.eu/admin/download/b28.pdf</w:t>
        </w:r>
      </w:hyperlink>
      <w:r w:rsidRPr="0049187B">
        <w:t>)</w:t>
      </w:r>
    </w:p>
    <w:p w:rsidR="008C4C8B" w:rsidRDefault="008C4C8B" w:rsidP="008C4C8B">
      <w:r w:rsidRPr="008C4C8B">
        <w:t xml:space="preserve">This, then, is the basic work done by the category ‘nation’ in </w:t>
      </w:r>
    </w:p>
    <w:p w:rsidR="008C4C8B" w:rsidRDefault="008C4C8B" w:rsidP="008C4C8B">
      <w:r>
        <w:t>AND</w:t>
      </w:r>
    </w:p>
    <w:p w:rsidR="008C4C8B" w:rsidRPr="008C4C8B" w:rsidRDefault="008C4C8B" w:rsidP="008C4C8B">
      <w:r w:rsidRPr="008C4C8B">
        <w:t xml:space="preserve">commitments can furnish the energies and passions that motivate and sustain civic engagement. </w:t>
      </w:r>
    </w:p>
    <w:p w:rsidR="008C4C8B" w:rsidRPr="0049187B" w:rsidRDefault="008C4C8B" w:rsidP="008C4C8B">
      <w:pPr>
        <w:tabs>
          <w:tab w:val="left" w:pos="11160"/>
        </w:tabs>
        <w:ind w:right="29"/>
        <w:jc w:val="both"/>
        <w:rPr>
          <w:bCs/>
          <w:u w:val="single"/>
        </w:rPr>
      </w:pPr>
    </w:p>
    <w:p w:rsidR="008C4C8B" w:rsidRPr="008C4C8B" w:rsidRDefault="008C4C8B" w:rsidP="008C4C8B">
      <w:pPr>
        <w:rPr>
          <w:rStyle w:val="StyleStyleBold12pt"/>
        </w:rPr>
      </w:pPr>
      <w:r w:rsidRPr="008C4C8B">
        <w:rPr>
          <w:rStyle w:val="StyleStyleBold12pt"/>
        </w:rPr>
        <w:t>An anal</w:t>
      </w:r>
      <w:bookmarkStart w:id="0" w:name="_GoBack"/>
      <w:bookmarkEnd w:id="0"/>
      <w:r w:rsidRPr="008C4C8B">
        <w:rPr>
          <w:rStyle w:val="StyleStyleBold12pt"/>
        </w:rPr>
        <w:t>ysis of freedom inserts new social forces to contemporary debate which moves beyond apocalypse at every turn</w:t>
      </w:r>
    </w:p>
    <w:p w:rsidR="008C4C8B" w:rsidRPr="0049187B" w:rsidRDefault="008C4C8B" w:rsidP="008C4C8B">
      <w:pPr>
        <w:rPr>
          <w:rFonts w:cs="Arial"/>
          <w:color w:val="222222"/>
          <w:szCs w:val="20"/>
        </w:rPr>
      </w:pPr>
      <w:r w:rsidRPr="0049187B">
        <w:rPr>
          <w:b/>
        </w:rPr>
        <w:t>Odekirk, 10</w:t>
      </w:r>
      <w:r w:rsidRPr="0049187B">
        <w:rPr>
          <w:rFonts w:cs="Arial"/>
          <w:color w:val="222222"/>
          <w:sz w:val="16"/>
          <w:szCs w:val="16"/>
        </w:rPr>
        <w:t> – debate coach (Scott, 8/6/10, Impact Hyperbole: A Dilemma of Contemporary Debate Practice, </w:t>
      </w:r>
      <w:r w:rsidRPr="0049187B">
        <w:rPr>
          <w:rFonts w:cs="Arial"/>
          <w:color w:val="1155CC"/>
          <w:sz w:val="16"/>
          <w:szCs w:val="16"/>
          <w:u w:val="single"/>
        </w:rPr>
        <w:t>http://puttingthekindebate.com/2010/08/26/impact-hyperbole-a-dilemma-of-contemporary-debate-practice/</w:t>
      </w:r>
      <w:r w:rsidRPr="0049187B">
        <w:rPr>
          <w:rFonts w:cs="Arial"/>
          <w:color w:val="222222"/>
          <w:sz w:val="16"/>
          <w:szCs w:val="16"/>
        </w:rPr>
        <w:t>)</w:t>
      </w:r>
    </w:p>
    <w:p w:rsidR="008C4C8B" w:rsidRPr="008C4C8B" w:rsidRDefault="008C4C8B" w:rsidP="008C4C8B">
      <w:r w:rsidRPr="008C4C8B">
        <w:t xml:space="preserve">It seems as though debate is </w:t>
      </w:r>
    </w:p>
    <w:p w:rsidR="008C4C8B" w:rsidRPr="008C4C8B" w:rsidRDefault="008C4C8B" w:rsidP="008C4C8B">
      <w:r w:rsidRPr="008C4C8B">
        <w:t xml:space="preserve">AND </w:t>
      </w:r>
    </w:p>
    <w:p w:rsidR="008C4C8B" w:rsidRPr="008C4C8B" w:rsidRDefault="008C4C8B" w:rsidP="008C4C8B">
      <w:r w:rsidRPr="008C4C8B">
        <w:t>reign in our impact hyperbole.</w:t>
      </w:r>
    </w:p>
    <w:p w:rsidR="008C4C8B" w:rsidRPr="0049187B" w:rsidRDefault="008C4C8B" w:rsidP="008C4C8B"/>
    <w:p w:rsidR="008C4C8B" w:rsidRPr="008C4C8B" w:rsidRDefault="008C4C8B" w:rsidP="008C4C8B">
      <w:pPr>
        <w:rPr>
          <w:rStyle w:val="StyleStyleBold12pt"/>
        </w:rPr>
      </w:pPr>
      <w:r w:rsidRPr="008C4C8B">
        <w:rPr>
          <w:rStyle w:val="StyleStyleBold12pt"/>
        </w:rPr>
        <w:lastRenderedPageBreak/>
        <w:t>Decision calculus based on anxiety is a flawed form of decision calculus in which we cease to take pleasure in the flux that is life—vote aff to break our cultural addiction to the end-of-the-world.</w:t>
      </w:r>
    </w:p>
    <w:p w:rsidR="008C4C8B" w:rsidRPr="0049187B" w:rsidRDefault="008C4C8B" w:rsidP="008C4C8B">
      <w:pPr>
        <w:shd w:val="clear" w:color="auto" w:fill="FFFFFF"/>
        <w:rPr>
          <w:rFonts w:cs="Arial"/>
          <w:color w:val="000000" w:themeColor="text1"/>
          <w:szCs w:val="20"/>
        </w:rPr>
      </w:pPr>
      <w:r w:rsidRPr="0049187B">
        <w:rPr>
          <w:rFonts w:cs="Arial"/>
          <w:b/>
          <w:bCs/>
          <w:color w:val="000000" w:themeColor="text1"/>
          <w:szCs w:val="20"/>
          <w:bdr w:val="single" w:sz="8" w:space="0" w:color="auto" w:frame="1"/>
        </w:rPr>
        <w:t>Shapiro, 11</w:t>
      </w:r>
      <w:r w:rsidRPr="0049187B">
        <w:rPr>
          <w:rFonts w:cs="Arial"/>
          <w:color w:val="000000" w:themeColor="text1"/>
          <w:sz w:val="16"/>
          <w:szCs w:val="16"/>
        </w:rPr>
        <w:t> – an interdisciplinary thinker who studied science-technology at MIT and philosophy-history-literature at Cornell University (Alan N., 8/25/11, </w:t>
      </w:r>
      <w:r w:rsidRPr="0049187B">
        <w:rPr>
          <w:rFonts w:cs="Arial"/>
          <w:i/>
          <w:iCs/>
          <w:color w:val="000000" w:themeColor="text1"/>
          <w:sz w:val="16"/>
          <w:szCs w:val="16"/>
        </w:rPr>
        <w:t>Jean Baudrillard and Doomsday: On Louis Arnoux’s “Catastrophe Warning” Discourse</w:t>
      </w:r>
      <w:r w:rsidRPr="0049187B">
        <w:rPr>
          <w:rFonts w:cs="Arial"/>
          <w:color w:val="000000" w:themeColor="text1"/>
          <w:sz w:val="16"/>
          <w:szCs w:val="16"/>
        </w:rPr>
        <w:t>, </w:t>
      </w:r>
      <w:r w:rsidRPr="0049187B">
        <w:rPr>
          <w:rFonts w:cs="Arial"/>
          <w:color w:val="000000" w:themeColor="text1"/>
          <w:sz w:val="16"/>
          <w:szCs w:val="16"/>
          <w:u w:val="single"/>
        </w:rPr>
        <w:t>http://www.alan-shapiro.com/baudrillard-and-doomsday-on-louis-arnoux%E2%80%99s-%E2%80%9Ccatastrophe-warning%E2%80%9D-discourse/</w:t>
      </w:r>
      <w:r w:rsidRPr="0049187B">
        <w:rPr>
          <w:rFonts w:cs="Arial"/>
          <w:color w:val="000000" w:themeColor="text1"/>
          <w:sz w:val="16"/>
          <w:szCs w:val="16"/>
        </w:rPr>
        <w:t>)</w:t>
      </w:r>
    </w:p>
    <w:p w:rsidR="008C4C8B" w:rsidRDefault="008C4C8B" w:rsidP="008C4C8B">
      <w:r w:rsidRPr="008C4C8B">
        <w:t xml:space="preserve"> In the second essay of The Illusion of the End, “The reversal </w:t>
      </w:r>
    </w:p>
    <w:p w:rsidR="008C4C8B" w:rsidRDefault="008C4C8B" w:rsidP="008C4C8B">
      <w:r>
        <w:t>AND</w:t>
      </w:r>
    </w:p>
    <w:p w:rsidR="008C4C8B" w:rsidRPr="008C4C8B" w:rsidRDefault="008C4C8B" w:rsidP="008C4C8B">
      <w:r w:rsidRPr="008C4C8B">
        <w:t>not in the future, it is here and now.” (119) </w:t>
      </w:r>
    </w:p>
    <w:p w:rsidR="008C4C8B" w:rsidRPr="00D17C4E" w:rsidRDefault="008C4C8B" w:rsidP="008C4C8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47D" w:rsidRDefault="0077147D" w:rsidP="005F5576">
      <w:r>
        <w:separator/>
      </w:r>
    </w:p>
  </w:endnote>
  <w:endnote w:type="continuationSeparator" w:id="0">
    <w:p w:rsidR="0077147D" w:rsidRDefault="007714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47D" w:rsidRDefault="0077147D" w:rsidP="005F5576">
      <w:r>
        <w:separator/>
      </w:r>
    </w:p>
  </w:footnote>
  <w:footnote w:type="continuationSeparator" w:id="0">
    <w:p w:rsidR="0077147D" w:rsidRDefault="007714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4E"/>
    <w:rsid w:val="006F46C3"/>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47D"/>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FAE"/>
    <w:rsid w:val="007E3F59"/>
    <w:rsid w:val="007E5043"/>
    <w:rsid w:val="007E5183"/>
    <w:rsid w:val="008133F9"/>
    <w:rsid w:val="00823AAC"/>
    <w:rsid w:val="00854C66"/>
    <w:rsid w:val="008553E1"/>
    <w:rsid w:val="0087643B"/>
    <w:rsid w:val="00877669"/>
    <w:rsid w:val="00897F92"/>
    <w:rsid w:val="008A1F05"/>
    <w:rsid w:val="008A64C9"/>
    <w:rsid w:val="008B180A"/>
    <w:rsid w:val="008B24B7"/>
    <w:rsid w:val="008C2CD8"/>
    <w:rsid w:val="008C4C8B"/>
    <w:rsid w:val="008C5743"/>
    <w:rsid w:val="008C68EE"/>
    <w:rsid w:val="008C7F44"/>
    <w:rsid w:val="008D4273"/>
    <w:rsid w:val="008D4EF3"/>
    <w:rsid w:val="008E0E4F"/>
    <w:rsid w:val="008E1FD5"/>
    <w:rsid w:val="008E4139"/>
    <w:rsid w:val="008F322F"/>
    <w:rsid w:val="00907DFE"/>
    <w:rsid w:val="009143F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1F2"/>
    <w:rsid w:val="00A10B8B"/>
    <w:rsid w:val="00A20D78"/>
    <w:rsid w:val="00A2174A"/>
    <w:rsid w:val="00A26733"/>
    <w:rsid w:val="00A3595E"/>
    <w:rsid w:val="00A46C7F"/>
    <w:rsid w:val="00A73245"/>
    <w:rsid w:val="00A77145"/>
    <w:rsid w:val="00A82989"/>
    <w:rsid w:val="00A904FE"/>
    <w:rsid w:val="00A9262C"/>
    <w:rsid w:val="00A9585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2A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Underlined,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uiPriority w:val="6"/>
    <w:qFormat/>
    <w:rsid w:val="008C4C8B"/>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CD Card,Minimized,minimized,Evidence,Highlighted,tag2,Size 10,ED - Tag,Bold Underline,emphasis,Emphasis!!,Underlined,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uiPriority w:val="6"/>
    <w:qFormat/>
    <w:rsid w:val="008C4C8B"/>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ilorstraining.eu/admin/download/b28.pdf" TargetMode="External"/><Relationship Id="rId5" Type="http://schemas.microsoft.com/office/2007/relationships/stylesWithEffects" Target="stylesWithEffects.xml"/><Relationship Id="rId10" Type="http://schemas.openxmlformats.org/officeDocument/2006/relationships/hyperlink" Target="http://www.truth-out.org/archive/item/91994:memories-of-hope-in-the-age-of-disposabilit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1</cp:revision>
  <dcterms:created xsi:type="dcterms:W3CDTF">2014-03-15T03:42:00Z</dcterms:created>
  <dcterms:modified xsi:type="dcterms:W3CDTF">2014-03-15T03:43:00Z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