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CE9" w:rsidRDefault="00B56CE9" w:rsidP="00B56CE9">
      <w:pPr>
        <w:pStyle w:val="Heading2"/>
      </w:pPr>
      <w:r>
        <w:t>China FDI CP (Coppell PS)</w:t>
      </w:r>
    </w:p>
    <w:p w:rsidR="00B56CE9" w:rsidRPr="00D3278B" w:rsidRDefault="00B56CE9" w:rsidP="00B56CE9">
      <w:pPr>
        <w:pStyle w:val="Heading4"/>
        <w:rPr>
          <w:rFonts w:asciiTheme="minorHAnsi" w:hAnsiTheme="minorHAnsi"/>
        </w:rPr>
      </w:pPr>
      <w:r w:rsidRPr="00D3278B">
        <w:rPr>
          <w:rFonts w:asciiTheme="minorHAnsi" w:hAnsiTheme="minorHAnsi"/>
        </w:rPr>
        <w:t>CP Text: The People’s Republic of China should engage in foreign direct investment of</w:t>
      </w:r>
      <w:r>
        <w:rPr>
          <w:rFonts w:asciiTheme="minorHAnsi" w:hAnsiTheme="minorHAnsi"/>
        </w:rPr>
        <w:t xml:space="preserve"> [Plan</w:t>
      </w:r>
      <w:r w:rsidRPr="00D3278B">
        <w:rPr>
          <w:rFonts w:asciiTheme="minorHAnsi" w:hAnsiTheme="minorHAnsi"/>
        </w:rPr>
        <w:t>] within the United States.</w:t>
      </w:r>
    </w:p>
    <w:p w:rsidR="00B56CE9" w:rsidRPr="00D3278B" w:rsidRDefault="00B56CE9" w:rsidP="00B56CE9">
      <w:pPr>
        <w:rPr>
          <w:rFonts w:asciiTheme="minorHAnsi" w:hAnsiTheme="minorHAnsi"/>
        </w:rPr>
      </w:pPr>
      <w:bookmarkStart w:id="0" w:name="_GoBack"/>
      <w:bookmarkEnd w:id="0"/>
    </w:p>
    <w:p w:rsidR="00B56CE9" w:rsidRPr="00D3278B" w:rsidRDefault="00B56CE9" w:rsidP="00B56CE9">
      <w:pPr>
        <w:pStyle w:val="Heading4"/>
        <w:rPr>
          <w:rFonts w:asciiTheme="minorHAnsi" w:hAnsiTheme="minorHAnsi"/>
        </w:rPr>
      </w:pPr>
      <w:r w:rsidRPr="00D3278B">
        <w:rPr>
          <w:rFonts w:asciiTheme="minorHAnsi" w:hAnsiTheme="minorHAnsi"/>
        </w:rPr>
        <w:t xml:space="preserve">Solves case - avoids </w:t>
      </w:r>
      <w:r>
        <w:rPr>
          <w:rFonts w:asciiTheme="minorHAnsi" w:hAnsiTheme="minorHAnsi"/>
        </w:rPr>
        <w:t>politics</w:t>
      </w:r>
      <w:r w:rsidRPr="00D3278B">
        <w:rPr>
          <w:rFonts w:asciiTheme="minorHAnsi" w:hAnsiTheme="minorHAnsi"/>
        </w:rPr>
        <w:t xml:space="preserve"> and spending</w:t>
      </w:r>
    </w:p>
    <w:p w:rsidR="00B56CE9" w:rsidRPr="00D3278B" w:rsidRDefault="00B56CE9" w:rsidP="00B56CE9">
      <w:pPr>
        <w:rPr>
          <w:rFonts w:asciiTheme="minorHAnsi" w:hAnsiTheme="minorHAnsi" w:cs="Arial"/>
          <w:color w:val="000000"/>
          <w:sz w:val="16"/>
          <w:szCs w:val="16"/>
          <w:shd w:val="clear" w:color="auto" w:fill="FFFFFF"/>
        </w:rPr>
      </w:pPr>
      <w:r w:rsidRPr="00D3278B">
        <w:rPr>
          <w:rStyle w:val="StyleStyleBold12pt"/>
          <w:rFonts w:asciiTheme="minorHAnsi" w:hAnsiTheme="minorHAnsi"/>
        </w:rPr>
        <w:t>Richter 11</w:t>
      </w:r>
      <w:r w:rsidRPr="00D3278B">
        <w:rPr>
          <w:rFonts w:asciiTheme="minorHAnsi" w:hAnsiTheme="minorHAnsi" w:cs="Arial"/>
          <w:color w:val="000000"/>
          <w:sz w:val="20"/>
          <w:szCs w:val="20"/>
          <w:shd w:val="clear" w:color="auto" w:fill="FFFFFF"/>
        </w:rPr>
        <w:t xml:space="preserve"> </w:t>
      </w:r>
      <w:r w:rsidRPr="00D3278B">
        <w:rPr>
          <w:rFonts w:asciiTheme="minorHAnsi" w:hAnsiTheme="minorHAnsi" w:cs="Arial"/>
          <w:color w:val="000000"/>
          <w:sz w:val="16"/>
          <w:szCs w:val="16"/>
          <w:shd w:val="clear" w:color="auto" w:fill="FFFFFF"/>
        </w:rPr>
        <w:t xml:space="preserve">(Stephan Richter, publisher and editor-in-chief of The Globalist, and President of The Globalist Research Center, and a former Congressional Fellow of the American Political Science Association, J.D., University of Bonn, Germany, “Yes, There Will Be a U.S. Infrastructure Bank,” The Globalist, 3-16-2011, </w:t>
      </w:r>
      <w:hyperlink r:id="rId10" w:history="1">
        <w:r w:rsidRPr="00D3278B">
          <w:rPr>
            <w:rStyle w:val="Hyperlink"/>
            <w:rFonts w:asciiTheme="minorHAnsi" w:hAnsiTheme="minorHAnsi" w:cs="Arial"/>
            <w:sz w:val="16"/>
            <w:szCs w:val="16"/>
            <w:shd w:val="clear" w:color="auto" w:fill="FFFFFF"/>
          </w:rPr>
          <w:t>http://www.theglobalist.com/storyid.aspx?StoryId=9039</w:t>
        </w:r>
      </w:hyperlink>
      <w:r w:rsidRPr="00D3278B">
        <w:rPr>
          <w:rFonts w:asciiTheme="minorHAnsi" w:hAnsiTheme="minorHAnsi" w:cs="Arial"/>
          <w:color w:val="000000"/>
          <w:sz w:val="16"/>
          <w:szCs w:val="16"/>
          <w:shd w:val="clear" w:color="auto" w:fill="FFFFFF"/>
        </w:rPr>
        <w:t>)</w:t>
      </w:r>
    </w:p>
    <w:p w:rsidR="00B56CE9" w:rsidRPr="00D3278B" w:rsidRDefault="00B56CE9" w:rsidP="00B56CE9">
      <w:pPr>
        <w:rPr>
          <w:rFonts w:asciiTheme="minorHAnsi" w:hAnsiTheme="minorHAnsi"/>
          <w:sz w:val="16"/>
        </w:rPr>
      </w:pPr>
    </w:p>
    <w:p w:rsidR="00B56CE9" w:rsidRDefault="00B56CE9" w:rsidP="00B56CE9">
      <w:r w:rsidRPr="00B56CE9">
        <w:t xml:space="preserve">For all the public clamoring about investing in U.S. infrastructure, the </w:t>
      </w:r>
    </w:p>
    <w:p w:rsidR="00B56CE9" w:rsidRDefault="00B56CE9" w:rsidP="00B56CE9">
      <w:r>
        <w:t>AND</w:t>
      </w:r>
    </w:p>
    <w:p w:rsidR="00B56CE9" w:rsidRPr="00B56CE9" w:rsidRDefault="00B56CE9" w:rsidP="00B56CE9">
      <w:proofErr w:type="gramStart"/>
      <w:r w:rsidRPr="00B56CE9">
        <w:t>of</w:t>
      </w:r>
      <w:proofErr w:type="gramEnd"/>
      <w:r w:rsidRPr="00B56CE9">
        <w:t xml:space="preserve"> the entire world economy. Let's hope that outcome can be avoided.”</w:t>
      </w:r>
    </w:p>
    <w:p w:rsidR="00B56CE9" w:rsidRPr="00D3278B" w:rsidRDefault="00B56CE9" w:rsidP="00B56CE9">
      <w:pPr>
        <w:pStyle w:val="Heading4"/>
        <w:rPr>
          <w:rFonts w:asciiTheme="minorHAnsi" w:hAnsiTheme="minorHAnsi"/>
        </w:rPr>
      </w:pPr>
      <w:r w:rsidRPr="00D3278B">
        <w:rPr>
          <w:rFonts w:asciiTheme="minorHAnsi" w:hAnsiTheme="minorHAnsi"/>
        </w:rPr>
        <w:t>Chinese direct investment uniquely ensures positive and resilient relations, aligns interests and prevents future conflict</w:t>
      </w:r>
    </w:p>
    <w:p w:rsidR="00B56CE9" w:rsidRPr="00D3278B" w:rsidRDefault="00B56CE9" w:rsidP="00B56CE9">
      <w:pPr>
        <w:rPr>
          <w:rFonts w:asciiTheme="minorHAnsi" w:hAnsiTheme="minorHAnsi"/>
          <w:sz w:val="16"/>
          <w:szCs w:val="16"/>
        </w:rPr>
      </w:pPr>
      <w:r w:rsidRPr="00D3278B">
        <w:rPr>
          <w:rStyle w:val="StyleStyleBold12pt"/>
          <w:rFonts w:asciiTheme="minorHAnsi" w:hAnsiTheme="minorHAnsi"/>
        </w:rPr>
        <w:t>Rosen 11</w:t>
      </w:r>
      <w:r w:rsidRPr="00D3278B">
        <w:rPr>
          <w:rFonts w:asciiTheme="minorHAnsi" w:hAnsiTheme="minorHAnsi"/>
        </w:rPr>
        <w:t xml:space="preserve"> </w:t>
      </w:r>
      <w:r w:rsidRPr="00D3278B">
        <w:rPr>
          <w:rFonts w:asciiTheme="minorHAnsi" w:hAnsiTheme="minorHAnsi"/>
          <w:sz w:val="16"/>
          <w:szCs w:val="16"/>
        </w:rPr>
        <w:t xml:space="preserve">(Daniel H. Rosen, Founder and China Practice leader of the Rhodium Group, Adjunct Associate Professor at Columbia University, teaches Chinese economy, Fellow with the Peterson Institute for International Economics, former Senior Advisor for International Economic Policy at the White House National Economic Council and National Security Council; </w:t>
      </w:r>
      <w:proofErr w:type="spellStart"/>
      <w:r w:rsidRPr="00D3278B">
        <w:rPr>
          <w:rFonts w:asciiTheme="minorHAnsi" w:hAnsiTheme="minorHAnsi"/>
          <w:sz w:val="16"/>
          <w:szCs w:val="16"/>
        </w:rPr>
        <w:t>Thilo</w:t>
      </w:r>
      <w:proofErr w:type="spellEnd"/>
      <w:r w:rsidRPr="00D3278B">
        <w:rPr>
          <w:rFonts w:asciiTheme="minorHAnsi" w:hAnsiTheme="minorHAnsi"/>
          <w:sz w:val="16"/>
          <w:szCs w:val="16"/>
        </w:rPr>
        <w:t xml:space="preserve"> </w:t>
      </w:r>
      <w:proofErr w:type="spellStart"/>
      <w:r w:rsidRPr="00D3278B">
        <w:rPr>
          <w:rFonts w:asciiTheme="minorHAnsi" w:hAnsiTheme="minorHAnsi"/>
          <w:sz w:val="16"/>
          <w:szCs w:val="16"/>
        </w:rPr>
        <w:t>Hanemann</w:t>
      </w:r>
      <w:proofErr w:type="spellEnd"/>
      <w:r w:rsidRPr="00D3278B">
        <w:rPr>
          <w:rFonts w:asciiTheme="minorHAnsi" w:hAnsiTheme="minorHAnsi"/>
          <w:sz w:val="16"/>
          <w:szCs w:val="16"/>
        </w:rPr>
        <w:t>, Research Director at the Rhodium Group, research focuses on China’s macroeconomic development and the implications for global trade and investment flows; “An American Open Door? Maximizing the Benefits of Chinese Foreign Direct Investment,” Center on U.S.-China Relations, Asia Society and Kissinger Institute on China and the United States, Woodrow Wilson International Center for Scholars, Special Report, May 2011</w:t>
      </w:r>
      <w:proofErr w:type="gramStart"/>
      <w:r w:rsidRPr="00D3278B">
        <w:rPr>
          <w:rFonts w:asciiTheme="minorHAnsi" w:hAnsiTheme="minorHAnsi"/>
          <w:sz w:val="16"/>
          <w:szCs w:val="16"/>
        </w:rPr>
        <w:t>,</w:t>
      </w:r>
      <w:proofErr w:type="gramEnd"/>
      <w:r w:rsidRPr="00D3278B">
        <w:rPr>
          <w:rFonts w:asciiTheme="minorHAnsi" w:hAnsiTheme="minorHAnsi"/>
          <w:sz w:val="16"/>
          <w:szCs w:val="16"/>
        </w:rPr>
        <w:fldChar w:fldCharType="begin"/>
      </w:r>
      <w:r w:rsidRPr="00D3278B">
        <w:rPr>
          <w:rFonts w:asciiTheme="minorHAnsi" w:hAnsiTheme="minorHAnsi"/>
          <w:sz w:val="16"/>
          <w:szCs w:val="16"/>
        </w:rPr>
        <w:instrText xml:space="preserve"> HYPERLINK "http://asiasociety.org/files/pdf/AnAmericanOpenDoor_FINAL.pdf" </w:instrText>
      </w:r>
      <w:r w:rsidRPr="00D3278B">
        <w:rPr>
          <w:rFonts w:asciiTheme="minorHAnsi" w:hAnsiTheme="minorHAnsi"/>
          <w:sz w:val="16"/>
          <w:szCs w:val="16"/>
        </w:rPr>
        <w:fldChar w:fldCharType="separate"/>
      </w:r>
      <w:r w:rsidRPr="00D3278B">
        <w:rPr>
          <w:rStyle w:val="Hyperlink"/>
          <w:rFonts w:asciiTheme="minorHAnsi" w:hAnsiTheme="minorHAnsi"/>
          <w:sz w:val="16"/>
          <w:szCs w:val="16"/>
        </w:rPr>
        <w:t>http://asiasociety.org/files/pdf/AnAmericanOpenDoor_FINAL.pdf</w:t>
      </w:r>
      <w:r w:rsidRPr="00D3278B">
        <w:rPr>
          <w:rFonts w:asciiTheme="minorHAnsi" w:hAnsiTheme="minorHAnsi"/>
          <w:sz w:val="16"/>
          <w:szCs w:val="16"/>
        </w:rPr>
        <w:fldChar w:fldCharType="end"/>
      </w:r>
      <w:r w:rsidRPr="00D3278B">
        <w:rPr>
          <w:rFonts w:asciiTheme="minorHAnsi" w:hAnsiTheme="minorHAnsi"/>
          <w:sz w:val="16"/>
          <w:szCs w:val="16"/>
        </w:rPr>
        <w:t>)</w:t>
      </w:r>
    </w:p>
    <w:p w:rsidR="00B56CE9" w:rsidRPr="00D3278B" w:rsidRDefault="00B56CE9" w:rsidP="00B56CE9">
      <w:pPr>
        <w:rPr>
          <w:rFonts w:asciiTheme="minorHAnsi" w:hAnsiTheme="minorHAnsi"/>
          <w:sz w:val="16"/>
          <w:szCs w:val="16"/>
        </w:rPr>
      </w:pPr>
    </w:p>
    <w:p w:rsidR="00B56CE9" w:rsidRDefault="00B56CE9" w:rsidP="00B56CE9">
      <w:r w:rsidRPr="00B56CE9">
        <w:t xml:space="preserve">Foreign ownership of domestic assets is a deeper form of global economic integration than simply </w:t>
      </w:r>
    </w:p>
    <w:p w:rsidR="00B56CE9" w:rsidRDefault="00B56CE9" w:rsidP="00B56CE9">
      <w:r>
        <w:t>AND</w:t>
      </w:r>
    </w:p>
    <w:p w:rsidR="00B56CE9" w:rsidRPr="00B56CE9" w:rsidRDefault="00B56CE9" w:rsidP="00B56CE9">
      <w:r w:rsidRPr="00B56CE9">
        <w:t>, rather than expecting the inward investment review process to carry that burden.</w:t>
      </w:r>
    </w:p>
    <w:p w:rsidR="00B56CE9" w:rsidRPr="00D3278B" w:rsidRDefault="00B56CE9" w:rsidP="00B56CE9">
      <w:pPr>
        <w:rPr>
          <w:rFonts w:asciiTheme="minorHAnsi" w:hAnsiTheme="minorHAnsi"/>
          <w:sz w:val="16"/>
        </w:rPr>
      </w:pPr>
    </w:p>
    <w:p w:rsidR="00B56CE9" w:rsidRPr="00D3278B" w:rsidRDefault="00B56CE9" w:rsidP="00B56CE9">
      <w:pPr>
        <w:pStyle w:val="Heading4"/>
        <w:rPr>
          <w:rFonts w:asciiTheme="minorHAnsi" w:hAnsiTheme="minorHAnsi"/>
        </w:rPr>
      </w:pPr>
      <w:r w:rsidRPr="00D3278B">
        <w:rPr>
          <w:rFonts w:asciiTheme="minorHAnsi" w:hAnsiTheme="minorHAnsi"/>
        </w:rPr>
        <w:t xml:space="preserve">Smart power key to prevent multiple scenarios for planetary destruction – checks </w:t>
      </w:r>
      <w:proofErr w:type="gramStart"/>
      <w:r w:rsidRPr="00D3278B">
        <w:rPr>
          <w:rFonts w:asciiTheme="minorHAnsi" w:hAnsiTheme="minorHAnsi"/>
        </w:rPr>
        <w:t>global</w:t>
      </w:r>
      <w:proofErr w:type="gramEnd"/>
      <w:r w:rsidRPr="00D3278B">
        <w:rPr>
          <w:rFonts w:asciiTheme="minorHAnsi" w:hAnsiTheme="minorHAnsi"/>
        </w:rPr>
        <w:t xml:space="preserve"> conflict escalation</w:t>
      </w:r>
    </w:p>
    <w:p w:rsidR="00B56CE9" w:rsidRPr="00D3278B" w:rsidRDefault="00B56CE9" w:rsidP="00B56CE9">
      <w:pPr>
        <w:rPr>
          <w:rFonts w:asciiTheme="minorHAnsi" w:hAnsiTheme="minorHAnsi"/>
          <w:sz w:val="16"/>
          <w:szCs w:val="16"/>
        </w:rPr>
      </w:pPr>
      <w:r w:rsidRPr="00D3278B">
        <w:rPr>
          <w:rStyle w:val="StyleStyleBold12pt"/>
          <w:rFonts w:asciiTheme="minorHAnsi" w:hAnsiTheme="minorHAnsi"/>
        </w:rPr>
        <w:t>Cohen 9</w:t>
      </w:r>
      <w:r w:rsidRPr="00D3278B">
        <w:rPr>
          <w:rFonts w:asciiTheme="minorHAnsi" w:hAnsiTheme="minorHAnsi"/>
        </w:rPr>
        <w:t xml:space="preserve"> </w:t>
      </w:r>
      <w:r w:rsidRPr="00D3278B">
        <w:rPr>
          <w:rFonts w:asciiTheme="minorHAnsi" w:hAnsiTheme="minorHAnsi"/>
          <w:sz w:val="16"/>
          <w:szCs w:val="16"/>
        </w:rPr>
        <w:t>(William S. Cohen, chairman and CEO of The Cohen Group, strategic business consulting firm, former U.S. secretary of defense; Maurice R. Greenberg, chairman and CEO, C.V. Starr &amp; Co., former chairman and CEO of AIG; “Smart Power in U.S.-China Relations,”</w:t>
      </w:r>
      <w:hyperlink r:id="rId11" w:history="1">
        <w:r w:rsidRPr="00D3278B">
          <w:rPr>
            <w:rStyle w:val="Hyperlink"/>
            <w:rFonts w:asciiTheme="minorHAnsi" w:hAnsiTheme="minorHAnsi"/>
            <w:sz w:val="16"/>
            <w:szCs w:val="16"/>
          </w:rPr>
          <w:t>http://csis.org/files/media/csis/pubs/090309_mcgiffert_uschinasmartpower_web.pdf</w:t>
        </w:r>
      </w:hyperlink>
      <w:r w:rsidRPr="00D3278B">
        <w:rPr>
          <w:rFonts w:asciiTheme="minorHAnsi" w:hAnsiTheme="minorHAnsi"/>
          <w:sz w:val="16"/>
          <w:szCs w:val="16"/>
        </w:rPr>
        <w:t>)</w:t>
      </w:r>
    </w:p>
    <w:p w:rsidR="00B56CE9" w:rsidRPr="00D3278B" w:rsidRDefault="00B56CE9" w:rsidP="00B56CE9">
      <w:pPr>
        <w:rPr>
          <w:rFonts w:asciiTheme="minorHAnsi" w:hAnsiTheme="minorHAnsi"/>
          <w:sz w:val="16"/>
          <w:szCs w:val="16"/>
        </w:rPr>
      </w:pPr>
    </w:p>
    <w:p w:rsidR="00B56CE9" w:rsidRDefault="00B56CE9" w:rsidP="00B56CE9">
      <w:r w:rsidRPr="00B56CE9">
        <w:t xml:space="preserve">The evolution of Sino-U.S. relations over the next months, </w:t>
      </w:r>
    </w:p>
    <w:p w:rsidR="00B56CE9" w:rsidRDefault="00B56CE9" w:rsidP="00B56CE9">
      <w:r>
        <w:t>AND</w:t>
      </w:r>
    </w:p>
    <w:p w:rsidR="00B56CE9" w:rsidRPr="00B56CE9" w:rsidRDefault="00B56CE9" w:rsidP="00B56CE9">
      <w:r w:rsidRPr="00B56CE9">
        <w:t>.S.-China relations in recent years have been the result of unforeseen</w:t>
      </w:r>
    </w:p>
    <w:p w:rsidR="00B56CE9" w:rsidRPr="00D17C4E" w:rsidRDefault="00B56CE9" w:rsidP="00B56CE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71" w:rsidRDefault="00092571" w:rsidP="005F5576">
      <w:r>
        <w:separator/>
      </w:r>
    </w:p>
  </w:endnote>
  <w:endnote w:type="continuationSeparator" w:id="0">
    <w:p w:rsidR="00092571" w:rsidRDefault="000925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71" w:rsidRDefault="00092571" w:rsidP="005F5576">
      <w:r>
        <w:separator/>
      </w:r>
    </w:p>
  </w:footnote>
  <w:footnote w:type="continuationSeparator" w:id="0">
    <w:p w:rsidR="00092571" w:rsidRDefault="000925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E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257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E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is.org/files/media/csis/pubs/090309_mcgiffert_uschinasmartpower_web.pdf" TargetMode="External"/><Relationship Id="rId5" Type="http://schemas.microsoft.com/office/2007/relationships/stylesWithEffects" Target="stylesWithEffects.xml"/><Relationship Id="rId10" Type="http://schemas.openxmlformats.org/officeDocument/2006/relationships/hyperlink" Target="http://www.theglobalist.com/storyid.aspx?StoryId=9039"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1</cp:revision>
  <dcterms:created xsi:type="dcterms:W3CDTF">2013-01-25T03:47:00Z</dcterms:created>
  <dcterms:modified xsi:type="dcterms:W3CDTF">2013-01-25T03:48:00Z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